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2026-2027年</w:t>
      </w:r>
      <w:r>
        <w:rPr>
          <w:rFonts w:hint="eastAsia" w:ascii="Times New Roman" w:hAnsi="Times New Roman" w:cs="Times New Roman"/>
          <w:b/>
          <w:sz w:val="44"/>
          <w:szCs w:val="44"/>
        </w:rPr>
        <w:t>政务新媒体委托运营采购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评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分标准</w:t>
      </w:r>
    </w:p>
    <w:p>
      <w:pPr>
        <w:spacing w:line="560" w:lineRule="exact"/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一、资格性审核表</w:t>
      </w:r>
    </w:p>
    <w:tbl>
      <w:tblPr>
        <w:tblStyle w:val="6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522"/>
        <w:gridCol w:w="321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0" w:hRule="atLeast"/>
          <w:jc w:val="center"/>
        </w:trPr>
        <w:tc>
          <w:tcPr>
            <w:tcW w:w="648" w:type="dxa"/>
            <w:shd w:val="clear" w:color="auto" w:fill="C6D9F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522" w:type="dxa"/>
            <w:shd w:val="clear" w:color="auto" w:fill="C6D9F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3219" w:type="dxa"/>
            <w:shd w:val="clear" w:color="auto" w:fill="C6D9F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需查验资料清单</w:t>
            </w:r>
          </w:p>
        </w:tc>
        <w:tc>
          <w:tcPr>
            <w:tcW w:w="1515" w:type="dxa"/>
            <w:shd w:val="clear" w:color="auto" w:fill="C6D9F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服务供应商具有国内独立法人或具有独立承担民事责任的能力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的其他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组织，提交有效的营业执照或单位法人证等法人证明复印件。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提供营业执照或单位法人证等法人证明复印件（加盖印章）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服务供应商需取得《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互联网新闻信息服务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》，且证书在有效期内。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互联网新闻信息服务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复印件（加盖印章）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近3年未受到政府部门或行业协会等处罚，在经营活动中没有重大违法记录。未被列入失信被执行人、重大税收违法案件当事人名单、政府采购严重违法失信行为记录名单。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由供应商在《履约承诺函》中作出承诺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提供于报价截止日之前在“信用中国”网站（www.creditchina.gov.cn）查询结果证明，如相关失信记录已失效，报价人需提供相关证明资料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单位负责人为同一人或者存在直接控股、管理关系的不同供应商，不得同时参加本项目投标（响应）。本项目不接受联合体服务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将本项目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内容以任何方式进行非法转包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分包。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由供应商在《履约承诺函》中作出承诺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评</w:t>
      </w:r>
      <w:r>
        <w:rPr>
          <w:rFonts w:hint="eastAsia" w:ascii="黑体" w:hAnsi="黑体" w:eastAsia="黑体"/>
          <w:sz w:val="32"/>
          <w:szCs w:val="32"/>
          <w:lang w:eastAsia="zh-CN"/>
        </w:rPr>
        <w:t>分表（满分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100分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16"/>
        <w:gridCol w:w="530"/>
        <w:gridCol w:w="516"/>
        <w:gridCol w:w="6687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516" w:type="dxa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046" w:type="dxa"/>
            <w:gridSpan w:val="2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评审项目</w:t>
            </w:r>
          </w:p>
        </w:tc>
        <w:tc>
          <w:tcPr>
            <w:tcW w:w="516" w:type="dxa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分值</w:t>
            </w:r>
          </w:p>
        </w:tc>
        <w:tc>
          <w:tcPr>
            <w:tcW w:w="6687" w:type="dxa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评分标准</w:t>
            </w:r>
          </w:p>
        </w:tc>
        <w:tc>
          <w:tcPr>
            <w:tcW w:w="935" w:type="dxa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9" w:hRule="exac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技术部分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整体方案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根据投标文件响应情况进行评审：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1.整体方案贴合项目需求，且合理优异的，得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21-30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2.整体方案贴合项目需求，且较为合理的，得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11-20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3.整体方案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符合项目需求，且部分合理的，得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1-10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备注：其他不得分，未提供本项响应内容的不得分。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7" w:hRule="exac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1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服务保障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后续服务计划详细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，且措施完备的，得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比较符合项目需求，且措施完备的，得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一般符合项目需求，且措施不太完备的，得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备注：其他不得分，未提供本项响应内容的不得分。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4" w:hRule="atLeas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1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人员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安排及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工作计划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合理化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合理化分值（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6分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根据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工作人员安排、工作计划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合理化程度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1-6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数量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拟安排团队成员在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人及以上的得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3～4人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1～2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（需提供人员名单和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2025年以来任意2个月的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社保购买记录）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技术证书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(4分）：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拥有制作视频、长图相关技术证书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2人得4分。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拥有制作视频、长图相关技术证书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1人得2分。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未提供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得0分。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如未提供人员社保记录该项全部不得分。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未提供本项响应内容的不得分。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6" w:hRule="atLeas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1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技术支持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方正楷体简体" w:hAnsi="方正楷体简体" w:eastAsia="方正仿宋_GBK" w:cs="方正楷体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本项目采购要求，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公众号排版、长图制作、海报制作、视频制作、PPT制作技术能力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响应情况进行评审：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（每项需提供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2个案例，如提供不足酌情扣分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1.提供以往短视频案例。2.提供长图、海报案例。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3.提供公众号排版案例。4.提供PPT制作案例。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完全符合项目需求，且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设计精美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得16-20分。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技术内容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比较符合项目需求，且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相对设计精美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得11-15分。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技术内容一般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设计相对普通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得1-10分。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每缺少一个种类的案例扣5分；每个种类的案例需提供2个，缺1个扣3分。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0" w:hRule="atLeas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商务部分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同类业绩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根据投标人20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年1月1日（以合同签订时间为准）至本项目投标截止之日承接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与政府部门合作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开展政务新媒体项目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业务案例情况进行评分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每提供1项有效业绩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本小项最高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。提供合同关键页等证明文件复印件，未提供或所提供的证明材料无法判断是否符合得分条件的不计分。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4" w:hRule="atLeas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价格评分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计算价格评分统一采用低价优先法计算，各有效投标人的评标价中，取最低价为评标基准价，其价格为满分，其他投标人的价格分统一按照下列公式计算：价格评分=（评分基准价/评标价）×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注：若低于采购预算金额的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%，须对报价合理性及成本构成作书面说明（如报价成本分析），否则将视为低于成本报价被认定为报价无效。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FD49F"/>
    <w:multiLevelType w:val="singleLevel"/>
    <w:tmpl w:val="F3FFD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GVhZTRjZTgyMjlhNDg3ZGE5MTk4ZTY4ZWJlY2MifQ=="/>
  </w:docVars>
  <w:rsids>
    <w:rsidRoot w:val="26C479BC"/>
    <w:rsid w:val="02AD5394"/>
    <w:rsid w:val="076F34C7"/>
    <w:rsid w:val="0A601E44"/>
    <w:rsid w:val="172E444E"/>
    <w:rsid w:val="17CD033C"/>
    <w:rsid w:val="1B311431"/>
    <w:rsid w:val="20307B2D"/>
    <w:rsid w:val="26C479BC"/>
    <w:rsid w:val="35110513"/>
    <w:rsid w:val="3814193B"/>
    <w:rsid w:val="3CA65404"/>
    <w:rsid w:val="4A110628"/>
    <w:rsid w:val="4CBB1C32"/>
    <w:rsid w:val="4D214B13"/>
    <w:rsid w:val="4DF93FA6"/>
    <w:rsid w:val="4F6051A6"/>
    <w:rsid w:val="524549B4"/>
    <w:rsid w:val="5AA66ECB"/>
    <w:rsid w:val="5C4675CA"/>
    <w:rsid w:val="61AC1D76"/>
    <w:rsid w:val="DDDF0822"/>
    <w:rsid w:val="F7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Lines="25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1437</Words>
  <Characters>1530</Characters>
  <Lines>0</Lines>
  <Paragraphs>0</Paragraphs>
  <TotalTime>10</TotalTime>
  <ScaleCrop>false</ScaleCrop>
  <LinksUpToDate>false</LinksUpToDate>
  <CharactersWithSpaces>1530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2024-04-24T01:56:00Z</dcterms:created>
  <dc:creator>陈琪琪</dc:creator>
  <cp:lastModifiedBy>陈政</cp:lastModifiedBy>
  <cp:lastPrinted>2025-06-09T18:07:00Z</cp:lastPrinted>
  <dcterms:modified xsi:type="dcterms:W3CDTF">2026-06-08T09:11:57Z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FC49D2EF8B88465185F694C754C7800C_13</vt:lpwstr>
  </property>
  <property fmtid="{D5CDD505-2E9C-101B-9397-08002B2CF9AE}" pid="4" name="KSOTemplateDocerSaveRecord">
    <vt:lpwstr>eyJoZGlkIjoiYzkxNTNjNjM2YmM3YjMwYWEyZDc1MGJmYjQ0MThhNTMiLCJ1c2VySWQiOiI0NDc0Nzg0NTgifQ==</vt:lpwstr>
  </property>
</Properties>
</file>