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90"/>
        <w:gridCol w:w="1305"/>
        <w:gridCol w:w="8160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江门市应急管理局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视频会议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系统运维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项目综合评分表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评审项目分值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分值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评审标准分值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  <w14:ligatures w14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投标报价（权重10%）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以所有合格供应商评标价的最低价作为评分基准价。供应商的价格分按下式计算：价格分＝（评分基准价／评标价）x10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技术部分 （权重40%)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对本项目总体理解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根据供应商对项目的认识及理解、对项目重点、难点分析把握等进行综合比较。优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分，良5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分，一般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6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服务方案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根据供应商的服务方案，包括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项目经理资质、团队资质、维护方案、组织和制度保障方案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等是否完善、可行，是否符合采购文件需求等进行综合比较。优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-11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分，良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分，一般5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项目经理、团队人员资质需提供资质证书复印件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应急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响应方案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根据供应商提供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投标人提供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相关信息系统的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14:ligatures w14:val="none"/>
              </w:rPr>
              <w:t>软硬件故障响应方案，特别是重大会议、指挥调度的各类事故响应方案。根据投标人提供方案进行评审，要求服务方案内容完整，重点突出，具有针对性和可行性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等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进行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综合比较。优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分，良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分，一般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-1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商务部分 （权重50%)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同类业绩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30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2020年以来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同类运维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项目的业绩经验进行打分。每提供1个同类项目业绩得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分，最高得3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0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须提供业绩列表及合同或中标通知书或成交通知书等复印件，不提供不得分。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服务质量评价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根据供应商上述“同类业绩”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中的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项目服务质量评价进行打分。每提供1个服务质量评价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类似于“优”或“满意”评价的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得1分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，最高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须提供服务客户加盖公章的满意评价证明文件，同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一服务客户不累计计算。不提供不得分。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供应商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综合实力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8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根据供应商获得的认证情况进行打分。每提供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1个得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分，最高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val="en-US" w:eastAsia="zh-CN"/>
                <w14:ligatures w14:val="none"/>
              </w:rPr>
              <w:t>15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1.在有效期内的质量管理体系认证；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2.在有效期内的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信息系统建设和服务能力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认证；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3.在有效期内的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设计施工维护能力评价等级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认证；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textAlignment w:val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注：供应商需提供证书复印件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lang w:eastAsia="zh-CN"/>
                <w14:ligatures w14:val="none"/>
              </w:rPr>
              <w:t>或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提供该体系证书在全国认证认可信息公共服务平台（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www.cnca.cn）对体系证书的信息查询截图作为证明材料，已失效、撤销或暂停的或不提供不得分。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  <w:t>合计：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14:ligatures w14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FF5CA"/>
    <w:rsid w:val="4FC716E4"/>
    <w:rsid w:val="4FF960EF"/>
    <w:rsid w:val="57D34413"/>
    <w:rsid w:val="586635F9"/>
    <w:rsid w:val="5E9FF5CA"/>
    <w:rsid w:val="6FCF77AC"/>
    <w:rsid w:val="735D7FC0"/>
    <w:rsid w:val="7FFE016E"/>
    <w:rsid w:val="B7FD6DCC"/>
    <w:rsid w:val="BBF3644A"/>
    <w:rsid w:val="DBBB3DA1"/>
    <w:rsid w:val="FEBE1991"/>
    <w:rsid w:val="FF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808</Characters>
  <Lines>0</Lines>
  <Paragraphs>0</Paragraphs>
  <TotalTime>12</TotalTime>
  <ScaleCrop>false</ScaleCrop>
  <LinksUpToDate>false</LinksUpToDate>
  <CharactersWithSpaces>810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2025-03-15T00:09:00Z</dcterms:created>
  <dc:creator>greaterwall</dc:creator>
  <cp:lastModifiedBy>greaterwall</cp:lastModifiedBy>
  <dcterms:modified xsi:type="dcterms:W3CDTF">2026-06-11T16:10:40Z</dcterms:modified>
  <dc:title>江门市应急管理局政务信息化系统运维项目综合评分表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5369F988966D3BA281DD276A4B2400AE_43</vt:lpwstr>
  </property>
</Properties>
</file>