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560" w:lineRule="exact"/>
        <w:ind w:left="0" w:leftChars="0" w:firstLine="0" w:firstLineChars="0"/>
        <w:jc w:val="both"/>
        <w:rPr>
          <w:rFonts w:hint="eastAsia" w:ascii="仿宋_GB2312" w:hAnsi="宋体" w:eastAsia="仿宋_GB2312" w:cs="Times New Roman"/>
          <w:b w:val="0"/>
          <w:bCs w:val="0"/>
          <w:kern w:val="28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 w:val="0"/>
          <w:kern w:val="28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Times New Roman"/>
          <w:b w:val="0"/>
          <w:bCs w:val="0"/>
          <w:kern w:val="28"/>
          <w:sz w:val="28"/>
          <w:szCs w:val="28"/>
          <w:lang w:val="en-US" w:eastAsia="zh-CN"/>
        </w:rPr>
        <w:t>3：</w:t>
      </w:r>
    </w:p>
    <w:p>
      <w:pPr>
        <w:snapToGrid/>
        <w:spacing w:line="560" w:lineRule="exact"/>
        <w:ind w:left="0" w:leftChars="0" w:firstLine="0" w:firstLineChars="0"/>
        <w:jc w:val="center"/>
        <w:rPr>
          <w:rFonts w:hint="default" w:ascii="仿宋_GB2312" w:hAnsi="宋体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kern w:val="28"/>
          <w:sz w:val="36"/>
          <w:szCs w:val="36"/>
          <w:lang w:eastAsia="zh-CN"/>
        </w:rPr>
        <w:t>江门市</w:t>
      </w:r>
      <w:r>
        <w:rPr>
          <w:rFonts w:hint="eastAsia" w:ascii="仿宋_GB2312" w:hAnsi="宋体" w:eastAsia="仿宋_GB2312" w:cs="Times New Roman"/>
          <w:b/>
          <w:bCs/>
          <w:kern w:val="28"/>
          <w:sz w:val="36"/>
          <w:szCs w:val="36"/>
        </w:rPr>
        <w:t>省级高技能人才公共实训基地咖啡烘焙</w:t>
      </w:r>
      <w:r>
        <w:rPr>
          <w:rFonts w:hint="eastAsia" w:ascii="仿宋_GB2312" w:hAnsi="宋体" w:eastAsia="仿宋_GB2312" w:cs="Times New Roman"/>
          <w:b/>
          <w:bCs/>
          <w:kern w:val="28"/>
          <w:sz w:val="36"/>
          <w:szCs w:val="36"/>
          <w:lang w:eastAsia="zh-CN"/>
        </w:rPr>
        <w:t>实训</w:t>
      </w:r>
      <w:r>
        <w:rPr>
          <w:rFonts w:hint="eastAsia" w:ascii="仿宋_GB2312" w:hAnsi="宋体" w:eastAsia="仿宋_GB2312" w:cs="Times New Roman"/>
          <w:b/>
          <w:bCs/>
          <w:kern w:val="28"/>
          <w:sz w:val="36"/>
          <w:szCs w:val="36"/>
        </w:rPr>
        <w:t>室配套设施改造项目</w:t>
      </w:r>
      <w:r>
        <w:rPr>
          <w:rFonts w:hint="eastAsia" w:ascii="仿宋_GB2312" w:hAnsi="宋体" w:eastAsia="仿宋_GB2312" w:cs="Times New Roman"/>
          <w:b/>
          <w:bCs/>
          <w:sz w:val="36"/>
          <w:szCs w:val="36"/>
        </w:rPr>
        <w:t>评审评分表</w:t>
      </w:r>
      <w:r>
        <w:rPr>
          <w:rFonts w:hint="eastAsia" w:ascii="仿宋_GB2312" w:hAnsi="宋体" w:eastAsia="仿宋_GB2312" w:cs="Times New Roman"/>
          <w:b/>
          <w:bCs/>
          <w:sz w:val="36"/>
          <w:szCs w:val="36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431" w:tblpY="116"/>
        <w:tblOverlap w:val="never"/>
        <w:tblW w:w="13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646"/>
        <w:gridCol w:w="1496"/>
        <w:gridCol w:w="2596"/>
        <w:gridCol w:w="1396"/>
        <w:gridCol w:w="1515"/>
        <w:gridCol w:w="90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4"/>
                <w:szCs w:val="24"/>
                <w:lang w:val="zh-CN"/>
              </w:rPr>
              <w:t>报价单位</w:t>
            </w:r>
          </w:p>
        </w:tc>
        <w:tc>
          <w:tcPr>
            <w:tcW w:w="41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kern w:val="28"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商务</w:t>
            </w:r>
            <w:r>
              <w:rPr>
                <w:rFonts w:hint="default" w:ascii="仿宋_GB2312" w:hAnsi="宋体" w:eastAsia="仿宋_GB2312"/>
                <w:b/>
                <w:kern w:val="28"/>
                <w:szCs w:val="21"/>
              </w:rPr>
              <w:t>评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分（占比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25%）</w:t>
            </w:r>
          </w:p>
        </w:tc>
        <w:tc>
          <w:tcPr>
            <w:tcW w:w="39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技术评分（占比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25%）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报价评分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（占比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50%）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22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b/>
                <w:sz w:val="24"/>
                <w:szCs w:val="24"/>
                <w:lang w:val="zh-CN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default" w:ascii="仿宋_GB2312" w:hAnsi="宋体" w:eastAsia="仿宋_GB2312"/>
                <w:b/>
                <w:kern w:val="28"/>
                <w:szCs w:val="21"/>
                <w:lang w:eastAsia="zh-CN"/>
              </w:rPr>
              <w:t>经营规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范性。包括：经营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管理、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财务管理、安全生产管理、项目绩效管理等制度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的建立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  <w:highlight w:val="none"/>
              </w:rPr>
              <w:t>情况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highlight w:val="none"/>
                <w:lang w:eastAsia="zh-CN"/>
              </w:rPr>
              <w:t>，提供不少于</w:t>
            </w:r>
            <w:r>
              <w:rPr>
                <w:rFonts w:hint="default" w:ascii="仿宋_GB2312" w:hAnsi="宋体" w:eastAsia="仿宋_GB2312" w:cs="Times New Roman"/>
                <w:b/>
                <w:kern w:val="28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highlight w:val="none"/>
                <w:lang w:val="en-US" w:eastAsia="zh-CN"/>
              </w:rPr>
              <w:t>名服务人员的劳动合同、社保记录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【优（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分），中（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分），差（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分）】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0分）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商务得分（总分×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%）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以往业绩。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提供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相关项目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服务经验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【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每一项目得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2</w:t>
            </w:r>
            <w:r>
              <w:rPr>
                <w:rFonts w:hint="default" w:ascii="仿宋_GB2312" w:hAnsi="宋体" w:eastAsia="仿宋_GB2312"/>
                <w:b/>
                <w:kern w:val="28"/>
                <w:szCs w:val="21"/>
                <w:lang w:eastAsia="zh-CN"/>
              </w:rPr>
              <w:t>0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分，须提供服务案例,以实际签订合同复印件为准，最高得分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10</w:t>
            </w:r>
            <w:r>
              <w:rPr>
                <w:rFonts w:hint="default" w:ascii="仿宋_GB2312" w:hAnsi="宋体" w:eastAsia="仿宋_GB2312"/>
                <w:b/>
                <w:kern w:val="28"/>
                <w:szCs w:val="21"/>
              </w:rPr>
              <w:t>0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分</w:t>
            </w:r>
            <w:r>
              <w:rPr>
                <w:rFonts w:hint="eastAsia" w:ascii="仿宋_GB2312" w:hAnsi="宋体" w:eastAsia="仿宋_GB2312" w:cs="Times New Roman"/>
                <w:b/>
                <w:kern w:val="28"/>
                <w:szCs w:val="21"/>
              </w:rPr>
              <w:t>】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0分）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技术得分（总分×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%）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报价</w:t>
            </w:r>
            <w:r>
              <w:rPr>
                <w:rFonts w:hint="default" w:ascii="仿宋_GB2312" w:hAnsi="宋体" w:eastAsia="仿宋_GB2312"/>
                <w:b/>
                <w:kern w:val="28"/>
                <w:szCs w:val="21"/>
              </w:rPr>
              <w:t>金额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kern w:val="2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报价得分（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评标基准价／报价×100×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</w:rPr>
              <w:t>%</w:t>
            </w:r>
            <w:r>
              <w:rPr>
                <w:rFonts w:hint="eastAsia" w:ascii="仿宋_GB2312" w:hAnsi="宋体" w:eastAsia="仿宋_GB2312"/>
                <w:b/>
                <w:kern w:val="2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/>
                <w:b/>
                <w:kern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2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eastAsia="仿宋_GB2312" w:cs="宋体"/>
                <w:b/>
                <w:bCs/>
                <w:szCs w:val="21"/>
                <w:lang w:val="zh-CN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2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b/>
                <w:bCs/>
                <w:szCs w:val="21"/>
                <w:lang w:val="zh-CN"/>
              </w:rPr>
            </w:pPr>
          </w:p>
        </w:tc>
        <w:tc>
          <w:tcPr>
            <w:tcW w:w="26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2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宋体"/>
                <w:szCs w:val="21"/>
                <w:lang w:val="zh-CN"/>
              </w:rPr>
            </w:pPr>
          </w:p>
        </w:tc>
      </w:tr>
    </w:tbl>
    <w:p>
      <w:pPr>
        <w:autoSpaceDE w:val="0"/>
        <w:autoSpaceDN w:val="0"/>
        <w:spacing w:line="240" w:lineRule="exact"/>
        <w:rPr>
          <w:rFonts w:ascii="仿宋_GB2312" w:hAnsi="宋体" w:eastAsia="仿宋_GB2312"/>
          <w:b/>
          <w:kern w:val="28"/>
          <w:szCs w:val="21"/>
        </w:rPr>
      </w:pPr>
    </w:p>
    <w:p>
      <w:pPr>
        <w:widowControl/>
        <w:spacing w:line="340" w:lineRule="exact"/>
        <w:ind w:left="0" w:leftChars="0" w:firstLine="0" w:firstLineChars="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18"/>
          <w:szCs w:val="18"/>
        </w:rPr>
        <w:t>评分说明：</w:t>
      </w:r>
      <w:r>
        <w:rPr>
          <w:rFonts w:hint="eastAsia" w:ascii="宋体" w:hAnsi="宋体" w:cs="宋体"/>
          <w:kern w:val="0"/>
          <w:sz w:val="18"/>
          <w:szCs w:val="18"/>
        </w:rPr>
        <w:t>（1）综合得分=商务得分+技术得分+报价得分；（2）在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比选</w:t>
      </w:r>
      <w:r>
        <w:rPr>
          <w:rFonts w:hint="eastAsia" w:ascii="宋体" w:hAnsi="宋体" w:cs="宋体"/>
          <w:kern w:val="0"/>
          <w:sz w:val="18"/>
          <w:szCs w:val="18"/>
        </w:rPr>
        <w:t>过程中所有计算结果均精确到小数点后两位，第三位小数四舍五入；</w:t>
      </w:r>
    </w:p>
    <w:p>
      <w:pPr>
        <w:widowControl/>
        <w:spacing w:line="340" w:lineRule="exact"/>
        <w:ind w:left="0" w:leftChars="0" w:firstLine="900" w:firstLineChars="500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（3）价格评分以报价最低价为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比选</w:t>
      </w:r>
      <w:r>
        <w:rPr>
          <w:rFonts w:hint="eastAsia" w:ascii="宋体" w:hAnsi="宋体" w:eastAsia="宋体" w:cs="宋体"/>
          <w:kern w:val="0"/>
          <w:sz w:val="18"/>
          <w:szCs w:val="18"/>
        </w:rPr>
        <w:t>基准价，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auto"/>
          <w:lang w:val="en-US" w:eastAsia="zh-CN"/>
        </w:rPr>
        <w:t>其他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auto"/>
          <w:lang w:val="en-US" w:eastAsia="zh-CN"/>
        </w:rPr>
        <w:t>报价人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auto"/>
          <w:lang w:val="en-US" w:eastAsia="zh-CN"/>
        </w:rPr>
        <w:t>的价格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18"/>
          <w:szCs w:val="18"/>
          <w:shd w:val="clear" w:color="auto" w:fill="auto"/>
          <w:lang w:eastAsia="zh-CN"/>
        </w:rPr>
        <w:t>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auto"/>
          <w:lang w:val="en-US" w:eastAsia="zh-CN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18"/>
          <w:szCs w:val="18"/>
          <w:shd w:val="clear" w:color="auto" w:fill="auto"/>
          <w:lang w:eastAsia="zh-CN"/>
        </w:rPr>
        <w:t>计算方法为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auto"/>
          <w:lang w:val="en-US" w:eastAsia="zh-CN"/>
        </w:rPr>
        <w:t>：报价得分=（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auto"/>
          <w:lang w:val="en-US" w:eastAsia="zh-CN"/>
        </w:rPr>
        <w:t>比选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auto"/>
          <w:lang w:val="en-US" w:eastAsia="zh-CN"/>
        </w:rPr>
        <w:t>基准价/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auto"/>
          <w:lang w:val="en-US" w:eastAsia="zh-CN"/>
        </w:rPr>
        <w:t>比选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auto"/>
          <w:lang w:val="en-US" w:eastAsia="zh-CN"/>
        </w:rPr>
        <w:t>报价）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18"/>
          <w:szCs w:val="18"/>
          <w:shd w:val="clear" w:color="auto" w:fill="auto"/>
          <w:lang w:val="en-US" w:eastAsia="zh-CN"/>
        </w:rPr>
        <w:t>×100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color="auto" w:fill="auto"/>
          <w:lang w:val="en-US" w:eastAsia="zh-CN"/>
        </w:rPr>
        <w:t>×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18"/>
          <w:szCs w:val="18"/>
          <w:shd w:val="clear" w:color="auto" w:fill="auto"/>
          <w:lang w:eastAsia="zh-CN"/>
        </w:rPr>
        <w:t>50%</w:t>
      </w:r>
      <w:r>
        <w:rPr>
          <w:rFonts w:hint="eastAsia" w:ascii="宋体" w:hAnsi="宋体" w:eastAsia="宋体" w:cs="宋体"/>
          <w:kern w:val="0"/>
          <w:sz w:val="18"/>
          <w:szCs w:val="18"/>
          <w:lang w:eastAsia="zh-CN"/>
        </w:rPr>
        <w:t>；</w:t>
      </w:r>
    </w:p>
    <w:p>
      <w:pPr>
        <w:widowControl/>
        <w:spacing w:line="340" w:lineRule="exact"/>
        <w:ind w:left="1252" w:leftChars="425" w:hanging="360" w:hangingChars="20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（4）将综合得分从高到低排出名次，总分第一名为第一中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选</w:t>
      </w:r>
      <w:r>
        <w:rPr>
          <w:rFonts w:hint="eastAsia" w:ascii="宋体" w:hAnsi="宋体" w:cs="宋体"/>
          <w:kern w:val="0"/>
          <w:sz w:val="18"/>
          <w:szCs w:val="18"/>
        </w:rPr>
        <w:t>候选人，第二名为第二中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选</w:t>
      </w:r>
      <w:r>
        <w:rPr>
          <w:rFonts w:hint="eastAsia" w:ascii="宋体" w:hAnsi="宋体" w:cs="宋体"/>
          <w:kern w:val="0"/>
          <w:sz w:val="18"/>
          <w:szCs w:val="18"/>
        </w:rPr>
        <w:t>候选人，以此类推（综合得分相同的，按报价得分由高到低排列；综合得分相同且报价得分相同的，按技术得分顺序排列）。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       （5）</w:t>
      </w:r>
      <w:r>
        <w:rPr>
          <w:rFonts w:hint="eastAsia" w:ascii="宋体" w:hAnsi="宋体" w:cs="宋体"/>
          <w:kern w:val="0"/>
          <w:sz w:val="18"/>
          <w:szCs w:val="18"/>
        </w:rPr>
        <w:t>综合得分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不足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60分以上（不含60分）的报价人不能中选。</w:t>
      </w:r>
    </w:p>
    <w:p>
      <w:pPr>
        <w:autoSpaceDE/>
        <w:autoSpaceDN/>
        <w:adjustRightInd w:val="0"/>
        <w:spacing w:line="560" w:lineRule="exact"/>
        <w:ind w:firstLine="420" w:firstLineChars="200"/>
      </w:pPr>
      <w:r>
        <w:rPr>
          <w:rFonts w:hint="eastAsia"/>
          <w:szCs w:val="24"/>
          <w:lang w:eastAsia="zh-CN"/>
        </w:rPr>
        <w:t>评委</w:t>
      </w:r>
      <w:r>
        <w:rPr>
          <w:rFonts w:hint="eastAsia"/>
          <w:szCs w:val="24"/>
        </w:rPr>
        <w:t>签名：</w:t>
      </w:r>
    </w:p>
    <w:sectPr>
      <w:pgSz w:w="16838" w:h="11906" w:orient="landscape"/>
      <w:pgMar w:top="1134" w:right="1440" w:bottom="1134" w:left="1440" w:header="851" w:footer="992" w:gutter="0"/>
      <w:cols w:space="72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B8D64"/>
    <w:rsid w:val="36AF672E"/>
    <w:rsid w:val="3BCEE8B0"/>
    <w:rsid w:val="4A434509"/>
    <w:rsid w:val="554E3F01"/>
    <w:rsid w:val="5664316A"/>
    <w:rsid w:val="59EB786D"/>
    <w:rsid w:val="6DF338F9"/>
    <w:rsid w:val="77DB0FD1"/>
    <w:rsid w:val="7FAFDBC2"/>
    <w:rsid w:val="925F731F"/>
    <w:rsid w:val="EFAF2502"/>
    <w:rsid w:val="FBEDD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667</Characters>
  <Lines>0</Lines>
  <Paragraphs>0</Paragraphs>
  <TotalTime>10</TotalTime>
  <ScaleCrop>false</ScaleCrop>
  <LinksUpToDate>false</LinksUpToDate>
  <CharactersWithSpaces>670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2026-06-05T11:27:00Z</dcterms:created>
  <dc:creator>Administrator</dc:creator>
  <cp:lastModifiedBy>陈政</cp:lastModifiedBy>
  <dcterms:modified xsi:type="dcterms:W3CDTF">2026-06-16T09:15:24Z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TemplateDocerSaveRecord">
    <vt:lpwstr>eyJoZGlkIjoiODQyNjY5ZmM0YjExZDM4YzYyNDU3YjMzMTA0OTkzMjAiLCJ1c2VySWQiOiIxMDgwMzc0MzM2In0=</vt:lpwstr>
  </property>
  <property fmtid="{D5CDD505-2E9C-101B-9397-08002B2CF9AE}" pid="4" name="ICV">
    <vt:lpwstr>8D911F819D3835D5AFC9276A335717C5</vt:lpwstr>
  </property>
</Properties>
</file>