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pPr>
        <w:spacing w:line="560" w:lineRule="exact"/>
        <w:jc w:val="both"/>
        <w:rPr>
          <w:rFonts w:hint="eastAsia" w:ascii="仿宋_GB2312" w:hAnsi="仿宋_GB2312" w:eastAsia="仿宋_GB2312" w:cs="仿宋_GB2312"/>
          <w:sz w:val="32"/>
          <w:szCs w:val="32"/>
          <w:lang w:val="en-US" w:eastAsia="zh-CN"/>
        </w:rPr>
      </w:pPr>
    </w:p>
    <w:p>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江门市新兴产业和未来产业发展“十五五”规划</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52"/>
        </w:rPr>
        <w:t>公开征求意见汇总表</w:t>
      </w:r>
    </w:p>
    <w:p>
      <w:pPr>
        <w:spacing w:line="560" w:lineRule="exact"/>
        <w:jc w:val="center"/>
        <w:rPr>
          <w:rFonts w:hint="default" w:ascii="楷体" w:hAnsi="楷体" w:eastAsia="楷体" w:cs="楷体"/>
          <w:sz w:val="32"/>
          <w:szCs w:val="32"/>
          <w:lang w:val="en-US" w:eastAsia="zh-CN"/>
        </w:rPr>
      </w:pPr>
    </w:p>
    <w:tbl>
      <w:tblPr>
        <w:tblStyle w:val="9"/>
        <w:tblW w:w="156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62"/>
        <w:gridCol w:w="12565"/>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90" w:hRule="atLeast"/>
          <w:tblHeader/>
          <w:jc w:val="center"/>
        </w:trPr>
        <w:tc>
          <w:tcPr>
            <w:tcW w:w="662"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color w:val="000000"/>
                <w:sz w:val="21"/>
                <w:szCs w:val="21"/>
                <w:shd w:val="clear" w:color="auto" w:fill="auto"/>
                <w:lang w:eastAsia="zh-CN"/>
              </w:rPr>
            </w:pPr>
            <w:r>
              <w:rPr>
                <w:rFonts w:hint="default" w:ascii="Times New Roman" w:hAnsi="Times New Roman" w:eastAsia="黑体" w:cs="Times New Roman"/>
                <w:b w:val="0"/>
                <w:color w:val="000000"/>
                <w:sz w:val="21"/>
                <w:szCs w:val="21"/>
                <w:shd w:val="clear" w:color="auto" w:fill="auto"/>
                <w:lang w:eastAsia="zh-CN"/>
              </w:rPr>
              <w:t>序号</w:t>
            </w:r>
          </w:p>
        </w:tc>
        <w:tc>
          <w:tcPr>
            <w:tcW w:w="1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color w:val="000000"/>
                <w:sz w:val="21"/>
                <w:szCs w:val="21"/>
                <w:shd w:val="clear" w:color="auto" w:fill="auto"/>
              </w:rPr>
            </w:pPr>
            <w:r>
              <w:rPr>
                <w:rFonts w:hint="default" w:ascii="Times New Roman" w:hAnsi="Times New Roman" w:eastAsia="黑体" w:cs="Times New Roman"/>
                <w:b w:val="0"/>
                <w:color w:val="000000"/>
                <w:sz w:val="21"/>
                <w:szCs w:val="21"/>
                <w:shd w:val="clear" w:color="auto" w:fill="auto"/>
              </w:rPr>
              <w:t>具体意见</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color w:val="000000"/>
                <w:sz w:val="21"/>
                <w:szCs w:val="21"/>
                <w:shd w:val="clear" w:color="auto" w:fill="auto"/>
              </w:rPr>
            </w:pPr>
            <w:r>
              <w:rPr>
                <w:rFonts w:hint="default" w:ascii="Times New Roman" w:hAnsi="Times New Roman" w:eastAsia="黑体" w:cs="Times New Roman"/>
                <w:b w:val="0"/>
                <w:color w:val="000000"/>
                <w:sz w:val="21"/>
                <w:szCs w:val="21"/>
                <w:shd w:val="clear" w:color="auto" w:fill="auto"/>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1</w:t>
            </w:r>
          </w:p>
        </w:tc>
        <w:tc>
          <w:tcPr>
            <w:tcW w:w="1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十五五”时期（2026—2030年），是江门市深入贯彻新发展理念、服务融入新发展格局，全力建设万亿工业强市、打造粤港澳大湾区新增长极的关键阶段。作为粤港澳大湾区重要节点城市和沿海经济带的江海门户，江门拥有扎实的制造业根基、广阔的产业空间和优越的区位交通条件。“十四五”以来，全市深入实施“工业振兴”“园区再造”工程，以新一代电子信息、新能源、先进装备制造为代表的“两新一先”产业加速崛起，中创新航等龙头企业带动形成完整产业链，新能源电池及新型储能、安全应急与环保等产业优势持续巩固，低空经济、人工智能与机器人等未来产业实现破局起势，为“十五五”时期培育发展新质生产力、构建现代化产业体系奠定了坚实基础。同时，面对全球科技革命和产业变革加速演进、区域竞争日趋激烈的新形势，江门市新兴产业仍存在创新能力不足、产业链高端环节薄弱、龙头企业数量偏少、产业集群能级不高、未来产业布局深度不够等短板弱项。为抢抓战略机遇、厚植发展优势，加快推动新兴产业发展壮大、未来产业前瞻布局，锻造经济发展新引擎，特制定本规划。</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以习近平新时代中国特色社会主义思想为指导，全面贯彻党的二十大和二十届历次全会精神，深入落实习近平总书记对广东系列重要讲话和重要指示精神，紧紧围绕省委、省政府决策部署和江门建设“幸福现代新侨都”的总体目标，立足“粤港澳大湾区新增长极、广东省先进制造业重要基地、沿海经济带江海门户”战略定位，完整、准确、全面贯彻新发展理念，坚持以新质生产力为主攻方向，以智能化、绿色化、融合化为路径，聚焦“13158”新型工业体系构建，大力实施产业创新工程，一体推进创新设施建设、技术研发攻关、产品迭代升级与场景应用示范，做大做强优势新兴产业，前瞻布局先导未来产业，着力延链补链强链育链，推动产业集群向千亿级、万亿级迈进，全力将江门打造成为珠江西岸新兴产业发展高地、未来产业创新策源地，为广东在推进中国式现代化建设中走在前列作出江门贡献。</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坚持创新驱动、科技引领。把科技创新摆在产业发展的核心位置，聚焦关键核心技术攻关，完善产学研用协同创新体系，加速科技成果转化，以科技创新引领产业全面升级，增强产业核心竞争力。坚持集群发展、链式突破。聚焦重点产业赛道，强化龙头企业牵引，推动上下游、大中小企业协同发展，构建更具韧性、更有活力的现代化产业链供应链，打造一批具有全国影响力的产业集群。坚持重点突破、前瞻布局。立足产业基础和比较优势，集中资源做强新能源、新材料等优势产业，同时面向科技前沿和未来需求，梯度培育人工智能、低空经济等未来产业，实现“新兴壮支柱、未来塑新极”。坚持开放协同、区域联动。深度融入粤港澳大湾区建设，主动对接广深港澳科技创新走廊，积极承接核心城市产业外溢与资源辐射，深化与珠江口东西两岸城市产业协作，构建内外联动、互利共赢的开放发展格局。坚持绿色低碳、安全发展。践行“双碳”战略，推动产业结构、能源结构、生产方式绿色转型，严守产业安全、生态安全底线，实现高质量发展和高水平安全良性互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到2030年，江门市新兴产业和未来产业发展取得重大突破性进展，新质生产力培育成效显著，“两新一先”产业集群全面壮大，未来产业成形成势，构建起创新引领、结构优化、特色鲜明、集群发展的现代产业新体系。产业规模实现跨越式增长，新兴产业产值占规上工业比重显著提升，新能源、新一代电子信息、先进装备制造三大产业集群率先冲刺千亿级，安全应急与环保、生物医药与健康、前沿新材料等产业规模持续壮大，成为支撑万亿工业强市的核心支柱。产业创新能力大幅增强，建成一批国家级、省级重点实验室、工程技术研究中心和企业技术中心，高新技术企业和专精特新企业数量倍增，关键核心技术攻关取得重要突破，科技成果转化效率显著提升。产业结构更加优化，产业链向高端化、智能化、绿色化迈进，新能源电池及新型储能、半导体与集成电路、智能机器人等领域形成完整产业链条，产业配套能力和集群竞争力位居全省前列。未来产业布局形成先导优势，人工智能与机器人、低空经济两大未来产业实现规模化发展，在具身智能、通用航空、场景应用等领域形成特色优势，打造成为江门产业发展新名片。空间布局更加高效，大型产业集聚区承载能力全面提升，专业特色园区错位发展，形成“一核引领、两带协同、多点支撑”的产业空间新格局，为江门高质量发展注入强劲动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聚焦优势赛道，全力推动新兴产业集群化、高端化发展，构建支撑万亿工业强市的“四梁八柱”。做强新能源及新型储能产业，依托中创新航龙头效应，持续壮大正极材料、负极材料、电解液、隔膜、电池壳体等全产业链，重点发展动力电池、储能电池、固态电池、钠离子电池，完善电池回收、梯次利用闭环体系，建设广东乃至全国重要的新型储能产业基地。大力发展光伏、海上风电装备及配套产业，推动光储充、源网荷储一体化发展，构建清洁低碳、安全高效的新能源产业生态。壮大新一代电子信息产业，以建滔、世运电路等企业为龙头，重点发展高端印制电路板、芯片内嵌式PCB、高阶HDI电路板，延伸发展半导体与集成电路、5G/6G通信器件、汽车电子、消费电子，突破芯片设计、封装测试、关键元器件等薄弱环节，打造粤港澳大湾区电子信息产业重要配套基地。提升高端装备与智能机器人产业，聚焦智能装备、数控机床、海工装备、轨道交通装备，大力发展工业机器人、服务机器人、具身智能机器人、特种应急机器人，突破视觉识别、力传感器、智能控制系统等核心技术，加快安全应急智能机器人产业园建设，打造珠江西岸高端装备制造高地。培育前沿新材料产业，重点发展先进金属材料、高性能化工新材料、新型无机非金属材料、生物基材料，聚焦新能源材料、电子信息材料、安全应急材料，支持企业研发高端专用材料、前沿功能材料，提升新材料产业对全市制造业的基础支撑能力。发展生物医药与健康产业，依托江门生物医药产业园，重点发展化学药、现代中药、生物制品、高端医疗器械、健康食品，推动生物技术与信息技术融合创新，培育AI制药、精准医疗新业态，打造大湾区生物医药产业特色发展区。提质安全应急与环保产业，以江海安全应急产业园为核心，发展应急救援装备、应急通信、监测预警设备、安全防护产品、环保装备、污染治理技术，推动安全应急产业智能化、集成化、绿色化发展，建设国家级安全应急产业示范基地。</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面向未来十年科技革命和产业变革方向，立足江门基础，梯度布局、重点培育一批先导性、颠覆性未来产业，抢占产业发展制高点。重点突破人工智能与机器人产业，聚焦具身智能、通用人工智能、机器视觉、自然语言处理，大力发展智能人形机器人、工业智能机器人、医疗康复机器人、养老服务机器人、特种作业机器人，推动人工智能技术与制造业、服务业、农业深度融合，建设集研发、制造、应用于一体的人工智能产业生态，打造粤港澳大湾区智能机器人产业高地。加快发展低空经济产业，依托冯如低空经济产业园，完善通用机场、起降点、空管服务等基础设施，大力发展通用航空、无人机研发制造、低空物流、低空文旅、空中测绘、应急救援、农林作业等场景应用，推动低空经济与制造业、服务业融合发展，建设全国低空经济发展示范区。前瞻布局海洋未来产业，主动对接深圳全球海洋中心城市建设，在大广海湾布局高端船舶与海工装备、海洋新能源装备、海洋新材料、海洋生物医药，发展深远海养殖、海洋碳汇、海底数据中心，打造珠江口海洋经济重要增长极。培育发展量子信息、类脑智能、氢能与燃料电池、合成生物、商业航天等前沿未来产业，设立未来产业概念验证中心、中试基地，建立包容审慎监管机制，鼓励技术创新、场景创新、模式创新，推动一批未来产业从实验室走向产业化、规模化，为江门长远发展积蓄战略动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优化全域产业空间布局，推动产业集聚集约、错位协同发展，构建高质量产业承载平台。强化大型产业集聚区核心引领作用，以省大型产业集聚区（江门片区）为总平台，统筹整合全市产业园区资源，完善道路、能源、供水、环保、新型基建等配套设施，提升园区数字化、绿色化、智慧化水平，打造产业规模大、创新能力强、配套完善的产业发展主阵地。打造特色专业园区集群，围绕新能源、电子信息、智能机器人、安全应急、生物医药、低空经济等重点产业，建设一批定位清晰、链条完整、服务专业的特色产业园，推动“一园一主业、一园一特色”，实现园区间产业互补、协同联动。优化“一核两带多点”空间格局，做强中心城区产业创新核，集聚总部经济、科创研发、高端服务；提升沿海蓝色产业带，壮大海洋装备、新能源、临港经济；优化北部绿色产业带，发展先进材料、智能装备、绿色食品；推动各县（市、区）产业园区特色化、差异化发展，形成全域协同、优势互补的产业空间新格局。</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强化科技创新策源能力，构建全过程创新生态链，为新兴产业和未来产业发展提供核心动力。搭建高能级创新平台，积极对接中科院、高校院所，共建重点实验室、工程技术研究中心、新型研发机构、中试基地，支持企业建设国家级、省级技术中心、工业设计中心，打造一批产业创新联合体，突破一批关键核心技术。培育壮大创新主体，实施高新技术企业、专精特新企业倍增计划，建立“微成长、小升高、高变强”梯次培育机制，培育一批创新型龙头企业、科技型中小企业、独角兽企业，形成创新企业集群。加速科技成果转化，完善“科技成果超市”、知识产权服务、技术交易市场，推动创新成果在江门就地转化、产业化，打通产学研用最后一公里。强化人才引育支撑，实施“侨都英才”计划，精准引进新能源、半导体、人工智能、机器人等领域高端人才、创新团队、技能人才，深化与五邑大学等本地院校合作，建设一批现代产业学院、技能实训基地，打造人才集聚新高地。</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深化改革开放，优化产业生态，为新兴产业和未来产业发展注入强大活力。全面深化“放管服”改革，持续优化市场化、法治化、国际化营商环境，推行“标准地”出让、拿地即开工、极简审批、全程代办，打造审批事项最少、政务服务最快、产业生态最好的发展环境。强化产业链精准招商，聚焦重点产业链关键环节、缺失环节、高端环节，大力开展产业链招商、以商招商、精准招商，着力引进一批龙头项目、链主企业、配套项目，完善产业链条、提升集群能级。强化要素保障支撑，统筹用地、用能、资金、人才、数据等要素，优先保障新兴产业和未来产业重大项目需求，设立产业发展引导基金、科技信贷风险补偿资金，引导金融资本、社会资本投向重点产业领域。深化区域开放合作，全面融入粤港澳大湾区建设，加强与珠江口东西两岸城市产业协作、创新协同，主动承接广深港澳产业外溢、创新外溢，深化与粤西、北部湾地区联动发展，拓展国内国际市场空间，构建全方位开放合作新格局。</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健全规划实施保障机制，确保各项目标任务落地见效。坚持和加强党的全面领导，充分发挥党总揽全局、协调各方的领导核心作用，把党的领导贯穿规划实施全过程各领域。建立统筹协调机制，成立专项工作领导小组，健全跨部门、跨区域协同推进机制，细化年度目标、重点任务、重大项目清单，实行项目化管理、清单化推进、常态化调度。强化督导考核评估，将规划实施情况纳入各级各部门绩效考核体系，建立年度监测、中期评估、期末总结机制，动态优化调整规划内容，确保规划落地生根、取得实效。凝聚全社会发展合力，加强规划宣传解读，充分调动企业、高校、科研院所、社会组织、广大群众的积极性主动性创造性，形成全市上下共谋产业发展、共推创新突破的强大合力，全力推动江门新兴产业和未来产业高质量发展，为建设万亿工业强市、打造幸福现代新侨都奠定坚实产业基础。</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部分采纳。</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bCs/>
                <w:color w:val="000000"/>
                <w:sz w:val="21"/>
                <w:szCs w:val="21"/>
                <w:shd w:val="clear" w:color="auto" w:fill="auto"/>
                <w:lang w:val="en-US" w:eastAsia="zh-CN"/>
              </w:rPr>
              <w:t>理由：</w:t>
            </w:r>
            <w:r>
              <w:rPr>
                <w:rFonts w:hint="default" w:ascii="Times New Roman" w:hAnsi="Times New Roman" w:eastAsia="仿宋_GB2312" w:cs="Times New Roman"/>
                <w:b w:val="0"/>
                <w:color w:val="000000"/>
                <w:sz w:val="21"/>
                <w:szCs w:val="21"/>
                <w:shd w:val="clear" w:color="auto" w:fill="auto"/>
                <w:lang w:val="en-US" w:eastAsia="zh-CN"/>
              </w:rPr>
              <w:t>建议提及的重点发展新能源、新一代电子信息、高端装备、前沿新材料、低空经济、人工智能等产业，是我市“十五五”期间新兴和未来产业发展的重点方向，在第三、四章有所体现。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20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2</w:t>
            </w:r>
          </w:p>
        </w:tc>
        <w:tc>
          <w:tcPr>
            <w:tcW w:w="1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尊敬的领导您好!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sz w:val="21"/>
                <w:szCs w:val="21"/>
                <w:shd w:val="clear" w:color="auto" w:fill="auto"/>
                <w:lang w:val="en-US" w:eastAsia="zh-CN"/>
              </w:rPr>
              <w:t>产业创新。交通强国。倡议：人人携手相关部门进一步加快推广普及“保障按需通行”各项核心内容。挽救更多生命（道路伤亡人数再减半，目标早一年达成，如果按全球120万人计算，等同能够每年多挽救60万人生命）国内减半等同每年多挽救三万多人生命，每年能造福几万甚至几百万个家庭。防灾减灾。产业创新。乡村振兴。共同富裕。交通强市。江门争当示范。全域解堵。落实安全距离。前置预约调控。仿真演练(实测)预约通行成效对比。任一路段任一时间场景不超承载量。全域快捷预约公共交通工具0~5分钟候车换乘24小时服务能等同。自动驾驶推荐L4级优先道模式限慢行，专用道模式快高速通行。安全距离提示预警报警联动联控加快列入国家强制标准，成为车辆标配。携手支持各级政府为人民服务。附议建言立法征集，避免法条冲突。法律法规一图展示。十五五规划(推进自动化智慧农业。工业。服务业)完善(提升)衣食住行医教等基本保障；加快构建全天候互通路网。普及全域一图公共交通体系</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val="0"/>
                <w:color w:val="000000"/>
                <w:kern w:val="2"/>
                <w:sz w:val="21"/>
                <w:szCs w:val="21"/>
                <w:shd w:val="clear" w:fill="auto"/>
                <w:lang w:val="en-US" w:eastAsia="zh-CN" w:bidi="ar-SA"/>
              </w:rPr>
              <w:t>部分</w:t>
            </w:r>
            <w:r>
              <w:rPr>
                <w:rFonts w:hint="default" w:ascii="Times New Roman" w:hAnsi="Times New Roman" w:eastAsia="仿宋_GB2312" w:cs="Times New Roman"/>
                <w:b w:val="0"/>
                <w:color w:val="000000"/>
                <w:sz w:val="21"/>
                <w:szCs w:val="21"/>
                <w:shd w:val="clear" w:color="auto" w:fill="auto"/>
                <w:lang w:val="en-US" w:eastAsia="zh-CN"/>
              </w:rPr>
              <w:t>采纳。</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仿宋_GB2312" w:cs="Times New Roman"/>
                <w:b w:val="0"/>
                <w:color w:val="000000"/>
                <w:sz w:val="21"/>
                <w:szCs w:val="21"/>
                <w:shd w:val="clear" w:color="auto" w:fill="auto"/>
                <w:lang w:val="en-US" w:eastAsia="zh-CN"/>
              </w:rPr>
            </w:pPr>
            <w:r>
              <w:rPr>
                <w:rFonts w:hint="default" w:ascii="Times New Roman" w:hAnsi="Times New Roman" w:eastAsia="仿宋_GB2312" w:cs="Times New Roman"/>
                <w:b/>
                <w:bCs/>
                <w:color w:val="000000"/>
                <w:sz w:val="21"/>
                <w:szCs w:val="21"/>
                <w:shd w:val="clear" w:color="auto" w:fill="auto"/>
                <w:lang w:val="en-US" w:eastAsia="zh-CN"/>
              </w:rPr>
              <w:t>理由：</w:t>
            </w:r>
            <w:r>
              <w:rPr>
                <w:rFonts w:hint="default" w:ascii="Times New Roman" w:hAnsi="Times New Roman" w:eastAsia="仿宋_GB2312" w:cs="Times New Roman"/>
                <w:b w:val="0"/>
                <w:color w:val="000000"/>
                <w:sz w:val="21"/>
                <w:szCs w:val="21"/>
                <w:shd w:val="clear" w:color="auto" w:fill="auto"/>
                <w:lang w:val="en-US" w:eastAsia="zh-CN"/>
              </w:rPr>
              <w:t>建议提及的发展自动驾驶是我市重点突破人工智能与机器人产业的重点方向和任务。在“加快推广自动驾驶应用示范”章节有所体现。</w:t>
            </w:r>
          </w:p>
        </w:tc>
      </w:tr>
    </w:tbl>
    <w:p>
      <w:pPr>
        <w:rPr>
          <w:rFonts w:hint="default" w:ascii="Times New Roman" w:hAnsi="Times New Roman" w:cs="Times New Roman"/>
        </w:rPr>
      </w:pPr>
    </w:p>
    <w:sectPr>
      <w:headerReference r:id="rId3" w:type="default"/>
      <w:footerReference r:id="rId4" w:type="default"/>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879C8E-1137-4C5C-9CC3-E942B9C6DC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E8A383A-485A-4263-8C1C-0EF09D338E5C}"/>
  </w:font>
  <w:font w:name="方正小标宋_GBK">
    <w:panose1 w:val="03000502000000000000"/>
    <w:charset w:val="86"/>
    <w:family w:val="script"/>
    <w:pitch w:val="default"/>
    <w:sig w:usb0="00000001" w:usb1="080E0000" w:usb2="00000000" w:usb3="00000000" w:csb0="00040000" w:csb1="00000000"/>
    <w:embedRegular r:id="rId3" w:fontKey="{CC9953E4-F061-4F08-A784-F7798873E30E}"/>
  </w:font>
  <w:font w:name="楷体">
    <w:panose1 w:val="02010609060101010101"/>
    <w:charset w:val="86"/>
    <w:family w:val="auto"/>
    <w:pitch w:val="default"/>
    <w:sig w:usb0="800002BF" w:usb1="38CF7CFA" w:usb2="00000016" w:usb3="00000000" w:csb0="00040001" w:csb1="00000000"/>
    <w:embedRegular r:id="rId4" w:fontKey="{15A82647-5C7A-4255-A82A-AD64DBD09D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MGE0MmY4YjMzY2M1MDM2M2RkMzMzYWUyZDNlYTgifQ=="/>
    <w:docVar w:name="KGWebUrl" w:val="http://19.121.241.45/seeyon/officeservlet"/>
  </w:docVars>
  <w:rsids>
    <w:rsidRoot w:val="0085393E"/>
    <w:rsid w:val="000065A7"/>
    <w:rsid w:val="00007E8D"/>
    <w:rsid w:val="00011251"/>
    <w:rsid w:val="00012233"/>
    <w:rsid w:val="00023CB1"/>
    <w:rsid w:val="000342C1"/>
    <w:rsid w:val="00055429"/>
    <w:rsid w:val="00057D2B"/>
    <w:rsid w:val="00066C29"/>
    <w:rsid w:val="00076247"/>
    <w:rsid w:val="00081A4F"/>
    <w:rsid w:val="0009169E"/>
    <w:rsid w:val="000A00F2"/>
    <w:rsid w:val="000B173D"/>
    <w:rsid w:val="000B3ACB"/>
    <w:rsid w:val="000D72D4"/>
    <w:rsid w:val="000E19F5"/>
    <w:rsid w:val="000F29B6"/>
    <w:rsid w:val="000F5755"/>
    <w:rsid w:val="000F6E59"/>
    <w:rsid w:val="001073AA"/>
    <w:rsid w:val="00110A3E"/>
    <w:rsid w:val="00132D36"/>
    <w:rsid w:val="00132E0C"/>
    <w:rsid w:val="00145800"/>
    <w:rsid w:val="0016361B"/>
    <w:rsid w:val="00172B59"/>
    <w:rsid w:val="0018047E"/>
    <w:rsid w:val="00191830"/>
    <w:rsid w:val="001A7423"/>
    <w:rsid w:val="001A7F4E"/>
    <w:rsid w:val="001B15B1"/>
    <w:rsid w:val="001B3FA0"/>
    <w:rsid w:val="001B6DE5"/>
    <w:rsid w:val="001C07AB"/>
    <w:rsid w:val="001D334A"/>
    <w:rsid w:val="001F6D48"/>
    <w:rsid w:val="00200AFB"/>
    <w:rsid w:val="0020543D"/>
    <w:rsid w:val="00221F34"/>
    <w:rsid w:val="002379B3"/>
    <w:rsid w:val="00244A93"/>
    <w:rsid w:val="00246F89"/>
    <w:rsid w:val="00247076"/>
    <w:rsid w:val="00247A30"/>
    <w:rsid w:val="00254F35"/>
    <w:rsid w:val="002563D2"/>
    <w:rsid w:val="00263199"/>
    <w:rsid w:val="002656F5"/>
    <w:rsid w:val="002700C1"/>
    <w:rsid w:val="002700D8"/>
    <w:rsid w:val="0027592E"/>
    <w:rsid w:val="00305FAE"/>
    <w:rsid w:val="0030669C"/>
    <w:rsid w:val="00314D0E"/>
    <w:rsid w:val="00326922"/>
    <w:rsid w:val="00335337"/>
    <w:rsid w:val="00337046"/>
    <w:rsid w:val="00343EF9"/>
    <w:rsid w:val="00346F3E"/>
    <w:rsid w:val="00354F51"/>
    <w:rsid w:val="00355DB5"/>
    <w:rsid w:val="00360BD4"/>
    <w:rsid w:val="0037314E"/>
    <w:rsid w:val="00373B7E"/>
    <w:rsid w:val="00377C83"/>
    <w:rsid w:val="0038332E"/>
    <w:rsid w:val="003A1712"/>
    <w:rsid w:val="003A6D4E"/>
    <w:rsid w:val="003B7470"/>
    <w:rsid w:val="003D1CCE"/>
    <w:rsid w:val="003F2566"/>
    <w:rsid w:val="003F6290"/>
    <w:rsid w:val="00412E6A"/>
    <w:rsid w:val="0041539F"/>
    <w:rsid w:val="00425A5B"/>
    <w:rsid w:val="00433537"/>
    <w:rsid w:val="004401A9"/>
    <w:rsid w:val="00444E19"/>
    <w:rsid w:val="00462814"/>
    <w:rsid w:val="00480017"/>
    <w:rsid w:val="0048142F"/>
    <w:rsid w:val="00484EC9"/>
    <w:rsid w:val="00492FC4"/>
    <w:rsid w:val="00496CD4"/>
    <w:rsid w:val="004A70E0"/>
    <w:rsid w:val="004B49D4"/>
    <w:rsid w:val="004B6AAB"/>
    <w:rsid w:val="004B6DF4"/>
    <w:rsid w:val="004C4A43"/>
    <w:rsid w:val="004D566F"/>
    <w:rsid w:val="004F140A"/>
    <w:rsid w:val="004F7F03"/>
    <w:rsid w:val="00501EC3"/>
    <w:rsid w:val="005039FB"/>
    <w:rsid w:val="00504CA2"/>
    <w:rsid w:val="00505846"/>
    <w:rsid w:val="00506590"/>
    <w:rsid w:val="0051076B"/>
    <w:rsid w:val="005271A0"/>
    <w:rsid w:val="00531121"/>
    <w:rsid w:val="005529FC"/>
    <w:rsid w:val="00553469"/>
    <w:rsid w:val="005544D2"/>
    <w:rsid w:val="005563BF"/>
    <w:rsid w:val="00560595"/>
    <w:rsid w:val="00561FA8"/>
    <w:rsid w:val="00571BD3"/>
    <w:rsid w:val="00573D48"/>
    <w:rsid w:val="00584B8D"/>
    <w:rsid w:val="00585577"/>
    <w:rsid w:val="00594723"/>
    <w:rsid w:val="005B0407"/>
    <w:rsid w:val="005F4465"/>
    <w:rsid w:val="006034B4"/>
    <w:rsid w:val="00603ED1"/>
    <w:rsid w:val="00612F80"/>
    <w:rsid w:val="00635F24"/>
    <w:rsid w:val="00637421"/>
    <w:rsid w:val="0064714E"/>
    <w:rsid w:val="006507D1"/>
    <w:rsid w:val="00654850"/>
    <w:rsid w:val="006560C7"/>
    <w:rsid w:val="00664B9E"/>
    <w:rsid w:val="006723C6"/>
    <w:rsid w:val="00677622"/>
    <w:rsid w:val="00692056"/>
    <w:rsid w:val="006B4CB2"/>
    <w:rsid w:val="006B6C8D"/>
    <w:rsid w:val="006D1727"/>
    <w:rsid w:val="006F5E20"/>
    <w:rsid w:val="007050AD"/>
    <w:rsid w:val="0070655D"/>
    <w:rsid w:val="00750B25"/>
    <w:rsid w:val="00753B76"/>
    <w:rsid w:val="00765CC9"/>
    <w:rsid w:val="00766E70"/>
    <w:rsid w:val="007709B6"/>
    <w:rsid w:val="00777B86"/>
    <w:rsid w:val="00782CF3"/>
    <w:rsid w:val="00785E42"/>
    <w:rsid w:val="00785F5B"/>
    <w:rsid w:val="007876A8"/>
    <w:rsid w:val="007956FE"/>
    <w:rsid w:val="0079770E"/>
    <w:rsid w:val="007C2FF0"/>
    <w:rsid w:val="007E0773"/>
    <w:rsid w:val="007F4774"/>
    <w:rsid w:val="0080322E"/>
    <w:rsid w:val="00812769"/>
    <w:rsid w:val="008142B4"/>
    <w:rsid w:val="008147A8"/>
    <w:rsid w:val="008238B4"/>
    <w:rsid w:val="00830DC4"/>
    <w:rsid w:val="0083149C"/>
    <w:rsid w:val="00835694"/>
    <w:rsid w:val="00835DF0"/>
    <w:rsid w:val="00837705"/>
    <w:rsid w:val="00850742"/>
    <w:rsid w:val="0085393E"/>
    <w:rsid w:val="00854858"/>
    <w:rsid w:val="00857710"/>
    <w:rsid w:val="008721C7"/>
    <w:rsid w:val="00877C12"/>
    <w:rsid w:val="00885A47"/>
    <w:rsid w:val="008909C9"/>
    <w:rsid w:val="00894D2E"/>
    <w:rsid w:val="008A1BCB"/>
    <w:rsid w:val="008A62CA"/>
    <w:rsid w:val="008B2432"/>
    <w:rsid w:val="008B2B4B"/>
    <w:rsid w:val="008B5B04"/>
    <w:rsid w:val="008F158F"/>
    <w:rsid w:val="008F18D8"/>
    <w:rsid w:val="009022B9"/>
    <w:rsid w:val="0090233F"/>
    <w:rsid w:val="009032B7"/>
    <w:rsid w:val="009179C3"/>
    <w:rsid w:val="00923DE5"/>
    <w:rsid w:val="009256CB"/>
    <w:rsid w:val="009259B1"/>
    <w:rsid w:val="009345F1"/>
    <w:rsid w:val="00936294"/>
    <w:rsid w:val="00937438"/>
    <w:rsid w:val="009419F2"/>
    <w:rsid w:val="00942B0F"/>
    <w:rsid w:val="0095564E"/>
    <w:rsid w:val="00962200"/>
    <w:rsid w:val="009C1245"/>
    <w:rsid w:val="009D12A6"/>
    <w:rsid w:val="009F4568"/>
    <w:rsid w:val="00A122A0"/>
    <w:rsid w:val="00A14CD0"/>
    <w:rsid w:val="00A15FD9"/>
    <w:rsid w:val="00A36F56"/>
    <w:rsid w:val="00A40C88"/>
    <w:rsid w:val="00A55913"/>
    <w:rsid w:val="00A8427A"/>
    <w:rsid w:val="00A855A5"/>
    <w:rsid w:val="00A87495"/>
    <w:rsid w:val="00A9042F"/>
    <w:rsid w:val="00A91774"/>
    <w:rsid w:val="00A92DED"/>
    <w:rsid w:val="00AB17EB"/>
    <w:rsid w:val="00AF6558"/>
    <w:rsid w:val="00B004A8"/>
    <w:rsid w:val="00B12667"/>
    <w:rsid w:val="00B149EC"/>
    <w:rsid w:val="00B15D03"/>
    <w:rsid w:val="00B20683"/>
    <w:rsid w:val="00B2072C"/>
    <w:rsid w:val="00B20D19"/>
    <w:rsid w:val="00B35898"/>
    <w:rsid w:val="00B37BAF"/>
    <w:rsid w:val="00B40BC1"/>
    <w:rsid w:val="00B547C1"/>
    <w:rsid w:val="00B54C44"/>
    <w:rsid w:val="00B66D12"/>
    <w:rsid w:val="00B66FD1"/>
    <w:rsid w:val="00B73595"/>
    <w:rsid w:val="00B769DE"/>
    <w:rsid w:val="00B806B8"/>
    <w:rsid w:val="00B8169F"/>
    <w:rsid w:val="00BA45CC"/>
    <w:rsid w:val="00BB0646"/>
    <w:rsid w:val="00BB21CC"/>
    <w:rsid w:val="00BC2E31"/>
    <w:rsid w:val="00BD0D0C"/>
    <w:rsid w:val="00BD12D1"/>
    <w:rsid w:val="00BF0382"/>
    <w:rsid w:val="00C171EA"/>
    <w:rsid w:val="00C219F4"/>
    <w:rsid w:val="00C2791A"/>
    <w:rsid w:val="00C47B15"/>
    <w:rsid w:val="00C579AD"/>
    <w:rsid w:val="00C6607A"/>
    <w:rsid w:val="00C77DDA"/>
    <w:rsid w:val="00C80ADE"/>
    <w:rsid w:val="00C82D1D"/>
    <w:rsid w:val="00C8645C"/>
    <w:rsid w:val="00C86B25"/>
    <w:rsid w:val="00C952B7"/>
    <w:rsid w:val="00C95532"/>
    <w:rsid w:val="00CB5795"/>
    <w:rsid w:val="00CC0B6F"/>
    <w:rsid w:val="00CC16CB"/>
    <w:rsid w:val="00CC2ECC"/>
    <w:rsid w:val="00CC383D"/>
    <w:rsid w:val="00CC6258"/>
    <w:rsid w:val="00CE1394"/>
    <w:rsid w:val="00CE3039"/>
    <w:rsid w:val="00CF3A8F"/>
    <w:rsid w:val="00D120F4"/>
    <w:rsid w:val="00D40B1F"/>
    <w:rsid w:val="00D469AF"/>
    <w:rsid w:val="00D51B4B"/>
    <w:rsid w:val="00D566C3"/>
    <w:rsid w:val="00D608B4"/>
    <w:rsid w:val="00D64638"/>
    <w:rsid w:val="00D85DEF"/>
    <w:rsid w:val="00D879A8"/>
    <w:rsid w:val="00D94832"/>
    <w:rsid w:val="00DA6691"/>
    <w:rsid w:val="00DB2232"/>
    <w:rsid w:val="00DE4978"/>
    <w:rsid w:val="00DF0871"/>
    <w:rsid w:val="00DF2BD9"/>
    <w:rsid w:val="00DF56FB"/>
    <w:rsid w:val="00E130D7"/>
    <w:rsid w:val="00E51F21"/>
    <w:rsid w:val="00E54113"/>
    <w:rsid w:val="00E80369"/>
    <w:rsid w:val="00E86022"/>
    <w:rsid w:val="00E93825"/>
    <w:rsid w:val="00E94EDE"/>
    <w:rsid w:val="00EA00BF"/>
    <w:rsid w:val="00EB45AD"/>
    <w:rsid w:val="00EC412C"/>
    <w:rsid w:val="00EE6A89"/>
    <w:rsid w:val="00EF7582"/>
    <w:rsid w:val="00F027F0"/>
    <w:rsid w:val="00F33061"/>
    <w:rsid w:val="00F42549"/>
    <w:rsid w:val="00F54BCA"/>
    <w:rsid w:val="00F56593"/>
    <w:rsid w:val="00F748C1"/>
    <w:rsid w:val="00F81618"/>
    <w:rsid w:val="00FB1B24"/>
    <w:rsid w:val="00FC20BB"/>
    <w:rsid w:val="00FC6B6B"/>
    <w:rsid w:val="00FD47F1"/>
    <w:rsid w:val="00FE1F88"/>
    <w:rsid w:val="00FF1106"/>
    <w:rsid w:val="00FF16CB"/>
    <w:rsid w:val="01397403"/>
    <w:rsid w:val="07733B7A"/>
    <w:rsid w:val="09E14BEC"/>
    <w:rsid w:val="0DF478F7"/>
    <w:rsid w:val="0F455AD1"/>
    <w:rsid w:val="12104B36"/>
    <w:rsid w:val="160D22A1"/>
    <w:rsid w:val="17B87F6C"/>
    <w:rsid w:val="18B95966"/>
    <w:rsid w:val="1AC12441"/>
    <w:rsid w:val="1C212716"/>
    <w:rsid w:val="1C6111D8"/>
    <w:rsid w:val="1E5EF591"/>
    <w:rsid w:val="25D07BEE"/>
    <w:rsid w:val="30FC3F6A"/>
    <w:rsid w:val="3530639B"/>
    <w:rsid w:val="375A6729"/>
    <w:rsid w:val="3AB23DE9"/>
    <w:rsid w:val="3B8B0843"/>
    <w:rsid w:val="3D0F5E81"/>
    <w:rsid w:val="3EB3456B"/>
    <w:rsid w:val="40CB3499"/>
    <w:rsid w:val="420D5323"/>
    <w:rsid w:val="42FC322C"/>
    <w:rsid w:val="4515768F"/>
    <w:rsid w:val="47DF1436"/>
    <w:rsid w:val="485574A9"/>
    <w:rsid w:val="48B76C79"/>
    <w:rsid w:val="4BEF15E9"/>
    <w:rsid w:val="4EA92FDE"/>
    <w:rsid w:val="52B3D561"/>
    <w:rsid w:val="546327DF"/>
    <w:rsid w:val="55CE132B"/>
    <w:rsid w:val="577C7118"/>
    <w:rsid w:val="590C5A61"/>
    <w:rsid w:val="59671E5D"/>
    <w:rsid w:val="5A0227E9"/>
    <w:rsid w:val="5CF612F4"/>
    <w:rsid w:val="5D8E897E"/>
    <w:rsid w:val="5E2D6537"/>
    <w:rsid w:val="5FDF2685"/>
    <w:rsid w:val="607D367A"/>
    <w:rsid w:val="62E728F6"/>
    <w:rsid w:val="63613E0A"/>
    <w:rsid w:val="69670123"/>
    <w:rsid w:val="6ADF2019"/>
    <w:rsid w:val="6E104562"/>
    <w:rsid w:val="6F3A0AB4"/>
    <w:rsid w:val="6FB7FE17"/>
    <w:rsid w:val="701B00A9"/>
    <w:rsid w:val="7143554D"/>
    <w:rsid w:val="73E85FFE"/>
    <w:rsid w:val="762B2479"/>
    <w:rsid w:val="76F70EF1"/>
    <w:rsid w:val="79513F52"/>
    <w:rsid w:val="7B771939"/>
    <w:rsid w:val="7BEABC3B"/>
    <w:rsid w:val="7EDEEADC"/>
    <w:rsid w:val="7FFF9A15"/>
    <w:rsid w:val="8BF72670"/>
    <w:rsid w:val="AB739106"/>
    <w:rsid w:val="CD3BC2D0"/>
    <w:rsid w:val="D27E43EF"/>
    <w:rsid w:val="F2BFAB61"/>
    <w:rsid w:val="F76FB457"/>
    <w:rsid w:val="F8ED366B"/>
    <w:rsid w:val="FF4F2352"/>
    <w:rsid w:val="FFF7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line="600" w:lineRule="exact"/>
      <w:ind w:firstLine="200" w:firstLineChars="200"/>
    </w:pPr>
    <w:rPr>
      <w:rFonts w:eastAsia="仿宋_GB2312"/>
      <w:sz w:val="32"/>
      <w:szCs w:val="22"/>
    </w:rPr>
  </w:style>
  <w:style w:type="paragraph" w:styleId="3">
    <w:name w:val="Balloon Text"/>
    <w:basedOn w:val="1"/>
    <w:link w:val="12"/>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Plain Text1"/>
    <w:basedOn w:val="1"/>
    <w:qFormat/>
    <w:uiPriority w:val="0"/>
    <w:rPr>
      <w:rFonts w:ascii="宋体" w:hAnsi="Courier New" w:eastAsia="宋体" w:cs="宋体"/>
      <w:sz w:val="30"/>
      <w:szCs w:val="21"/>
    </w:rPr>
  </w:style>
  <w:style w:type="paragraph" w:customStyle="1" w:styleId="11">
    <w:name w:val="Heading3"/>
    <w:basedOn w:val="1"/>
    <w:next w:val="1"/>
    <w:qFormat/>
    <w:uiPriority w:val="0"/>
    <w:pPr>
      <w:keepNext/>
      <w:keepLines/>
      <w:spacing w:before="260" w:after="260" w:line="416" w:lineRule="auto"/>
    </w:pPr>
    <w:rPr>
      <w:b/>
      <w:bCs/>
      <w:sz w:val="32"/>
      <w:szCs w:val="32"/>
    </w:rPr>
  </w:style>
  <w:style w:type="character" w:customStyle="1" w:styleId="12">
    <w:name w:val="批注框文本 Char"/>
    <w:basedOn w:val="7"/>
    <w:link w:val="3"/>
    <w:qFormat/>
    <w:uiPriority w:val="0"/>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页眉 Char"/>
    <w:basedOn w:val="7"/>
    <w:link w:val="5"/>
    <w:qFormat/>
    <w:uiPriority w:val="0"/>
    <w:rPr>
      <w:kern w:val="2"/>
      <w:sz w:val="18"/>
      <w:szCs w:val="18"/>
    </w:rPr>
  </w:style>
  <w:style w:type="character" w:customStyle="1" w:styleId="15">
    <w:name w:val="页脚 Char"/>
    <w:basedOn w:val="7"/>
    <w:link w:val="4"/>
    <w:qFormat/>
    <w:uiPriority w:val="0"/>
    <w:rPr>
      <w:kern w:val="2"/>
      <w:sz w:val="18"/>
      <w:szCs w:val="18"/>
    </w:rPr>
  </w:style>
  <w:style w:type="character" w:customStyle="1" w:styleId="16">
    <w:name w:val="specialfontsize"/>
    <w:basedOn w:val="7"/>
    <w:qFormat/>
    <w:uiPriority w:val="0"/>
  </w:style>
  <w:style w:type="character" w:customStyle="1" w:styleId="17">
    <w:name w:val="HTML 预设格式 Char"/>
    <w:basedOn w:val="7"/>
    <w:link w:val="6"/>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5254</Words>
  <Characters>5288</Characters>
  <Lines>3</Lines>
  <Paragraphs>1</Paragraphs>
  <TotalTime>11</TotalTime>
  <ScaleCrop>false</ScaleCrop>
  <LinksUpToDate>false</LinksUpToDate>
  <CharactersWithSpaces>5288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2024-06-01T17:09:00Z</dcterms:created>
  <dc:creator>Administrator</dc:creator>
  <cp:lastModifiedBy>陈彦麟</cp:lastModifiedBy>
  <cp:lastPrinted>2026-05-01T15:05:00Z</cp:lastPrinted>
  <dcterms:modified xsi:type="dcterms:W3CDTF">2026-06-17T07:06:19Z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0CF5F13E99FBAB7AE8782F6A6D058499_43</vt:lpwstr>
  </property>
  <property fmtid="{D5CDD505-2E9C-101B-9397-08002B2CF9AE}" pid="4" name="KSOTemplateDocerSaveRecord">
    <vt:lpwstr>eyJoZGlkIjoiNzYzZmI4ZGIwMzg0MTNhOWI5MmIyMDFmZmExMjk5OWQiLCJ1c2VySWQiOiI4MDA1OTQwODAifQ==</vt:lpwstr>
  </property>
</Properties>
</file>