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eastAsia="方正仿宋_GBK"/>
          <w:bCs/>
          <w:sz w:val="44"/>
          <w:szCs w:val="44"/>
          <w:lang w:val="en-US" w:eastAsia="zh-CN"/>
        </w:rPr>
      </w:pPr>
      <w:r>
        <w:rPr>
          <w:rFonts w:eastAsia="方正仿宋_GBK"/>
          <w:sz w:val="32"/>
          <w:szCs w:val="32"/>
        </w:rPr>
        <w:t>附件</w:t>
      </w:r>
      <w:r>
        <w:rPr>
          <w:rFonts w:hint="eastAsia" w:eastAsia="方正仿宋_GBK"/>
          <w:sz w:val="32"/>
          <w:szCs w:val="32"/>
          <w:lang w:val="en-US" w:eastAsia="zh-CN"/>
        </w:rPr>
        <w:t>3</w:t>
      </w:r>
      <w:bookmarkStart w:id="2" w:name="_GoBack"/>
      <w:bookmarkEnd w:id="2"/>
    </w:p>
    <w:p>
      <w:pPr>
        <w:adjustRightInd w:val="0"/>
        <w:snapToGrid w:val="0"/>
        <w:spacing w:line="560" w:lineRule="exact"/>
        <w:jc w:val="center"/>
        <w:rPr>
          <w:rFonts w:ascii="方正公文小标宋" w:hAnsi="方正公文小标宋" w:eastAsia="方正公文小标宋" w:cs="方正公文小标宋"/>
          <w:bCs/>
          <w:sz w:val="44"/>
          <w:szCs w:val="44"/>
        </w:rPr>
      </w:pPr>
    </w:p>
    <w:p>
      <w:pPr>
        <w:spacing w:line="560" w:lineRule="exact"/>
        <w:jc w:val="center"/>
        <w:rPr>
          <w:rFonts w:hint="eastAsia" w:ascii="方正公文小标宋" w:hAnsi="方正公文小标宋" w:eastAsia="方正公文小标宋" w:cs="方正公文小标宋"/>
          <w:bCs/>
          <w:sz w:val="44"/>
          <w:szCs w:val="44"/>
        </w:rPr>
      </w:pPr>
      <w:r>
        <w:rPr>
          <w:rFonts w:hint="eastAsia" w:ascii="方正公文小标宋" w:hAnsi="方正公文小标宋" w:eastAsia="方正公文小标宋" w:cs="方正公文小标宋"/>
          <w:bCs/>
          <w:sz w:val="44"/>
          <w:szCs w:val="44"/>
        </w:rPr>
        <w:t>世界青年技能日暨粤港澳（江门）技能嘉年华交流系列活动项目</w:t>
      </w:r>
    </w:p>
    <w:p>
      <w:pPr>
        <w:spacing w:line="560" w:lineRule="exact"/>
        <w:jc w:val="center"/>
        <w:rPr>
          <w:rFonts w:eastAsia="仿宋_GB2312"/>
          <w:sz w:val="32"/>
          <w:szCs w:val="32"/>
        </w:rPr>
      </w:pPr>
      <w:r>
        <w:rPr>
          <w:rFonts w:hint="eastAsia" w:ascii="方正公文小标宋" w:hAnsi="方正公文小标宋" w:eastAsia="方正公文小标宋" w:cs="方正公文小标宋"/>
          <w:bCs/>
          <w:sz w:val="44"/>
          <w:szCs w:val="44"/>
        </w:rPr>
        <w:t>择优比选评分标准</w:t>
      </w: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一、资格性审核表</w:t>
      </w:r>
    </w:p>
    <w:tbl>
      <w:tblPr>
        <w:tblStyle w:val="15"/>
        <w:tblW w:w="14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
        <w:gridCol w:w="3056"/>
        <w:gridCol w:w="10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030" w:type="dxa"/>
            <w:shd w:val="clear" w:color="auto" w:fill="C6D9F0" w:themeFill="text2" w:themeFillTint="33"/>
            <w:vAlign w:val="center"/>
          </w:tcPr>
          <w:p>
            <w:pPr>
              <w:spacing w:line="560" w:lineRule="exact"/>
              <w:jc w:val="center"/>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序号</w:t>
            </w:r>
          </w:p>
        </w:tc>
        <w:tc>
          <w:tcPr>
            <w:tcW w:w="3056" w:type="dxa"/>
            <w:shd w:val="clear" w:color="auto" w:fill="C6D9F0" w:themeFill="text2" w:themeFillTint="33"/>
            <w:vAlign w:val="center"/>
          </w:tcPr>
          <w:p>
            <w:pPr>
              <w:spacing w:line="560" w:lineRule="exact"/>
              <w:jc w:val="center"/>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内容</w:t>
            </w:r>
          </w:p>
        </w:tc>
        <w:tc>
          <w:tcPr>
            <w:tcW w:w="10293" w:type="dxa"/>
            <w:shd w:val="clear" w:color="auto" w:fill="C6D9F0" w:themeFill="text2" w:themeFillTint="33"/>
            <w:vAlign w:val="center"/>
          </w:tcPr>
          <w:p>
            <w:pPr>
              <w:spacing w:line="560" w:lineRule="exact"/>
              <w:jc w:val="center"/>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需查验资料清单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79" w:hRule="atLeast"/>
          <w:jc w:val="center"/>
        </w:trPr>
        <w:tc>
          <w:tcPr>
            <w:tcW w:w="1030" w:type="dxa"/>
            <w:vAlign w:val="center"/>
          </w:tcPr>
          <w:p>
            <w:pPr>
              <w:spacing w:line="460" w:lineRule="exact"/>
              <w:jc w:val="center"/>
              <w:rPr>
                <w:rFonts w:eastAsia="方正仿宋_GBK"/>
                <w:sz w:val="28"/>
                <w:szCs w:val="28"/>
              </w:rPr>
            </w:pPr>
            <w:r>
              <w:rPr>
                <w:rFonts w:eastAsia="方正仿宋_GBK"/>
                <w:sz w:val="28"/>
                <w:szCs w:val="28"/>
              </w:rPr>
              <w:t>1</w:t>
            </w:r>
          </w:p>
        </w:tc>
        <w:tc>
          <w:tcPr>
            <w:tcW w:w="3056" w:type="dxa"/>
            <w:vAlign w:val="center"/>
          </w:tcPr>
          <w:p>
            <w:pPr>
              <w:spacing w:line="460" w:lineRule="exact"/>
              <w:rPr>
                <w:rFonts w:eastAsia="方正仿宋_GBK"/>
                <w:sz w:val="28"/>
                <w:szCs w:val="28"/>
              </w:rPr>
            </w:pPr>
            <w:r>
              <w:rPr>
                <w:rFonts w:eastAsia="方正仿宋_GBK"/>
                <w:sz w:val="28"/>
                <w:szCs w:val="28"/>
              </w:rPr>
              <w:t>具有独立承担民事责任的能力</w:t>
            </w:r>
          </w:p>
        </w:tc>
        <w:tc>
          <w:tcPr>
            <w:tcW w:w="10293" w:type="dxa"/>
          </w:tcPr>
          <w:p>
            <w:pPr>
              <w:spacing w:line="460" w:lineRule="exact"/>
              <w:jc w:val="left"/>
              <w:rPr>
                <w:rFonts w:eastAsia="方正仿宋_GBK"/>
                <w:sz w:val="28"/>
                <w:szCs w:val="28"/>
              </w:rPr>
            </w:pPr>
            <w:r>
              <w:rPr>
                <w:rFonts w:eastAsia="方正仿宋_GBK"/>
                <w:spacing w:val="-3"/>
                <w:sz w:val="28"/>
                <w:szCs w:val="28"/>
              </w:rPr>
              <w:t>提供在中华人民共和国境内注册的法人或其他组织</w:t>
            </w:r>
            <w:r>
              <w:rPr>
                <w:rFonts w:eastAsia="方正仿宋_GBK"/>
                <w:spacing w:val="1"/>
                <w:sz w:val="28"/>
                <w:szCs w:val="28"/>
              </w:rPr>
              <w:t>的营业执照或事业单位法人证书或社会团体法人登记证书复印件，如投标人为自然</w:t>
            </w:r>
            <w:r>
              <w:rPr>
                <w:rFonts w:eastAsia="方正仿宋_GBK"/>
                <w:spacing w:val="-3"/>
                <w:sz w:val="28"/>
                <w:szCs w:val="28"/>
              </w:rPr>
              <w:t>人的提供自然人身份证明复印件；如国家另有规定的，则从其规定。（分支机构投</w:t>
            </w:r>
            <w:r>
              <w:rPr>
                <w:rFonts w:eastAsia="方正仿宋_GBK"/>
                <w:spacing w:val="-2"/>
                <w:sz w:val="28"/>
                <w:szCs w:val="28"/>
              </w:rPr>
              <w:t>标，须取得具有法人资格的总公司（总所）出具给分支机构的授权书，并提供总公</w:t>
            </w:r>
            <w:r>
              <w:rPr>
                <w:rFonts w:eastAsia="方正仿宋_GBK"/>
                <w:spacing w:val="-6"/>
                <w:sz w:val="28"/>
                <w:szCs w:val="28"/>
              </w:rPr>
              <w:t>司（总所）和分支机构的营业执照（执业许可证）复印件</w:t>
            </w:r>
            <w:r>
              <w:rPr>
                <w:rFonts w:hint="eastAsia" w:eastAsia="方正仿宋_GBK"/>
                <w:spacing w:val="-6"/>
                <w:sz w:val="28"/>
                <w:szCs w:val="28"/>
              </w:rPr>
              <w:t>；</w:t>
            </w:r>
            <w:r>
              <w:rPr>
                <w:rFonts w:eastAsia="方正仿宋_GBK"/>
                <w:spacing w:val="-6"/>
                <w:sz w:val="28"/>
                <w:szCs w:val="28"/>
              </w:rPr>
              <w:t>已由总公司（总所）授</w:t>
            </w:r>
            <w:r>
              <w:rPr>
                <w:rFonts w:eastAsia="方正仿宋_GBK"/>
                <w:spacing w:val="-1"/>
                <w:sz w:val="28"/>
                <w:szCs w:val="28"/>
              </w:rPr>
              <w:t>权的，总公司（总所）取得的相关资质证书对分支机构有效，法律法规或者行业另</w:t>
            </w:r>
            <w:r>
              <w:rPr>
                <w:rFonts w:eastAsia="方正仿宋_GBK"/>
                <w:sz w:val="28"/>
                <w:szCs w:val="28"/>
              </w:rPr>
              <w:t>有规定的除外）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1030" w:type="dxa"/>
            <w:vAlign w:val="center"/>
          </w:tcPr>
          <w:p>
            <w:pPr>
              <w:spacing w:line="460" w:lineRule="exact"/>
              <w:jc w:val="center"/>
              <w:rPr>
                <w:rFonts w:eastAsia="方正仿宋_GBK"/>
                <w:sz w:val="28"/>
                <w:szCs w:val="28"/>
              </w:rPr>
            </w:pPr>
            <w:r>
              <w:rPr>
                <w:rFonts w:eastAsia="方正仿宋_GBK"/>
                <w:sz w:val="28"/>
                <w:szCs w:val="28"/>
              </w:rPr>
              <w:t>2</w:t>
            </w:r>
          </w:p>
        </w:tc>
        <w:tc>
          <w:tcPr>
            <w:tcW w:w="3056" w:type="dxa"/>
            <w:vAlign w:val="center"/>
          </w:tcPr>
          <w:p>
            <w:pPr>
              <w:spacing w:line="460" w:lineRule="exact"/>
              <w:rPr>
                <w:rFonts w:eastAsia="方正仿宋_GBK"/>
                <w:sz w:val="28"/>
                <w:szCs w:val="28"/>
              </w:rPr>
            </w:pPr>
            <w:r>
              <w:rPr>
                <w:rFonts w:eastAsia="方正仿宋_GBK"/>
                <w:spacing w:val="1"/>
                <w:sz w:val="28"/>
                <w:szCs w:val="28"/>
              </w:rPr>
              <w:t>有依法缴纳税收和社会保障</w:t>
            </w:r>
            <w:r>
              <w:rPr>
                <w:rFonts w:eastAsia="方正仿宋_GBK"/>
                <w:spacing w:val="-1"/>
                <w:sz w:val="28"/>
                <w:szCs w:val="28"/>
              </w:rPr>
              <w:t>资金的良好记录</w:t>
            </w:r>
          </w:p>
        </w:tc>
        <w:tc>
          <w:tcPr>
            <w:tcW w:w="10293" w:type="dxa"/>
            <w:vAlign w:val="center"/>
          </w:tcPr>
          <w:p>
            <w:pPr>
              <w:spacing w:line="460" w:lineRule="exact"/>
              <w:jc w:val="left"/>
              <w:rPr>
                <w:rFonts w:eastAsia="方正仿宋_GBK"/>
                <w:sz w:val="28"/>
                <w:szCs w:val="28"/>
              </w:rPr>
            </w:pPr>
            <w:r>
              <w:rPr>
                <w:rFonts w:eastAsia="方正仿宋_GBK"/>
                <w:sz w:val="28"/>
                <w:szCs w:val="28"/>
              </w:rPr>
              <w:t>提供202</w:t>
            </w:r>
            <w:r>
              <w:rPr>
                <w:rFonts w:hint="eastAsia" w:eastAsia="方正仿宋_GBK"/>
                <w:sz w:val="28"/>
                <w:szCs w:val="28"/>
                <w:lang w:val="en-US" w:eastAsia="zh-CN"/>
              </w:rPr>
              <w:t>6</w:t>
            </w:r>
            <w:r>
              <w:rPr>
                <w:rFonts w:eastAsia="方正仿宋_GBK"/>
                <w:sz w:val="28"/>
                <w:szCs w:val="28"/>
              </w:rPr>
              <w:t>年1月至今任意1个月的依法缴纳税收和社会保障资金的相关材料复印件；如依法免税或不需要缴纳社会保障资金的，应当提供相应证明文件复印件</w:t>
            </w:r>
            <w:r>
              <w:rPr>
                <w:rFonts w:hint="eastAsia" w:eastAsia="方正仿宋_GBK"/>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3" w:hRule="atLeast"/>
          <w:jc w:val="center"/>
        </w:trPr>
        <w:tc>
          <w:tcPr>
            <w:tcW w:w="1030" w:type="dxa"/>
            <w:vAlign w:val="center"/>
          </w:tcPr>
          <w:p>
            <w:pPr>
              <w:spacing w:line="460" w:lineRule="exact"/>
              <w:jc w:val="center"/>
              <w:rPr>
                <w:rFonts w:eastAsia="方正仿宋_GBK"/>
                <w:sz w:val="28"/>
                <w:szCs w:val="28"/>
              </w:rPr>
            </w:pPr>
            <w:r>
              <w:rPr>
                <w:rFonts w:eastAsia="方正仿宋_GBK"/>
                <w:sz w:val="28"/>
                <w:szCs w:val="28"/>
              </w:rPr>
              <w:t>3</w:t>
            </w:r>
          </w:p>
        </w:tc>
        <w:tc>
          <w:tcPr>
            <w:tcW w:w="3056" w:type="dxa"/>
            <w:vAlign w:val="center"/>
          </w:tcPr>
          <w:p>
            <w:pPr>
              <w:spacing w:line="460" w:lineRule="exact"/>
              <w:rPr>
                <w:rFonts w:eastAsia="方正仿宋_GBK"/>
                <w:sz w:val="28"/>
                <w:szCs w:val="28"/>
              </w:rPr>
            </w:pPr>
            <w:r>
              <w:rPr>
                <w:rFonts w:eastAsia="方正仿宋_GBK"/>
                <w:sz w:val="28"/>
                <w:szCs w:val="28"/>
              </w:rPr>
              <w:t>具有良好的商业信誉和健全的财务会计制度</w:t>
            </w:r>
          </w:p>
        </w:tc>
        <w:tc>
          <w:tcPr>
            <w:tcW w:w="10293" w:type="dxa"/>
            <w:vAlign w:val="center"/>
          </w:tcPr>
          <w:p>
            <w:pPr>
              <w:spacing w:line="460" w:lineRule="exact"/>
              <w:jc w:val="left"/>
              <w:rPr>
                <w:rFonts w:eastAsia="方正仿宋_GBK"/>
                <w:sz w:val="28"/>
                <w:szCs w:val="28"/>
              </w:rPr>
            </w:pPr>
            <w:r>
              <w:rPr>
                <w:rFonts w:eastAsia="方正仿宋_GBK"/>
                <w:sz w:val="28"/>
                <w:szCs w:val="28"/>
              </w:rPr>
              <w:t>提供202</w:t>
            </w:r>
            <w:r>
              <w:rPr>
                <w:rFonts w:hint="eastAsia" w:eastAsia="方正仿宋_GBK"/>
                <w:sz w:val="28"/>
                <w:szCs w:val="28"/>
              </w:rPr>
              <w:t>5</w:t>
            </w:r>
            <w:r>
              <w:rPr>
                <w:rFonts w:eastAsia="方正仿宋_GBK"/>
                <w:sz w:val="28"/>
                <w:szCs w:val="28"/>
              </w:rPr>
              <w:t>年1月至今任意1个月的财务状况报告或银行出具的资信证明复印件</w:t>
            </w:r>
            <w:r>
              <w:rPr>
                <w:rFonts w:hint="eastAsia" w:eastAsia="方正仿宋_GBK"/>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030" w:type="dxa"/>
            <w:vAlign w:val="center"/>
          </w:tcPr>
          <w:p>
            <w:pPr>
              <w:spacing w:line="460" w:lineRule="exact"/>
              <w:jc w:val="center"/>
              <w:rPr>
                <w:rFonts w:eastAsia="方正仿宋_GBK"/>
                <w:spacing w:val="1"/>
                <w:sz w:val="28"/>
                <w:szCs w:val="28"/>
              </w:rPr>
            </w:pPr>
            <w:r>
              <w:rPr>
                <w:rFonts w:eastAsia="方正仿宋_GBK"/>
                <w:spacing w:val="1"/>
                <w:sz w:val="28"/>
                <w:szCs w:val="28"/>
              </w:rPr>
              <w:t>4</w:t>
            </w:r>
          </w:p>
        </w:tc>
        <w:tc>
          <w:tcPr>
            <w:tcW w:w="3056" w:type="dxa"/>
            <w:vAlign w:val="center"/>
          </w:tcPr>
          <w:p>
            <w:pPr>
              <w:spacing w:line="460" w:lineRule="exact"/>
              <w:rPr>
                <w:rFonts w:eastAsia="方正仿宋_GBK"/>
                <w:spacing w:val="1"/>
                <w:sz w:val="28"/>
                <w:szCs w:val="28"/>
              </w:rPr>
            </w:pPr>
            <w:r>
              <w:rPr>
                <w:rFonts w:eastAsia="方正仿宋_GBK"/>
                <w:spacing w:val="1"/>
                <w:sz w:val="28"/>
                <w:szCs w:val="28"/>
              </w:rPr>
              <w:t>履行合同所必须的设备和专业技术能力</w:t>
            </w:r>
          </w:p>
        </w:tc>
        <w:tc>
          <w:tcPr>
            <w:tcW w:w="10293" w:type="dxa"/>
            <w:vAlign w:val="center"/>
          </w:tcPr>
          <w:p>
            <w:pPr>
              <w:spacing w:line="460" w:lineRule="exact"/>
              <w:jc w:val="left"/>
              <w:rPr>
                <w:rFonts w:eastAsia="方正仿宋_GBK"/>
                <w:sz w:val="28"/>
                <w:szCs w:val="28"/>
              </w:rPr>
            </w:pPr>
            <w:bookmarkStart w:id="0" w:name="OLE_LINK2"/>
            <w:r>
              <w:rPr>
                <w:rFonts w:eastAsia="方正仿宋_GBK"/>
                <w:sz w:val="28"/>
                <w:szCs w:val="28"/>
              </w:rPr>
              <w:t>提供</w:t>
            </w:r>
            <w:r>
              <w:rPr>
                <w:rFonts w:eastAsia="方正仿宋_GBK"/>
                <w:spacing w:val="-2"/>
                <w:sz w:val="28"/>
                <w:szCs w:val="28"/>
              </w:rPr>
              <w:t>《关于供应商资格的声明函》</w:t>
            </w:r>
            <w:bookmarkStart w:id="1" w:name="OLE_LINK1"/>
            <w:r>
              <w:rPr>
                <w:rFonts w:eastAsia="方正仿宋_GBK"/>
                <w:sz w:val="28"/>
                <w:szCs w:val="28"/>
              </w:rPr>
              <w:t>并加盖公章</w:t>
            </w:r>
            <w:bookmarkEnd w:id="1"/>
            <w:r>
              <w:rPr>
                <w:rFonts w:hint="eastAsia" w:eastAsia="方正仿宋_GBK"/>
                <w:sz w:val="28"/>
                <w:szCs w:val="28"/>
              </w:rPr>
              <w:t>。</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2" w:hRule="atLeast"/>
          <w:jc w:val="center"/>
        </w:trPr>
        <w:tc>
          <w:tcPr>
            <w:tcW w:w="1030" w:type="dxa"/>
            <w:vAlign w:val="center"/>
          </w:tcPr>
          <w:p>
            <w:pPr>
              <w:spacing w:line="460" w:lineRule="exact"/>
              <w:jc w:val="center"/>
              <w:rPr>
                <w:rFonts w:eastAsia="方正仿宋_GBK"/>
                <w:sz w:val="28"/>
                <w:szCs w:val="28"/>
              </w:rPr>
            </w:pPr>
            <w:r>
              <w:rPr>
                <w:rFonts w:eastAsia="方正仿宋_GBK"/>
                <w:sz w:val="28"/>
                <w:szCs w:val="28"/>
              </w:rPr>
              <w:t>5</w:t>
            </w:r>
          </w:p>
        </w:tc>
        <w:tc>
          <w:tcPr>
            <w:tcW w:w="3056" w:type="dxa"/>
            <w:vAlign w:val="center"/>
          </w:tcPr>
          <w:p>
            <w:pPr>
              <w:spacing w:line="460" w:lineRule="exact"/>
              <w:jc w:val="left"/>
              <w:rPr>
                <w:rFonts w:eastAsia="方正仿宋_GBK"/>
                <w:sz w:val="28"/>
                <w:szCs w:val="28"/>
              </w:rPr>
            </w:pPr>
            <w:r>
              <w:rPr>
                <w:rFonts w:eastAsia="方正仿宋_GBK"/>
                <w:spacing w:val="1"/>
                <w:sz w:val="28"/>
                <w:szCs w:val="28"/>
              </w:rPr>
              <w:t>参加采购活动前3年内在经</w:t>
            </w:r>
            <w:r>
              <w:rPr>
                <w:rFonts w:eastAsia="方正仿宋_GBK"/>
                <w:sz w:val="28"/>
                <w:szCs w:val="28"/>
              </w:rPr>
              <w:t>营活动中没有重大违法记录</w:t>
            </w:r>
          </w:p>
        </w:tc>
        <w:tc>
          <w:tcPr>
            <w:tcW w:w="10293" w:type="dxa"/>
            <w:vAlign w:val="center"/>
          </w:tcPr>
          <w:p>
            <w:pPr>
              <w:spacing w:line="460" w:lineRule="exact"/>
              <w:jc w:val="left"/>
              <w:rPr>
                <w:rFonts w:eastAsia="方正仿宋_GBK"/>
                <w:sz w:val="28"/>
                <w:szCs w:val="28"/>
              </w:rPr>
            </w:pPr>
            <w:r>
              <w:rPr>
                <w:rFonts w:eastAsia="方正仿宋_GBK"/>
                <w:sz w:val="28"/>
                <w:szCs w:val="28"/>
              </w:rPr>
              <w:t>供应商在参加采购活动前3年内，在经营活动中没有重大违法记录。重大违法记录，是指供应商因违法经营受到刑事处罚或者责令停产停业、吊销许可证或者执照、较大数额罚款等行政处罚。依据财库〔2022〕3号文规定，较大数额罚款认定为200万元以上的罚款，法律、行政法规以及国务院有关部门明确规定相关领域“较大数额罚款”标准高于200万元的，从其规定。</w:t>
            </w:r>
            <w:r>
              <w:rPr>
                <w:rFonts w:eastAsia="方正仿宋_GBK"/>
                <w:spacing w:val="-2"/>
                <w:sz w:val="28"/>
                <w:szCs w:val="28"/>
              </w:rPr>
              <w:t>提供《关于供应商资格的声明函》</w:t>
            </w:r>
            <w:r>
              <w:rPr>
                <w:rFonts w:eastAsia="方正仿宋_GBK"/>
                <w:sz w:val="28"/>
                <w:szCs w:val="28"/>
              </w:rPr>
              <w:t>并加盖公章</w:t>
            </w:r>
            <w:r>
              <w:rPr>
                <w:rFonts w:eastAsia="方正仿宋_GBK"/>
                <w:spacing w:val="-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jc w:val="center"/>
        </w:trPr>
        <w:tc>
          <w:tcPr>
            <w:tcW w:w="1030" w:type="dxa"/>
            <w:vAlign w:val="center"/>
          </w:tcPr>
          <w:p>
            <w:pPr>
              <w:spacing w:line="460" w:lineRule="exact"/>
              <w:jc w:val="center"/>
              <w:rPr>
                <w:rFonts w:eastAsia="方正仿宋_GBK"/>
                <w:sz w:val="28"/>
                <w:szCs w:val="28"/>
              </w:rPr>
            </w:pPr>
            <w:r>
              <w:rPr>
                <w:rFonts w:eastAsia="方正仿宋_GBK"/>
                <w:sz w:val="28"/>
                <w:szCs w:val="28"/>
              </w:rPr>
              <w:t>6</w:t>
            </w:r>
          </w:p>
        </w:tc>
        <w:tc>
          <w:tcPr>
            <w:tcW w:w="3056" w:type="dxa"/>
            <w:vAlign w:val="center"/>
          </w:tcPr>
          <w:p>
            <w:pPr>
              <w:spacing w:line="460" w:lineRule="exact"/>
              <w:jc w:val="left"/>
              <w:rPr>
                <w:rFonts w:eastAsia="方正仿宋_GBK"/>
                <w:sz w:val="28"/>
                <w:szCs w:val="28"/>
              </w:rPr>
            </w:pPr>
            <w:r>
              <w:rPr>
                <w:rFonts w:eastAsia="方正仿宋_GBK"/>
                <w:spacing w:val="-1"/>
                <w:sz w:val="28"/>
                <w:szCs w:val="28"/>
              </w:rPr>
              <w:t>信用记录</w:t>
            </w:r>
          </w:p>
        </w:tc>
        <w:tc>
          <w:tcPr>
            <w:tcW w:w="10293" w:type="dxa"/>
          </w:tcPr>
          <w:p>
            <w:pPr>
              <w:wordWrap w:val="0"/>
              <w:spacing w:line="460" w:lineRule="exact"/>
              <w:ind w:left="102"/>
              <w:jc w:val="left"/>
              <w:rPr>
                <w:rFonts w:eastAsia="方正仿宋_GBK"/>
                <w:sz w:val="28"/>
                <w:szCs w:val="28"/>
              </w:rPr>
            </w:pPr>
            <w:r>
              <w:rPr>
                <w:rFonts w:eastAsia="方正仿宋_GBK"/>
                <w:spacing w:val="3"/>
                <w:sz w:val="28"/>
                <w:szCs w:val="28"/>
              </w:rPr>
              <w:t>供应商未被列入“信用中国”网站(www.creditchina.gov.cn)“记录失信被执行人或</w:t>
            </w:r>
            <w:r>
              <w:rPr>
                <w:rFonts w:eastAsia="方正仿宋_GBK"/>
                <w:sz w:val="28"/>
                <w:szCs w:val="28"/>
              </w:rPr>
              <w:t>重大税收违法失信主体</w:t>
            </w:r>
            <w:r>
              <w:rPr>
                <w:rFonts w:eastAsia="方正仿宋_GBK"/>
                <w:spacing w:val="-1"/>
                <w:sz w:val="28"/>
                <w:szCs w:val="28"/>
              </w:rPr>
              <w:t>”记录名单；不处于中国政府采购网(www.ccgp.gov.cn)“政府采购严重违法失信行为信息记录”中的禁止参加政府采购活动期间。（</w:t>
            </w:r>
            <w:r>
              <w:rPr>
                <w:rFonts w:eastAsia="方正仿宋_GBK"/>
                <w:spacing w:val="1"/>
                <w:sz w:val="28"/>
                <w:szCs w:val="28"/>
              </w:rPr>
              <w:t>以采购人于响应截止当日在“信用中国”网站（www.creditchi</w:t>
            </w:r>
            <w:r>
              <w:rPr>
                <w:rFonts w:eastAsia="方正仿宋_GBK"/>
                <w:sz w:val="28"/>
                <w:szCs w:val="28"/>
              </w:rPr>
              <w:t xml:space="preserve"> </w:t>
            </w:r>
            <w:r>
              <w:rPr>
                <w:rFonts w:eastAsia="方正仿宋_GBK"/>
                <w:spacing w:val="-1"/>
                <w:sz w:val="28"/>
                <w:szCs w:val="28"/>
              </w:rPr>
              <w:t>na.gov.cn）及中国政府采购网（</w:t>
            </w:r>
            <w:r>
              <w:rPr>
                <w:rFonts w:eastAsia="方正仿宋_GBK"/>
                <w:spacing w:val="-49"/>
                <w:sz w:val="28"/>
                <w:szCs w:val="28"/>
              </w:rPr>
              <w:t xml:space="preserve"> </w:t>
            </w:r>
            <w:r>
              <w:rPr>
                <w:rFonts w:eastAsia="方正仿宋_GBK"/>
                <w:spacing w:val="-1"/>
                <w:sz w:val="28"/>
                <w:szCs w:val="28"/>
              </w:rPr>
              <w:t>http://www.ccgp.gov.cn/）</w:t>
            </w:r>
            <w:r>
              <w:rPr>
                <w:rFonts w:eastAsia="方正仿宋_GBK"/>
                <w:spacing w:val="-24"/>
                <w:sz w:val="28"/>
                <w:szCs w:val="28"/>
              </w:rPr>
              <w:t xml:space="preserve"> </w:t>
            </w:r>
            <w:r>
              <w:rPr>
                <w:rFonts w:eastAsia="方正仿宋_GBK"/>
                <w:spacing w:val="-1"/>
                <w:sz w:val="28"/>
                <w:szCs w:val="28"/>
              </w:rPr>
              <w:t>查询结果为准，</w:t>
            </w:r>
            <w:r>
              <w:rPr>
                <w:rFonts w:eastAsia="方正仿宋_GBK"/>
                <w:spacing w:val="-3"/>
                <w:sz w:val="28"/>
                <w:szCs w:val="28"/>
              </w:rPr>
              <w:t>如相关失信记录已失效，供应商需提供相关证明资料）。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 w:hRule="atLeast"/>
          <w:jc w:val="center"/>
        </w:trPr>
        <w:tc>
          <w:tcPr>
            <w:tcW w:w="1030" w:type="dxa"/>
            <w:vAlign w:val="center"/>
          </w:tcPr>
          <w:p>
            <w:pPr>
              <w:spacing w:line="460" w:lineRule="exact"/>
              <w:jc w:val="center"/>
              <w:rPr>
                <w:rFonts w:eastAsia="方正仿宋_GBK"/>
                <w:sz w:val="28"/>
                <w:szCs w:val="28"/>
              </w:rPr>
            </w:pPr>
            <w:r>
              <w:rPr>
                <w:rFonts w:hint="eastAsia" w:eastAsia="方正仿宋_GBK"/>
                <w:sz w:val="28"/>
                <w:szCs w:val="28"/>
              </w:rPr>
              <w:t>7</w:t>
            </w:r>
          </w:p>
        </w:tc>
        <w:tc>
          <w:tcPr>
            <w:tcW w:w="3056" w:type="dxa"/>
            <w:vAlign w:val="center"/>
          </w:tcPr>
          <w:p>
            <w:pPr>
              <w:spacing w:line="460" w:lineRule="exact"/>
              <w:jc w:val="left"/>
              <w:rPr>
                <w:rFonts w:eastAsia="方正仿宋_GBK"/>
                <w:spacing w:val="-1"/>
                <w:sz w:val="28"/>
                <w:szCs w:val="28"/>
              </w:rPr>
            </w:pPr>
            <w:r>
              <w:rPr>
                <w:rFonts w:eastAsia="方正仿宋_GBK"/>
                <w:spacing w:val="-1"/>
                <w:sz w:val="28"/>
                <w:szCs w:val="28"/>
              </w:rPr>
              <w:t>不接受联合体报名</w:t>
            </w:r>
          </w:p>
        </w:tc>
        <w:tc>
          <w:tcPr>
            <w:tcW w:w="10293" w:type="dxa"/>
            <w:vAlign w:val="center"/>
          </w:tcPr>
          <w:p>
            <w:pPr>
              <w:wordWrap w:val="0"/>
              <w:spacing w:line="460" w:lineRule="exact"/>
              <w:ind w:left="102"/>
              <w:jc w:val="left"/>
              <w:rPr>
                <w:rFonts w:eastAsia="方正仿宋_GBK"/>
                <w:spacing w:val="3"/>
                <w:sz w:val="28"/>
                <w:szCs w:val="28"/>
              </w:rPr>
            </w:pPr>
            <w:r>
              <w:rPr>
                <w:rFonts w:eastAsia="方正仿宋_GBK"/>
                <w:sz w:val="28"/>
                <w:szCs w:val="28"/>
              </w:rPr>
              <w:t>提供</w:t>
            </w:r>
            <w:r>
              <w:rPr>
                <w:rFonts w:eastAsia="方正仿宋_GBK"/>
                <w:spacing w:val="-2"/>
                <w:sz w:val="28"/>
                <w:szCs w:val="28"/>
              </w:rPr>
              <w:t>《关于供应商资格的声明函》</w:t>
            </w:r>
            <w:r>
              <w:rPr>
                <w:rFonts w:eastAsia="方正仿宋_GBK"/>
                <w:sz w:val="28"/>
                <w:szCs w:val="28"/>
              </w:rPr>
              <w:t>并加盖公章</w:t>
            </w:r>
            <w:r>
              <w:rPr>
                <w:rFonts w:hint="eastAsia" w:eastAsia="方正仿宋_GBK"/>
                <w:sz w:val="28"/>
                <w:szCs w:val="28"/>
              </w:rPr>
              <w:t>。</w:t>
            </w:r>
          </w:p>
        </w:tc>
      </w:tr>
    </w:tbl>
    <w:p>
      <w:pPr>
        <w:spacing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rPr>
        <w:t>二、评分标准</w:t>
      </w:r>
      <w:r>
        <w:rPr>
          <w:rFonts w:hint="eastAsia" w:ascii="黑体" w:hAnsi="黑体" w:eastAsia="黑体"/>
          <w:sz w:val="32"/>
          <w:szCs w:val="32"/>
          <w:lang w:eastAsia="zh-CN"/>
        </w:rPr>
        <w:t>（满分</w:t>
      </w:r>
      <w:r>
        <w:rPr>
          <w:rFonts w:hint="eastAsia" w:ascii="黑体" w:hAnsi="黑体" w:eastAsia="黑体"/>
          <w:sz w:val="32"/>
          <w:szCs w:val="32"/>
          <w:lang w:val="en-US" w:eastAsia="zh-CN"/>
        </w:rPr>
        <w:t>100分</w:t>
      </w:r>
      <w:r>
        <w:rPr>
          <w:rFonts w:hint="eastAsia" w:ascii="黑体" w:hAnsi="黑体" w:eastAsia="黑体"/>
          <w:sz w:val="32"/>
          <w:szCs w:val="32"/>
          <w:lang w:eastAsia="zh-CN"/>
        </w:rPr>
        <w:t>）</w:t>
      </w:r>
    </w:p>
    <w:tbl>
      <w:tblPr>
        <w:tblStyle w:val="15"/>
        <w:tblW w:w="15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409"/>
        <w:gridCol w:w="1366"/>
        <w:gridCol w:w="10049"/>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5" w:hRule="atLeast"/>
          <w:jc w:val="center"/>
        </w:trPr>
        <w:tc>
          <w:tcPr>
            <w:tcW w:w="792" w:type="dxa"/>
            <w:shd w:val="clear" w:color="auto" w:fill="C6D9F0" w:themeFill="text2" w:themeFillTint="33"/>
            <w:vAlign w:val="center"/>
          </w:tcPr>
          <w:p>
            <w:pPr>
              <w:autoSpaceDE w:val="0"/>
              <w:autoSpaceDN w:val="0"/>
              <w:adjustRightInd w:val="0"/>
              <w:snapToGrid w:val="0"/>
              <w:spacing w:line="300" w:lineRule="exact"/>
              <w:jc w:val="center"/>
              <w:rPr>
                <w:rFonts w:eastAsia="方正仿宋_GBK"/>
                <w:b/>
                <w:bCs/>
                <w:sz w:val="30"/>
                <w:szCs w:val="30"/>
              </w:rPr>
            </w:pPr>
            <w:r>
              <w:rPr>
                <w:rFonts w:eastAsia="方正仿宋_GBK"/>
                <w:b/>
                <w:bCs/>
                <w:sz w:val="30"/>
                <w:szCs w:val="30"/>
              </w:rPr>
              <w:t>序号</w:t>
            </w:r>
          </w:p>
        </w:tc>
        <w:tc>
          <w:tcPr>
            <w:tcW w:w="1409" w:type="dxa"/>
            <w:shd w:val="clear" w:color="auto" w:fill="C6D9F0" w:themeFill="text2" w:themeFillTint="33"/>
            <w:vAlign w:val="center"/>
          </w:tcPr>
          <w:p>
            <w:pPr>
              <w:autoSpaceDE w:val="0"/>
              <w:autoSpaceDN w:val="0"/>
              <w:adjustRightInd w:val="0"/>
              <w:snapToGrid w:val="0"/>
              <w:spacing w:line="300" w:lineRule="exact"/>
              <w:jc w:val="center"/>
              <w:rPr>
                <w:rFonts w:eastAsia="方正仿宋_GBK"/>
                <w:b/>
                <w:bCs/>
                <w:sz w:val="30"/>
                <w:szCs w:val="30"/>
              </w:rPr>
            </w:pPr>
            <w:r>
              <w:rPr>
                <w:rFonts w:eastAsia="方正仿宋_GBK"/>
                <w:b/>
                <w:bCs/>
                <w:sz w:val="30"/>
                <w:szCs w:val="30"/>
              </w:rPr>
              <w:t>评审项目</w:t>
            </w:r>
          </w:p>
        </w:tc>
        <w:tc>
          <w:tcPr>
            <w:tcW w:w="11415" w:type="dxa"/>
            <w:gridSpan w:val="2"/>
            <w:shd w:val="clear" w:color="auto" w:fill="C6D9F0" w:themeFill="text2" w:themeFillTint="33"/>
            <w:vAlign w:val="center"/>
          </w:tcPr>
          <w:p>
            <w:pPr>
              <w:autoSpaceDE w:val="0"/>
              <w:autoSpaceDN w:val="0"/>
              <w:adjustRightInd w:val="0"/>
              <w:snapToGrid w:val="0"/>
              <w:spacing w:line="300" w:lineRule="exact"/>
              <w:jc w:val="center"/>
              <w:rPr>
                <w:rFonts w:eastAsia="方正仿宋_GBK"/>
                <w:b/>
                <w:bCs/>
                <w:sz w:val="30"/>
                <w:szCs w:val="30"/>
              </w:rPr>
            </w:pPr>
            <w:r>
              <w:rPr>
                <w:rFonts w:eastAsia="方正仿宋_GBK"/>
                <w:b/>
                <w:bCs/>
                <w:sz w:val="30"/>
                <w:szCs w:val="30"/>
              </w:rPr>
              <w:t>评</w:t>
            </w:r>
            <w:r>
              <w:rPr>
                <w:rFonts w:hint="eastAsia" w:eastAsia="方正仿宋_GBK"/>
                <w:b/>
                <w:bCs/>
                <w:sz w:val="30"/>
                <w:szCs w:val="30"/>
                <w:lang w:eastAsia="zh-CN"/>
              </w:rPr>
              <w:t>审</w:t>
            </w:r>
            <w:r>
              <w:rPr>
                <w:rFonts w:eastAsia="方正仿宋_GBK"/>
                <w:b/>
                <w:bCs/>
                <w:sz w:val="30"/>
                <w:szCs w:val="30"/>
              </w:rPr>
              <w:t>标准</w:t>
            </w:r>
          </w:p>
        </w:tc>
        <w:tc>
          <w:tcPr>
            <w:tcW w:w="1483" w:type="dxa"/>
            <w:shd w:val="clear" w:color="auto" w:fill="C6D9F0" w:themeFill="text2" w:themeFillTint="33"/>
            <w:vAlign w:val="center"/>
          </w:tcPr>
          <w:p>
            <w:pPr>
              <w:autoSpaceDE w:val="0"/>
              <w:autoSpaceDN w:val="0"/>
              <w:adjustRightInd w:val="0"/>
              <w:snapToGrid w:val="0"/>
              <w:spacing w:line="300" w:lineRule="exact"/>
              <w:jc w:val="center"/>
              <w:rPr>
                <w:rFonts w:hint="eastAsia" w:eastAsia="方正仿宋_GBK"/>
                <w:b/>
                <w:bCs/>
                <w:sz w:val="30"/>
                <w:szCs w:val="30"/>
                <w:lang w:eastAsia="zh-CN"/>
              </w:rPr>
            </w:pPr>
            <w:r>
              <w:rPr>
                <w:rFonts w:hint="eastAsia" w:eastAsia="方正仿宋_GBK"/>
                <w:b/>
                <w:bCs/>
                <w:sz w:val="30"/>
                <w:szCs w:val="30"/>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792" w:type="dxa"/>
            <w:shd w:val="clear" w:color="auto" w:fill="auto"/>
            <w:vAlign w:val="center"/>
          </w:tcPr>
          <w:p>
            <w:pPr>
              <w:spacing w:line="460" w:lineRule="exact"/>
              <w:jc w:val="left"/>
              <w:rPr>
                <w:rFonts w:ascii="Times New Roman" w:hAnsi="Times New Roman" w:eastAsia="方正仿宋_GBK" w:cs="Times New Roman"/>
                <w:color w:val="auto"/>
                <w:spacing w:val="-1"/>
                <w:sz w:val="28"/>
                <w:szCs w:val="28"/>
              </w:rPr>
            </w:pPr>
          </w:p>
        </w:tc>
        <w:tc>
          <w:tcPr>
            <w:tcW w:w="1409" w:type="dxa"/>
            <w:shd w:val="clear" w:color="auto" w:fill="auto"/>
            <w:vAlign w:val="center"/>
          </w:tcPr>
          <w:p>
            <w:pPr>
              <w:spacing w:line="460" w:lineRule="exact"/>
              <w:jc w:val="center"/>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分值构成</w:t>
            </w:r>
          </w:p>
        </w:tc>
        <w:tc>
          <w:tcPr>
            <w:tcW w:w="11415" w:type="dxa"/>
            <w:gridSpan w:val="2"/>
            <w:shd w:val="clear" w:color="auto" w:fill="auto"/>
            <w:vAlign w:val="center"/>
          </w:tcPr>
          <w:p>
            <w:pPr>
              <w:spacing w:line="460" w:lineRule="exact"/>
              <w:jc w:val="left"/>
              <w:rPr>
                <w:rFonts w:ascii="Times New Roman" w:hAnsi="Times New Roman" w:eastAsia="方正仿宋_GBK" w:cs="Times New Roman"/>
                <w:color w:val="auto"/>
                <w:spacing w:val="-1"/>
                <w:sz w:val="28"/>
                <w:szCs w:val="28"/>
              </w:rPr>
            </w:pPr>
            <w:r>
              <w:rPr>
                <w:rFonts w:hint="eastAsia" w:ascii="Times New Roman" w:hAnsi="Times New Roman" w:eastAsia="方正仿宋_GBK" w:cs="Times New Roman"/>
                <w:color w:val="auto"/>
                <w:spacing w:val="-1"/>
                <w:sz w:val="28"/>
                <w:szCs w:val="28"/>
              </w:rPr>
              <w:t>商务部分</w:t>
            </w:r>
            <w:r>
              <w:rPr>
                <w:rFonts w:hint="eastAsia" w:ascii="Times New Roman" w:hAnsi="Times New Roman" w:eastAsia="方正仿宋_GBK" w:cs="Times New Roman"/>
                <w:color w:val="auto"/>
                <w:spacing w:val="-1"/>
                <w:sz w:val="28"/>
                <w:szCs w:val="28"/>
                <w:lang w:eastAsia="zh-CN"/>
              </w:rPr>
              <w:t>满分</w:t>
            </w:r>
            <w:r>
              <w:rPr>
                <w:rFonts w:hint="eastAsia" w:ascii="Times New Roman" w:hAnsi="Times New Roman" w:eastAsia="方正仿宋_GBK" w:cs="Times New Roman"/>
                <w:color w:val="auto"/>
                <w:spacing w:val="-1"/>
                <w:sz w:val="28"/>
                <w:szCs w:val="28"/>
              </w:rPr>
              <w:t>2</w:t>
            </w:r>
            <w:r>
              <w:rPr>
                <w:rFonts w:hint="eastAsia" w:ascii="Times New Roman" w:hAnsi="Times New Roman" w:eastAsia="方正仿宋_GBK" w:cs="Times New Roman"/>
                <w:color w:val="auto"/>
                <w:spacing w:val="-1"/>
                <w:sz w:val="28"/>
                <w:szCs w:val="28"/>
                <w:lang w:val="en-US" w:eastAsia="zh-CN"/>
              </w:rPr>
              <w:t>5</w:t>
            </w:r>
            <w:r>
              <w:rPr>
                <w:rFonts w:hint="eastAsia" w:ascii="Times New Roman" w:hAnsi="Times New Roman" w:eastAsia="方正仿宋_GBK" w:cs="Times New Roman"/>
                <w:color w:val="auto"/>
                <w:spacing w:val="-1"/>
                <w:sz w:val="28"/>
                <w:szCs w:val="28"/>
              </w:rPr>
              <w:t>.0分</w:t>
            </w:r>
          </w:p>
          <w:p>
            <w:pPr>
              <w:spacing w:line="460" w:lineRule="exact"/>
              <w:jc w:val="left"/>
              <w:rPr>
                <w:rFonts w:ascii="Times New Roman" w:hAnsi="Times New Roman" w:eastAsia="方正仿宋_GBK" w:cs="Times New Roman"/>
                <w:color w:val="auto"/>
                <w:spacing w:val="-1"/>
                <w:sz w:val="28"/>
                <w:szCs w:val="28"/>
              </w:rPr>
            </w:pPr>
            <w:r>
              <w:rPr>
                <w:rFonts w:hint="eastAsia" w:ascii="Times New Roman" w:hAnsi="Times New Roman" w:eastAsia="方正仿宋_GBK" w:cs="Times New Roman"/>
                <w:color w:val="auto"/>
                <w:spacing w:val="-1"/>
                <w:sz w:val="28"/>
                <w:szCs w:val="28"/>
              </w:rPr>
              <w:t>技术部分</w:t>
            </w:r>
            <w:r>
              <w:rPr>
                <w:rFonts w:hint="eastAsia" w:ascii="Times New Roman" w:hAnsi="Times New Roman" w:eastAsia="方正仿宋_GBK" w:cs="Times New Roman"/>
                <w:color w:val="auto"/>
                <w:spacing w:val="-1"/>
                <w:sz w:val="28"/>
                <w:szCs w:val="28"/>
                <w:lang w:eastAsia="zh-CN"/>
              </w:rPr>
              <w:t>满分</w:t>
            </w:r>
            <w:r>
              <w:rPr>
                <w:rFonts w:hint="eastAsia" w:ascii="Times New Roman" w:hAnsi="Times New Roman" w:eastAsia="方正仿宋_GBK" w:cs="Times New Roman"/>
                <w:color w:val="auto"/>
                <w:spacing w:val="-1"/>
                <w:sz w:val="28"/>
                <w:szCs w:val="28"/>
                <w:lang w:val="en-US" w:eastAsia="zh-CN"/>
              </w:rPr>
              <w:t>65</w:t>
            </w:r>
            <w:r>
              <w:rPr>
                <w:rFonts w:hint="eastAsia" w:ascii="Times New Roman" w:hAnsi="Times New Roman" w:eastAsia="方正仿宋_GBK" w:cs="Times New Roman"/>
                <w:color w:val="auto"/>
                <w:spacing w:val="-1"/>
                <w:sz w:val="28"/>
                <w:szCs w:val="28"/>
              </w:rPr>
              <w:t>.0分</w:t>
            </w:r>
          </w:p>
          <w:p>
            <w:pPr>
              <w:spacing w:line="460" w:lineRule="exact"/>
              <w:jc w:val="left"/>
              <w:rPr>
                <w:rFonts w:ascii="Times New Roman" w:hAnsi="Times New Roman" w:eastAsia="方正仿宋_GBK" w:cs="Times New Roman"/>
                <w:color w:val="auto"/>
                <w:spacing w:val="-1"/>
                <w:sz w:val="28"/>
                <w:szCs w:val="28"/>
              </w:rPr>
            </w:pPr>
            <w:r>
              <w:rPr>
                <w:rFonts w:hint="eastAsia" w:ascii="Times New Roman" w:hAnsi="Times New Roman" w:eastAsia="方正仿宋_GBK" w:cs="Times New Roman"/>
                <w:color w:val="auto"/>
                <w:spacing w:val="-1"/>
                <w:sz w:val="28"/>
                <w:szCs w:val="28"/>
                <w:lang w:eastAsia="zh-CN"/>
              </w:rPr>
              <w:t>响应</w:t>
            </w:r>
            <w:r>
              <w:rPr>
                <w:rFonts w:hint="eastAsia" w:ascii="Times New Roman" w:hAnsi="Times New Roman" w:eastAsia="方正仿宋_GBK" w:cs="Times New Roman"/>
                <w:color w:val="auto"/>
                <w:spacing w:val="-1"/>
                <w:sz w:val="28"/>
                <w:szCs w:val="28"/>
              </w:rPr>
              <w:t>报价</w:t>
            </w:r>
            <w:r>
              <w:rPr>
                <w:rFonts w:hint="eastAsia" w:ascii="Times New Roman" w:hAnsi="Times New Roman" w:eastAsia="方正仿宋_GBK" w:cs="Times New Roman"/>
                <w:color w:val="auto"/>
                <w:spacing w:val="-1"/>
                <w:sz w:val="28"/>
                <w:szCs w:val="28"/>
                <w:lang w:eastAsia="zh-CN"/>
              </w:rPr>
              <w:t>满分</w:t>
            </w:r>
            <w:r>
              <w:rPr>
                <w:rFonts w:hint="eastAsia" w:ascii="Times New Roman" w:hAnsi="Times New Roman" w:eastAsia="方正仿宋_GBK" w:cs="Times New Roman"/>
                <w:color w:val="auto"/>
                <w:spacing w:val="-1"/>
                <w:sz w:val="28"/>
                <w:szCs w:val="28"/>
              </w:rPr>
              <w:t>10.0分</w:t>
            </w:r>
          </w:p>
        </w:tc>
        <w:tc>
          <w:tcPr>
            <w:tcW w:w="1483" w:type="dxa"/>
            <w:shd w:val="clear" w:color="auto" w:fill="auto"/>
            <w:vAlign w:val="center"/>
          </w:tcPr>
          <w:p>
            <w:pPr>
              <w:spacing w:line="460" w:lineRule="exact"/>
              <w:jc w:val="left"/>
              <w:rPr>
                <w:rFonts w:ascii="Times New Roman" w:hAnsi="Times New Roman" w:eastAsia="方正仿宋_GBK" w:cs="Times New Roman"/>
                <w:color w:val="auto"/>
                <w:spacing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792" w:type="dxa"/>
            <w:shd w:val="clear" w:color="auto" w:fill="auto"/>
            <w:vAlign w:val="center"/>
          </w:tcPr>
          <w:p>
            <w:pPr>
              <w:spacing w:line="460" w:lineRule="exact"/>
              <w:jc w:val="center"/>
              <w:rPr>
                <w:rFonts w:hint="eastAsia" w:ascii="Times New Roman" w:hAnsi="Times New Roman" w:eastAsia="方正仿宋_GBK" w:cs="Times New Roman"/>
                <w:color w:val="auto"/>
                <w:spacing w:val="-1"/>
                <w:sz w:val="28"/>
                <w:szCs w:val="28"/>
                <w:lang w:val="en-US" w:eastAsia="zh-CN"/>
              </w:rPr>
            </w:pPr>
            <w:r>
              <w:rPr>
                <w:rFonts w:hint="eastAsia" w:ascii="Times New Roman" w:hAnsi="Times New Roman" w:eastAsia="方正仿宋_GBK" w:cs="Times New Roman"/>
                <w:color w:val="auto"/>
                <w:spacing w:val="-1"/>
                <w:sz w:val="28"/>
                <w:szCs w:val="28"/>
                <w:lang w:val="en-US" w:eastAsia="zh-CN"/>
              </w:rPr>
              <w:t>1</w:t>
            </w:r>
          </w:p>
        </w:tc>
        <w:tc>
          <w:tcPr>
            <w:tcW w:w="1409" w:type="dxa"/>
            <w:shd w:val="clear" w:color="auto" w:fill="auto"/>
            <w:vAlign w:val="center"/>
          </w:tcPr>
          <w:p>
            <w:pPr>
              <w:spacing w:line="460" w:lineRule="exact"/>
              <w:jc w:val="center"/>
              <w:rPr>
                <w:rFonts w:hint="eastAsia"/>
                <w:lang w:eastAsia="zh-CN"/>
              </w:rPr>
            </w:pPr>
            <w:r>
              <w:rPr>
                <w:rFonts w:hint="eastAsia" w:ascii="Times New Roman" w:hAnsi="Times New Roman" w:eastAsia="方正仿宋_GBK" w:cs="Times New Roman"/>
                <w:color w:val="auto"/>
                <w:spacing w:val="-1"/>
                <w:sz w:val="28"/>
                <w:szCs w:val="28"/>
                <w:lang w:eastAsia="zh-CN"/>
              </w:rPr>
              <w:t>商务部分</w:t>
            </w:r>
          </w:p>
        </w:tc>
        <w:tc>
          <w:tcPr>
            <w:tcW w:w="1366" w:type="dxa"/>
            <w:shd w:val="clear" w:color="auto" w:fill="auto"/>
            <w:vAlign w:val="center"/>
          </w:tcPr>
          <w:p>
            <w:pPr>
              <w:spacing w:line="460" w:lineRule="exact"/>
              <w:jc w:val="left"/>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项目负责人（</w:t>
            </w:r>
            <w:r>
              <w:rPr>
                <w:rFonts w:hint="eastAsia" w:ascii="Times New Roman" w:hAnsi="Times New Roman" w:eastAsia="方正仿宋_GBK" w:cs="Times New Roman"/>
                <w:color w:val="auto"/>
                <w:spacing w:val="-1"/>
                <w:sz w:val="28"/>
                <w:szCs w:val="28"/>
                <w:lang w:val="en-US" w:eastAsia="zh-CN"/>
              </w:rPr>
              <w:t>7分</w:t>
            </w:r>
            <w:r>
              <w:rPr>
                <w:rFonts w:hint="eastAsia" w:ascii="Times New Roman" w:hAnsi="Times New Roman" w:eastAsia="方正仿宋_GBK" w:cs="Times New Roman"/>
                <w:color w:val="auto"/>
                <w:spacing w:val="-1"/>
                <w:sz w:val="28"/>
                <w:szCs w:val="28"/>
                <w:lang w:eastAsia="zh-CN"/>
              </w:rPr>
              <w:t>）</w:t>
            </w:r>
          </w:p>
        </w:tc>
        <w:tc>
          <w:tcPr>
            <w:tcW w:w="10049" w:type="dxa"/>
            <w:shd w:val="clear" w:color="auto" w:fill="auto"/>
            <w:vAlign w:val="center"/>
          </w:tcPr>
          <w:p>
            <w:pPr>
              <w:spacing w:line="460" w:lineRule="exact"/>
              <w:jc w:val="left"/>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项目负责人2023年1月1日至今（以合同签订日期为准）具有担任过政府部门主办的活动综合服务类项目负责人的经验的，每个得1分，本项最高得分为7分。</w:t>
            </w:r>
          </w:p>
          <w:p>
            <w:pPr>
              <w:spacing w:line="460" w:lineRule="exact"/>
              <w:jc w:val="left"/>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同一项目经验不重复计分。</w:t>
            </w:r>
          </w:p>
        </w:tc>
        <w:tc>
          <w:tcPr>
            <w:tcW w:w="1483" w:type="dxa"/>
            <w:shd w:val="clear" w:color="auto" w:fill="auto"/>
            <w:vAlign w:val="center"/>
          </w:tcPr>
          <w:p>
            <w:pPr>
              <w:spacing w:line="460" w:lineRule="exact"/>
              <w:jc w:val="left"/>
              <w:rPr>
                <w:rFonts w:ascii="Times New Roman" w:hAnsi="Times New Roman" w:eastAsia="方正仿宋_GBK" w:cs="Times New Roman"/>
                <w:color w:val="auto"/>
                <w:spacing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18" w:hRule="atLeast"/>
          <w:jc w:val="center"/>
        </w:trPr>
        <w:tc>
          <w:tcPr>
            <w:tcW w:w="792" w:type="dxa"/>
            <w:shd w:val="clear" w:color="auto" w:fill="auto"/>
            <w:vAlign w:val="center"/>
          </w:tcPr>
          <w:p>
            <w:pPr>
              <w:spacing w:line="460" w:lineRule="exact"/>
              <w:jc w:val="center"/>
              <w:rPr>
                <w:rFonts w:hint="eastAsia" w:ascii="Times New Roman" w:hAnsi="Times New Roman" w:eastAsia="方正仿宋_GBK" w:cs="Times New Roman"/>
                <w:color w:val="auto"/>
                <w:spacing w:val="-1"/>
                <w:sz w:val="28"/>
                <w:szCs w:val="28"/>
                <w:lang w:val="en-US" w:eastAsia="zh-CN"/>
              </w:rPr>
            </w:pPr>
            <w:r>
              <w:rPr>
                <w:rFonts w:hint="eastAsia" w:ascii="Times New Roman" w:hAnsi="Times New Roman" w:eastAsia="方正仿宋_GBK" w:cs="Times New Roman"/>
                <w:color w:val="auto"/>
                <w:spacing w:val="-1"/>
                <w:sz w:val="28"/>
                <w:szCs w:val="28"/>
                <w:lang w:val="en-US" w:eastAsia="zh-CN"/>
              </w:rPr>
              <w:t>2</w:t>
            </w:r>
          </w:p>
        </w:tc>
        <w:tc>
          <w:tcPr>
            <w:tcW w:w="1409" w:type="dxa"/>
            <w:shd w:val="clear" w:color="auto" w:fill="auto"/>
            <w:vAlign w:val="center"/>
          </w:tcPr>
          <w:p>
            <w:pPr>
              <w:spacing w:line="460" w:lineRule="exact"/>
              <w:jc w:val="center"/>
              <w:rPr>
                <w:rFonts w:hint="eastAsia"/>
                <w:lang w:eastAsia="zh-CN"/>
              </w:rPr>
            </w:pPr>
            <w:r>
              <w:rPr>
                <w:rFonts w:hint="eastAsia" w:ascii="Times New Roman" w:hAnsi="Times New Roman" w:eastAsia="方正仿宋_GBK" w:cs="Times New Roman"/>
                <w:color w:val="auto"/>
                <w:spacing w:val="-1"/>
                <w:sz w:val="28"/>
                <w:szCs w:val="28"/>
                <w:lang w:eastAsia="zh-CN"/>
              </w:rPr>
              <w:t>商务部分</w:t>
            </w:r>
          </w:p>
        </w:tc>
        <w:tc>
          <w:tcPr>
            <w:tcW w:w="1366" w:type="dxa"/>
            <w:shd w:val="clear" w:color="auto" w:fill="auto"/>
            <w:vAlign w:val="center"/>
          </w:tcPr>
          <w:p>
            <w:pPr>
              <w:spacing w:line="460" w:lineRule="exact"/>
              <w:jc w:val="left"/>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经营业绩（</w:t>
            </w:r>
            <w:r>
              <w:rPr>
                <w:rFonts w:hint="eastAsia" w:ascii="Times New Roman" w:hAnsi="Times New Roman" w:eastAsia="方正仿宋_GBK" w:cs="Times New Roman"/>
                <w:color w:val="auto"/>
                <w:spacing w:val="-1"/>
                <w:sz w:val="28"/>
                <w:szCs w:val="28"/>
                <w:lang w:val="en-US" w:eastAsia="zh-CN"/>
              </w:rPr>
              <w:t>18分</w:t>
            </w:r>
            <w:r>
              <w:rPr>
                <w:rFonts w:hint="eastAsia" w:ascii="Times New Roman" w:hAnsi="Times New Roman" w:eastAsia="方正仿宋_GBK" w:cs="Times New Roman"/>
                <w:color w:val="auto"/>
                <w:spacing w:val="-1"/>
                <w:sz w:val="28"/>
                <w:szCs w:val="28"/>
                <w:lang w:eastAsia="zh-CN"/>
              </w:rPr>
              <w:t>）</w:t>
            </w:r>
          </w:p>
        </w:tc>
        <w:tc>
          <w:tcPr>
            <w:tcW w:w="10049" w:type="dxa"/>
            <w:shd w:val="clear" w:color="auto" w:fill="auto"/>
            <w:vAlign w:val="center"/>
          </w:tcPr>
          <w:p>
            <w:pPr>
              <w:pStyle w:val="8"/>
              <w:spacing w:line="480" w:lineRule="exac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1.服务供应商2023年1月1日至今承担过政府部门主办的赛事或活动综合服务类项目：承担过国家级项目的每项得8分，承担过省级（不含县级市）项目的每项得6分，承担过市级（不含县级市）项目的每项得4分，承担过县级项目的每项得2分，其他或没有的得0分。</w:t>
            </w:r>
          </w:p>
          <w:p>
            <w:pPr>
              <w:pStyle w:val="8"/>
              <w:spacing w:line="480" w:lineRule="exac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本项最高得分为18分。</w:t>
            </w:r>
          </w:p>
        </w:tc>
        <w:tc>
          <w:tcPr>
            <w:tcW w:w="1483" w:type="dxa"/>
            <w:shd w:val="clear" w:color="auto" w:fill="auto"/>
            <w:vAlign w:val="center"/>
          </w:tcPr>
          <w:p>
            <w:pPr>
              <w:spacing w:line="460" w:lineRule="exact"/>
              <w:jc w:val="left"/>
              <w:rPr>
                <w:rFonts w:ascii="Times New Roman" w:hAnsi="Times New Roman" w:eastAsia="方正仿宋_GBK" w:cs="Times New Roman"/>
                <w:color w:val="auto"/>
                <w:spacing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5" w:hRule="atLeast"/>
          <w:jc w:val="center"/>
        </w:trPr>
        <w:tc>
          <w:tcPr>
            <w:tcW w:w="792" w:type="dxa"/>
            <w:shd w:val="clear" w:color="auto" w:fill="auto"/>
            <w:vAlign w:val="center"/>
          </w:tcPr>
          <w:p>
            <w:pPr>
              <w:spacing w:line="460" w:lineRule="exact"/>
              <w:jc w:val="center"/>
              <w:rPr>
                <w:rFonts w:hint="default" w:ascii="Times New Roman" w:hAnsi="Times New Roman" w:eastAsia="方正仿宋_GBK" w:cs="Times New Roman"/>
                <w:color w:val="auto"/>
                <w:spacing w:val="-1"/>
                <w:sz w:val="28"/>
                <w:szCs w:val="28"/>
                <w:lang w:val="en-US" w:eastAsia="zh-CN"/>
              </w:rPr>
            </w:pPr>
            <w:r>
              <w:rPr>
                <w:rFonts w:hint="eastAsia" w:ascii="Times New Roman" w:hAnsi="Times New Roman" w:eastAsia="方正仿宋_GBK" w:cs="Times New Roman"/>
                <w:color w:val="auto"/>
                <w:spacing w:val="-1"/>
                <w:sz w:val="28"/>
                <w:szCs w:val="28"/>
                <w:lang w:val="en-US" w:eastAsia="zh-CN"/>
              </w:rPr>
              <w:t>3</w:t>
            </w:r>
          </w:p>
        </w:tc>
        <w:tc>
          <w:tcPr>
            <w:tcW w:w="1409" w:type="dxa"/>
            <w:shd w:val="clear" w:color="auto" w:fill="auto"/>
            <w:vAlign w:val="center"/>
          </w:tcPr>
          <w:p>
            <w:pPr>
              <w:spacing w:line="460" w:lineRule="exact"/>
              <w:jc w:val="center"/>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技术部分</w:t>
            </w:r>
          </w:p>
        </w:tc>
        <w:tc>
          <w:tcPr>
            <w:tcW w:w="1366" w:type="dxa"/>
            <w:shd w:val="clear" w:color="auto" w:fill="auto"/>
            <w:vAlign w:val="center"/>
          </w:tcPr>
          <w:p>
            <w:pPr>
              <w:spacing w:line="460" w:lineRule="exact"/>
              <w:jc w:val="left"/>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项目目标和需求的理解（</w:t>
            </w:r>
            <w:r>
              <w:rPr>
                <w:rFonts w:hint="eastAsia" w:ascii="Times New Roman" w:hAnsi="Times New Roman" w:eastAsia="方正仿宋_GBK" w:cs="Times New Roman"/>
                <w:color w:val="auto"/>
                <w:spacing w:val="-1"/>
                <w:sz w:val="28"/>
                <w:szCs w:val="28"/>
                <w:lang w:val="en-US" w:eastAsia="zh-CN"/>
              </w:rPr>
              <w:t>10</w:t>
            </w:r>
            <w:r>
              <w:rPr>
                <w:rFonts w:hint="eastAsia" w:ascii="Times New Roman" w:hAnsi="Times New Roman" w:eastAsia="方正仿宋_GBK" w:cs="Times New Roman"/>
                <w:color w:val="auto"/>
                <w:spacing w:val="-1"/>
                <w:sz w:val="28"/>
                <w:szCs w:val="28"/>
                <w:lang w:eastAsia="zh-CN"/>
              </w:rPr>
              <w:t>分）</w:t>
            </w:r>
          </w:p>
        </w:tc>
        <w:tc>
          <w:tcPr>
            <w:tcW w:w="10049" w:type="dxa"/>
            <w:shd w:val="clear" w:color="auto" w:fill="auto"/>
            <w:vAlign w:val="center"/>
          </w:tcPr>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根据服务供应商对项目目标和需求的理解程度进行评审，包括是否准确把握项目目标，是否能够结合国家和省有关政策及结合江门当地产业情况提出项目建设思路和实施原则；是否详细分析现状和准确把握需求，是否能够对项目重难点分析及解决方案进行正确和合理阐述；对项目的总体需求的理解是否深入透切、定位准确。</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项目目标和需求的理解全面、准确，满足且优于项目需求的，得10分；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项目目标和需求的理解较全面、较准确，满足项目需求的，得7分；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项目目标和需求的理解一般全面、一般准确，基本满足项目需求的，得4分；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项目目标和需求的理解不够全面的，得1分；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项目目标和需求的理解差或无提供相关描述的，得0分。</w:t>
            </w:r>
          </w:p>
        </w:tc>
        <w:tc>
          <w:tcPr>
            <w:tcW w:w="1483" w:type="dxa"/>
            <w:shd w:val="clear" w:color="auto" w:fill="auto"/>
            <w:vAlign w:val="center"/>
          </w:tcPr>
          <w:p>
            <w:pPr>
              <w:spacing w:line="460" w:lineRule="exact"/>
              <w:jc w:val="left"/>
              <w:rPr>
                <w:rFonts w:ascii="Times New Roman" w:hAnsi="Times New Roman" w:eastAsia="方正仿宋_GBK" w:cs="Times New Roman"/>
                <w:color w:val="auto"/>
                <w:spacing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2" w:type="dxa"/>
            <w:shd w:val="clear" w:color="auto" w:fill="auto"/>
            <w:vAlign w:val="center"/>
          </w:tcPr>
          <w:p>
            <w:pPr>
              <w:spacing w:line="460" w:lineRule="exact"/>
              <w:jc w:val="center"/>
              <w:rPr>
                <w:rFonts w:hint="default" w:ascii="Times New Roman" w:hAnsi="Times New Roman" w:eastAsia="方正仿宋_GBK" w:cs="Times New Roman"/>
                <w:color w:val="auto"/>
                <w:spacing w:val="-1"/>
                <w:sz w:val="28"/>
                <w:szCs w:val="28"/>
                <w:lang w:val="en-US" w:eastAsia="zh-CN"/>
              </w:rPr>
            </w:pPr>
            <w:r>
              <w:rPr>
                <w:rFonts w:hint="eastAsia" w:ascii="Times New Roman" w:hAnsi="Times New Roman" w:eastAsia="方正仿宋_GBK" w:cs="Times New Roman"/>
                <w:color w:val="auto"/>
                <w:spacing w:val="-1"/>
                <w:sz w:val="28"/>
                <w:szCs w:val="28"/>
                <w:lang w:val="en-US" w:eastAsia="zh-CN"/>
              </w:rPr>
              <w:t>4</w:t>
            </w:r>
          </w:p>
        </w:tc>
        <w:tc>
          <w:tcPr>
            <w:tcW w:w="1409" w:type="dxa"/>
            <w:shd w:val="clear" w:color="auto" w:fill="auto"/>
            <w:vAlign w:val="center"/>
          </w:tcPr>
          <w:p>
            <w:pPr>
              <w:spacing w:line="460" w:lineRule="exact"/>
              <w:jc w:val="center"/>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技术部分</w:t>
            </w:r>
          </w:p>
        </w:tc>
        <w:tc>
          <w:tcPr>
            <w:tcW w:w="1366" w:type="dxa"/>
            <w:shd w:val="clear" w:color="auto" w:fill="auto"/>
            <w:vAlign w:val="center"/>
          </w:tcPr>
          <w:p>
            <w:pPr>
              <w:spacing w:line="460" w:lineRule="exact"/>
              <w:jc w:val="left"/>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项目组织实施及运作流程设计方案（2</w:t>
            </w:r>
            <w:r>
              <w:rPr>
                <w:rFonts w:hint="eastAsia" w:eastAsia="方正仿宋_GBK" w:cs="Times New Roman"/>
                <w:color w:val="auto"/>
                <w:spacing w:val="-1"/>
                <w:sz w:val="28"/>
                <w:szCs w:val="28"/>
                <w:lang w:val="en-US" w:eastAsia="zh-CN"/>
              </w:rPr>
              <w:t>8</w:t>
            </w:r>
            <w:r>
              <w:rPr>
                <w:rFonts w:hint="eastAsia" w:ascii="Times New Roman" w:hAnsi="Times New Roman" w:eastAsia="方正仿宋_GBK" w:cs="Times New Roman"/>
                <w:color w:val="auto"/>
                <w:spacing w:val="-1"/>
                <w:sz w:val="28"/>
                <w:szCs w:val="28"/>
                <w:lang w:eastAsia="zh-CN"/>
              </w:rPr>
              <w:t>分）</w:t>
            </w:r>
          </w:p>
        </w:tc>
        <w:tc>
          <w:tcPr>
            <w:tcW w:w="10049" w:type="dxa"/>
            <w:shd w:val="clear" w:color="auto" w:fill="auto"/>
            <w:vAlign w:val="center"/>
          </w:tcPr>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根据服务供应商所提供项目组织实施及运作流程设计方案进行评审，包括项目组织实施方案、运作流程设计方案是否合理，是否贴近本项目实际情况，内容是否清晰详细。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项目组织实施及运作流程设计方案合理、清晰、详细，满足且优于项目需求的，得2</w:t>
            </w:r>
            <w:r>
              <w:rPr>
                <w:rFonts w:hint="eastAsia" w:eastAsia="方正仿宋_GBK" w:cs="Times New Roman"/>
                <w:color w:val="auto"/>
                <w:spacing w:val="-1"/>
                <w:kern w:val="2"/>
                <w:sz w:val="28"/>
                <w:szCs w:val="28"/>
                <w:lang w:val="en-US" w:eastAsia="zh-CN" w:bidi="ar-SA"/>
              </w:rPr>
              <w:t>8</w:t>
            </w:r>
            <w:r>
              <w:rPr>
                <w:rFonts w:hint="eastAsia" w:ascii="Times New Roman" w:hAnsi="Times New Roman" w:eastAsia="方正仿宋_GBK" w:cs="Times New Roman"/>
                <w:color w:val="auto"/>
                <w:spacing w:val="-1"/>
                <w:kern w:val="2"/>
                <w:sz w:val="28"/>
                <w:szCs w:val="28"/>
                <w:lang w:val="en-US" w:eastAsia="zh-CN" w:bidi="ar-SA"/>
              </w:rPr>
              <w:t>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项目组织实施及运作流程设计方案较合理、较清晰、较详细，满足项目需求的，得</w:t>
            </w:r>
            <w:r>
              <w:rPr>
                <w:rFonts w:hint="eastAsia" w:eastAsia="方正仿宋_GBK" w:cs="Times New Roman"/>
                <w:color w:val="auto"/>
                <w:spacing w:val="-1"/>
                <w:kern w:val="2"/>
                <w:sz w:val="28"/>
                <w:szCs w:val="28"/>
                <w:lang w:val="en-US" w:eastAsia="zh-CN" w:bidi="ar-SA"/>
              </w:rPr>
              <w:t>22</w:t>
            </w:r>
            <w:r>
              <w:rPr>
                <w:rFonts w:hint="eastAsia" w:ascii="Times New Roman" w:hAnsi="Times New Roman" w:eastAsia="方正仿宋_GBK" w:cs="Times New Roman"/>
                <w:color w:val="auto"/>
                <w:spacing w:val="-1"/>
                <w:kern w:val="2"/>
                <w:sz w:val="28"/>
                <w:szCs w:val="28"/>
                <w:lang w:val="en-US" w:eastAsia="zh-CN" w:bidi="ar-SA"/>
              </w:rPr>
              <w:t>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项目组织实施及运作流程设计方案一般合理、一般清晰、一般详细，基本满足项目需求的，得</w:t>
            </w:r>
            <w:r>
              <w:rPr>
                <w:rFonts w:hint="eastAsia" w:eastAsia="方正仿宋_GBK" w:cs="Times New Roman"/>
                <w:color w:val="auto"/>
                <w:spacing w:val="-1"/>
                <w:kern w:val="2"/>
                <w:sz w:val="28"/>
                <w:szCs w:val="28"/>
                <w:lang w:val="en-US" w:eastAsia="zh-CN" w:bidi="ar-SA"/>
              </w:rPr>
              <w:t>16</w:t>
            </w:r>
            <w:r>
              <w:rPr>
                <w:rFonts w:hint="eastAsia" w:ascii="Times New Roman" w:hAnsi="Times New Roman" w:eastAsia="方正仿宋_GBK" w:cs="Times New Roman"/>
                <w:color w:val="auto"/>
                <w:spacing w:val="-1"/>
                <w:kern w:val="2"/>
                <w:sz w:val="28"/>
                <w:szCs w:val="28"/>
                <w:lang w:val="en-US" w:eastAsia="zh-CN" w:bidi="ar-SA"/>
              </w:rPr>
              <w:t>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项目组织实施及运作流程设计方案不够合理、不够清晰、不够详细的，得</w:t>
            </w:r>
            <w:r>
              <w:rPr>
                <w:rFonts w:hint="eastAsia" w:eastAsia="方正仿宋_GBK" w:cs="Times New Roman"/>
                <w:color w:val="auto"/>
                <w:spacing w:val="-1"/>
                <w:kern w:val="2"/>
                <w:sz w:val="28"/>
                <w:szCs w:val="28"/>
                <w:lang w:val="en-US" w:eastAsia="zh-CN" w:bidi="ar-SA"/>
              </w:rPr>
              <w:t>10</w:t>
            </w:r>
            <w:r>
              <w:rPr>
                <w:rFonts w:hint="eastAsia" w:ascii="Times New Roman" w:hAnsi="Times New Roman" w:eastAsia="方正仿宋_GBK" w:cs="Times New Roman"/>
                <w:color w:val="auto"/>
                <w:spacing w:val="-1"/>
                <w:kern w:val="2"/>
                <w:sz w:val="28"/>
                <w:szCs w:val="28"/>
                <w:lang w:val="en-US" w:eastAsia="zh-CN" w:bidi="ar-SA"/>
              </w:rPr>
              <w:t>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项目组织实施及运作流程设计方案不合理、不清晰、不详细或无提供相关描述的，得</w:t>
            </w:r>
            <w:r>
              <w:rPr>
                <w:rFonts w:hint="eastAsia" w:eastAsia="方正仿宋_GBK" w:cs="Times New Roman"/>
                <w:color w:val="auto"/>
                <w:spacing w:val="-1"/>
                <w:kern w:val="2"/>
                <w:sz w:val="28"/>
                <w:szCs w:val="28"/>
                <w:lang w:val="en-US" w:eastAsia="zh-CN" w:bidi="ar-SA"/>
              </w:rPr>
              <w:t>4</w:t>
            </w:r>
            <w:r>
              <w:rPr>
                <w:rFonts w:hint="eastAsia" w:ascii="Times New Roman" w:hAnsi="Times New Roman" w:eastAsia="方正仿宋_GBK" w:cs="Times New Roman"/>
                <w:color w:val="auto"/>
                <w:spacing w:val="-1"/>
                <w:kern w:val="2"/>
                <w:sz w:val="28"/>
                <w:szCs w:val="28"/>
                <w:lang w:val="en-US" w:eastAsia="zh-CN" w:bidi="ar-SA"/>
              </w:rPr>
              <w:t>分。</w:t>
            </w:r>
          </w:p>
        </w:tc>
        <w:tc>
          <w:tcPr>
            <w:tcW w:w="1483" w:type="dxa"/>
            <w:shd w:val="clear" w:color="auto" w:fill="auto"/>
            <w:vAlign w:val="center"/>
          </w:tcPr>
          <w:p>
            <w:pPr>
              <w:spacing w:line="460" w:lineRule="exact"/>
              <w:jc w:val="left"/>
              <w:rPr>
                <w:rFonts w:ascii="Times New Roman" w:hAnsi="Times New Roman" w:eastAsia="方正仿宋_GBK" w:cs="Times New Roman"/>
                <w:color w:val="auto"/>
                <w:spacing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9" w:hRule="atLeast"/>
          <w:jc w:val="center"/>
        </w:trPr>
        <w:tc>
          <w:tcPr>
            <w:tcW w:w="792" w:type="dxa"/>
            <w:shd w:val="clear" w:color="auto" w:fill="auto"/>
            <w:vAlign w:val="center"/>
          </w:tcPr>
          <w:p>
            <w:pPr>
              <w:spacing w:line="460" w:lineRule="exact"/>
              <w:jc w:val="center"/>
              <w:rPr>
                <w:rFonts w:hint="default" w:ascii="Times New Roman" w:hAnsi="Times New Roman" w:eastAsia="方正仿宋_GBK" w:cs="Times New Roman"/>
                <w:color w:val="auto"/>
                <w:spacing w:val="-1"/>
                <w:sz w:val="28"/>
                <w:szCs w:val="28"/>
                <w:lang w:val="en-US" w:eastAsia="zh-CN"/>
              </w:rPr>
            </w:pPr>
            <w:r>
              <w:rPr>
                <w:rFonts w:hint="eastAsia" w:eastAsia="方正仿宋_GBK" w:cs="Times New Roman"/>
                <w:color w:val="auto"/>
                <w:spacing w:val="-1"/>
                <w:sz w:val="28"/>
                <w:szCs w:val="28"/>
                <w:lang w:val="en-US" w:eastAsia="zh-CN"/>
              </w:rPr>
              <w:t>5</w:t>
            </w:r>
          </w:p>
        </w:tc>
        <w:tc>
          <w:tcPr>
            <w:tcW w:w="1409" w:type="dxa"/>
            <w:shd w:val="clear" w:color="auto" w:fill="auto"/>
            <w:vAlign w:val="center"/>
          </w:tcPr>
          <w:p>
            <w:pPr>
              <w:spacing w:line="460" w:lineRule="exact"/>
              <w:jc w:val="center"/>
              <w:rPr>
                <w:rFonts w:hint="eastAsia" w:ascii="Times New Roman" w:hAnsi="Times New Roman" w:eastAsia="方正仿宋_GBK" w:cs="Times New Roman"/>
                <w:color w:val="auto"/>
                <w:spacing w:val="-1"/>
                <w:sz w:val="28"/>
                <w:szCs w:val="28"/>
                <w:lang w:eastAsia="zh-CN"/>
              </w:rPr>
            </w:pPr>
          </w:p>
        </w:tc>
        <w:tc>
          <w:tcPr>
            <w:tcW w:w="1366" w:type="dxa"/>
            <w:shd w:val="clear" w:color="auto" w:fill="auto"/>
            <w:vAlign w:val="center"/>
          </w:tcPr>
          <w:p>
            <w:pPr>
              <w:spacing w:line="460" w:lineRule="exact"/>
              <w:jc w:val="left"/>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基础保障服务方案（</w:t>
            </w:r>
            <w:r>
              <w:rPr>
                <w:rFonts w:hint="eastAsia" w:ascii="Times New Roman" w:hAnsi="Times New Roman" w:eastAsia="方正仿宋_GBK" w:cs="Times New Roman"/>
                <w:color w:val="auto"/>
                <w:spacing w:val="-1"/>
                <w:sz w:val="28"/>
                <w:szCs w:val="28"/>
                <w:lang w:val="en-US" w:eastAsia="zh-CN"/>
              </w:rPr>
              <w:t>9</w:t>
            </w:r>
            <w:r>
              <w:rPr>
                <w:rFonts w:hint="eastAsia" w:ascii="Times New Roman" w:hAnsi="Times New Roman" w:eastAsia="方正仿宋_GBK" w:cs="Times New Roman"/>
                <w:color w:val="auto"/>
                <w:spacing w:val="-1"/>
                <w:sz w:val="28"/>
                <w:szCs w:val="28"/>
                <w:lang w:eastAsia="zh-CN"/>
              </w:rPr>
              <w:t>分）</w:t>
            </w:r>
          </w:p>
        </w:tc>
        <w:tc>
          <w:tcPr>
            <w:tcW w:w="10049" w:type="dxa"/>
            <w:shd w:val="clear" w:color="auto" w:fill="auto"/>
            <w:vAlign w:val="center"/>
          </w:tcPr>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根据服务供应商所提供各类基础保障服务方案进行评审，包括针对本项目的安检设备设施配套、消防、监控管理、卫生管理等服务实施方案与落实措施是否完善、可行。</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各类基础保障服务方案完善、可行，满足且优于项目需求的，得</w:t>
            </w:r>
            <w:r>
              <w:rPr>
                <w:rFonts w:hint="eastAsia" w:eastAsia="方正仿宋_GBK" w:cs="Times New Roman"/>
                <w:color w:val="auto"/>
                <w:spacing w:val="-1"/>
                <w:kern w:val="2"/>
                <w:sz w:val="28"/>
                <w:szCs w:val="28"/>
                <w:lang w:val="en-US" w:eastAsia="zh-CN" w:bidi="ar-SA"/>
              </w:rPr>
              <w:t>9</w:t>
            </w:r>
            <w:r>
              <w:rPr>
                <w:rFonts w:hint="eastAsia" w:ascii="Times New Roman" w:hAnsi="Times New Roman" w:eastAsia="方正仿宋_GBK" w:cs="Times New Roman"/>
                <w:color w:val="auto"/>
                <w:spacing w:val="-1"/>
                <w:kern w:val="2"/>
                <w:sz w:val="28"/>
                <w:szCs w:val="28"/>
                <w:lang w:val="en-US" w:eastAsia="zh-CN" w:bidi="ar-SA"/>
              </w:rPr>
              <w:t>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各类基础保障服务方案较完善、较可行，满足项目需求的，得5分；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各类基础保障服务方案一般完善、一般可行，基本满足项目需求的，得3分；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各类基础保障服务方案不够完善、不够可行的，得1分；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各类基础保障服务方案不完善、不可行或无提供相关描述的，得0分。</w:t>
            </w:r>
          </w:p>
        </w:tc>
        <w:tc>
          <w:tcPr>
            <w:tcW w:w="1483" w:type="dxa"/>
            <w:shd w:val="clear" w:color="auto" w:fill="auto"/>
            <w:vAlign w:val="center"/>
          </w:tcPr>
          <w:p>
            <w:pPr>
              <w:spacing w:line="460" w:lineRule="exact"/>
              <w:jc w:val="left"/>
              <w:rPr>
                <w:rFonts w:ascii="Times New Roman" w:hAnsi="Times New Roman" w:eastAsia="方正仿宋_GBK" w:cs="Times New Roman"/>
                <w:color w:val="auto"/>
                <w:spacing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19" w:hRule="atLeast"/>
          <w:jc w:val="center"/>
        </w:trPr>
        <w:tc>
          <w:tcPr>
            <w:tcW w:w="792" w:type="dxa"/>
            <w:shd w:val="clear" w:color="auto" w:fill="auto"/>
            <w:vAlign w:val="center"/>
          </w:tcPr>
          <w:p>
            <w:pPr>
              <w:spacing w:line="460" w:lineRule="exact"/>
              <w:jc w:val="center"/>
              <w:rPr>
                <w:rFonts w:hint="default" w:ascii="Times New Roman" w:hAnsi="Times New Roman" w:eastAsia="方正仿宋_GBK" w:cs="Times New Roman"/>
                <w:color w:val="auto"/>
                <w:spacing w:val="-1"/>
                <w:sz w:val="28"/>
                <w:szCs w:val="28"/>
                <w:lang w:val="en-US" w:eastAsia="zh-CN"/>
              </w:rPr>
            </w:pPr>
            <w:r>
              <w:rPr>
                <w:rFonts w:hint="eastAsia" w:eastAsia="方正仿宋_GBK" w:cs="Times New Roman"/>
                <w:color w:val="auto"/>
                <w:spacing w:val="-1"/>
                <w:sz w:val="28"/>
                <w:szCs w:val="28"/>
                <w:lang w:val="en-US" w:eastAsia="zh-CN"/>
              </w:rPr>
              <w:t>6</w:t>
            </w:r>
          </w:p>
        </w:tc>
        <w:tc>
          <w:tcPr>
            <w:tcW w:w="1409" w:type="dxa"/>
            <w:shd w:val="clear" w:color="auto" w:fill="auto"/>
            <w:vAlign w:val="center"/>
          </w:tcPr>
          <w:p>
            <w:pPr>
              <w:spacing w:line="460" w:lineRule="exact"/>
              <w:jc w:val="center"/>
              <w:rPr>
                <w:rFonts w:hint="eastAsia" w:ascii="Times New Roman" w:hAnsi="Times New Roman" w:eastAsia="方正仿宋_GBK" w:cs="Times New Roman"/>
                <w:color w:val="auto"/>
                <w:spacing w:val="-1"/>
                <w:sz w:val="28"/>
                <w:szCs w:val="28"/>
                <w:lang w:eastAsia="zh-CN"/>
              </w:rPr>
            </w:pPr>
          </w:p>
        </w:tc>
        <w:tc>
          <w:tcPr>
            <w:tcW w:w="1366" w:type="dxa"/>
            <w:shd w:val="clear" w:color="auto" w:fill="auto"/>
            <w:vAlign w:val="center"/>
          </w:tcPr>
          <w:p>
            <w:pPr>
              <w:spacing w:line="460" w:lineRule="exact"/>
              <w:jc w:val="left"/>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服务保障及应急措施方案（</w:t>
            </w:r>
            <w:r>
              <w:rPr>
                <w:rFonts w:hint="eastAsia" w:ascii="Times New Roman" w:hAnsi="Times New Roman" w:eastAsia="方正仿宋_GBK" w:cs="Times New Roman"/>
                <w:color w:val="auto"/>
                <w:spacing w:val="-1"/>
                <w:sz w:val="28"/>
                <w:szCs w:val="28"/>
                <w:lang w:val="en-US" w:eastAsia="zh-CN"/>
              </w:rPr>
              <w:t>9</w:t>
            </w:r>
            <w:r>
              <w:rPr>
                <w:rFonts w:hint="eastAsia" w:ascii="Times New Roman" w:hAnsi="Times New Roman" w:eastAsia="方正仿宋_GBK" w:cs="Times New Roman"/>
                <w:color w:val="auto"/>
                <w:spacing w:val="-1"/>
                <w:sz w:val="28"/>
                <w:szCs w:val="28"/>
                <w:lang w:eastAsia="zh-CN"/>
              </w:rPr>
              <w:t>分）</w:t>
            </w:r>
          </w:p>
        </w:tc>
        <w:tc>
          <w:tcPr>
            <w:tcW w:w="10049" w:type="dxa"/>
            <w:shd w:val="clear" w:color="auto" w:fill="auto"/>
            <w:vAlign w:val="center"/>
          </w:tcPr>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根据服务供应商所提供服务保障及应急措施方案进行评审，包括对本项目的现场维护服务、接故障、后勤供应不足或出现问题通知时及时到达现场排除或修复的响应承诺、布展应急保障措施是否完善、可行。</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服务保障及应急措施方案完善、可行，满足且优于项目需求的，得</w:t>
            </w:r>
            <w:r>
              <w:rPr>
                <w:rFonts w:hint="eastAsia" w:eastAsia="方正仿宋_GBK" w:cs="Times New Roman"/>
                <w:color w:val="auto"/>
                <w:spacing w:val="-1"/>
                <w:kern w:val="2"/>
                <w:sz w:val="28"/>
                <w:szCs w:val="28"/>
                <w:lang w:val="en-US" w:eastAsia="zh-CN" w:bidi="ar-SA"/>
              </w:rPr>
              <w:t>9</w:t>
            </w:r>
            <w:r>
              <w:rPr>
                <w:rFonts w:hint="eastAsia" w:ascii="Times New Roman" w:hAnsi="Times New Roman" w:eastAsia="方正仿宋_GBK" w:cs="Times New Roman"/>
                <w:color w:val="auto"/>
                <w:spacing w:val="-1"/>
                <w:kern w:val="2"/>
                <w:sz w:val="28"/>
                <w:szCs w:val="28"/>
                <w:lang w:val="en-US" w:eastAsia="zh-CN" w:bidi="ar-SA"/>
              </w:rPr>
              <w:t>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服务保障及应急措施方案较完善、较可行，满足项目需求的，得6分；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服务保障及应急措施方案一般完善、一般可行，基本满足项目需求的，得4分；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服务保障及应急措施方案不够完善、不够可行的，得2分；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服务保障及应急措施方案不完善、不可行或无提供相关描述的，得0分。</w:t>
            </w:r>
          </w:p>
        </w:tc>
        <w:tc>
          <w:tcPr>
            <w:tcW w:w="1483" w:type="dxa"/>
            <w:shd w:val="clear" w:color="auto" w:fill="auto"/>
            <w:vAlign w:val="center"/>
          </w:tcPr>
          <w:p>
            <w:pPr>
              <w:spacing w:line="460" w:lineRule="exact"/>
              <w:jc w:val="left"/>
              <w:rPr>
                <w:rFonts w:ascii="Times New Roman" w:hAnsi="Times New Roman" w:eastAsia="方正仿宋_GBK" w:cs="Times New Roman"/>
                <w:color w:val="auto"/>
                <w:spacing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19" w:hRule="atLeast"/>
          <w:jc w:val="center"/>
        </w:trPr>
        <w:tc>
          <w:tcPr>
            <w:tcW w:w="792" w:type="dxa"/>
            <w:shd w:val="clear" w:color="auto" w:fill="auto"/>
            <w:vAlign w:val="center"/>
          </w:tcPr>
          <w:p>
            <w:pPr>
              <w:spacing w:line="460" w:lineRule="exact"/>
              <w:jc w:val="center"/>
              <w:rPr>
                <w:rFonts w:hint="default" w:ascii="Times New Roman" w:hAnsi="Times New Roman" w:eastAsia="方正仿宋_GBK" w:cs="Times New Roman"/>
                <w:color w:val="auto"/>
                <w:spacing w:val="-1"/>
                <w:sz w:val="28"/>
                <w:szCs w:val="28"/>
                <w:lang w:val="en-US" w:eastAsia="zh-CN"/>
              </w:rPr>
            </w:pPr>
            <w:r>
              <w:rPr>
                <w:rFonts w:hint="eastAsia" w:eastAsia="方正仿宋_GBK" w:cs="Times New Roman"/>
                <w:color w:val="auto"/>
                <w:spacing w:val="-1"/>
                <w:sz w:val="28"/>
                <w:szCs w:val="28"/>
                <w:lang w:val="en-US" w:eastAsia="zh-CN"/>
              </w:rPr>
              <w:t>7</w:t>
            </w:r>
          </w:p>
        </w:tc>
        <w:tc>
          <w:tcPr>
            <w:tcW w:w="1409" w:type="dxa"/>
            <w:shd w:val="clear" w:color="auto" w:fill="auto"/>
            <w:vAlign w:val="center"/>
          </w:tcPr>
          <w:p>
            <w:pPr>
              <w:spacing w:line="460" w:lineRule="exact"/>
              <w:jc w:val="center"/>
              <w:rPr>
                <w:rFonts w:hint="eastAsia" w:ascii="Times New Roman" w:hAnsi="Times New Roman" w:eastAsia="方正仿宋_GBK" w:cs="Times New Roman"/>
                <w:color w:val="auto"/>
                <w:spacing w:val="-1"/>
                <w:sz w:val="28"/>
                <w:szCs w:val="28"/>
                <w:lang w:eastAsia="zh-CN"/>
              </w:rPr>
            </w:pPr>
          </w:p>
        </w:tc>
        <w:tc>
          <w:tcPr>
            <w:tcW w:w="1366" w:type="dxa"/>
            <w:shd w:val="clear" w:color="auto" w:fill="auto"/>
            <w:vAlign w:val="center"/>
          </w:tcPr>
          <w:p>
            <w:pPr>
              <w:spacing w:line="460" w:lineRule="exact"/>
              <w:jc w:val="left"/>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项目进度计划与项目重点难点等措施及管理方案（</w:t>
            </w:r>
            <w:r>
              <w:rPr>
                <w:rFonts w:hint="eastAsia" w:ascii="Times New Roman" w:hAnsi="Times New Roman" w:eastAsia="方正仿宋_GBK" w:cs="Times New Roman"/>
                <w:color w:val="auto"/>
                <w:spacing w:val="-1"/>
                <w:sz w:val="28"/>
                <w:szCs w:val="28"/>
                <w:lang w:val="en-US" w:eastAsia="zh-CN"/>
              </w:rPr>
              <w:t>9</w:t>
            </w:r>
            <w:r>
              <w:rPr>
                <w:rFonts w:hint="eastAsia" w:ascii="Times New Roman" w:hAnsi="Times New Roman" w:eastAsia="方正仿宋_GBK" w:cs="Times New Roman"/>
                <w:color w:val="auto"/>
                <w:spacing w:val="-1"/>
                <w:sz w:val="28"/>
                <w:szCs w:val="28"/>
                <w:lang w:eastAsia="zh-CN"/>
              </w:rPr>
              <w:t>分）</w:t>
            </w:r>
          </w:p>
        </w:tc>
        <w:tc>
          <w:tcPr>
            <w:tcW w:w="10049" w:type="dxa"/>
            <w:shd w:val="clear" w:color="auto" w:fill="auto"/>
            <w:vAlign w:val="center"/>
          </w:tcPr>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根据服务供应商所提供项目进度计划与项目重点难点等措施及管理方案进行评审，包括对项目重点难点分析是否到位，保证措施是否合理，进度控制是否可行，是否满足总工期要求，项目实施管理是否规范，任务划分是否清晰，人员分配是否合理，工期计划、考核及验收方案是否可行、是否具可操作性。</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项目进度计划与项目重点难点等措施及管理方案完善、合理、可行，满足且优于项目需求的，得</w:t>
            </w:r>
            <w:r>
              <w:rPr>
                <w:rFonts w:hint="eastAsia" w:eastAsia="方正仿宋_GBK" w:cs="Times New Roman"/>
                <w:color w:val="auto"/>
                <w:spacing w:val="-1"/>
                <w:kern w:val="2"/>
                <w:sz w:val="28"/>
                <w:szCs w:val="28"/>
                <w:lang w:val="en-US" w:eastAsia="zh-CN" w:bidi="ar-SA"/>
              </w:rPr>
              <w:t>9</w:t>
            </w:r>
            <w:r>
              <w:rPr>
                <w:rFonts w:hint="eastAsia" w:ascii="Times New Roman" w:hAnsi="Times New Roman" w:eastAsia="方正仿宋_GBK" w:cs="Times New Roman"/>
                <w:color w:val="auto"/>
                <w:spacing w:val="-1"/>
                <w:kern w:val="2"/>
                <w:sz w:val="28"/>
                <w:szCs w:val="28"/>
                <w:lang w:val="en-US" w:eastAsia="zh-CN" w:bidi="ar-SA"/>
              </w:rPr>
              <w:t>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项目进度计划与项目重点难点等措施及管理方案较完善、较合理、较可行，满足项目需求的，得6分；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项目进度计划与项目重点难点等措施及管理方案一般完善、一般合理、一般可行，基本满足项目需求的，得4分；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项目进度计划与项目重点难点等措施及管理方案不够完善、不够合理、不够可行的，得2分；</w:t>
            </w:r>
          </w:p>
          <w:p>
            <w:pPr>
              <w:spacing w:line="460" w:lineRule="exact"/>
              <w:jc w:val="left"/>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项目进度计划与项目重点难点等措施及管理方案不完善、不合理、不可行或无提供相关描述的，得0分。</w:t>
            </w:r>
          </w:p>
        </w:tc>
        <w:tc>
          <w:tcPr>
            <w:tcW w:w="1483" w:type="dxa"/>
            <w:shd w:val="clear" w:color="auto" w:fill="auto"/>
            <w:vAlign w:val="center"/>
          </w:tcPr>
          <w:p>
            <w:pPr>
              <w:spacing w:line="460" w:lineRule="exact"/>
              <w:jc w:val="left"/>
              <w:rPr>
                <w:rFonts w:ascii="Times New Roman" w:hAnsi="Times New Roman" w:eastAsia="方正仿宋_GBK" w:cs="Times New Roman"/>
                <w:color w:val="auto"/>
                <w:spacing w:val="-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9" w:hRule="atLeast"/>
          <w:jc w:val="center"/>
        </w:trPr>
        <w:tc>
          <w:tcPr>
            <w:tcW w:w="792" w:type="dxa"/>
            <w:shd w:val="clear" w:color="auto" w:fill="auto"/>
            <w:vAlign w:val="center"/>
          </w:tcPr>
          <w:p>
            <w:pPr>
              <w:spacing w:line="460" w:lineRule="exact"/>
              <w:jc w:val="center"/>
              <w:rPr>
                <w:rFonts w:hint="default" w:ascii="Times New Roman" w:hAnsi="Times New Roman" w:eastAsia="方正仿宋_GBK" w:cs="Times New Roman"/>
                <w:color w:val="auto"/>
                <w:spacing w:val="-1"/>
                <w:sz w:val="28"/>
                <w:szCs w:val="28"/>
                <w:lang w:val="en-US" w:eastAsia="zh-CN"/>
              </w:rPr>
            </w:pPr>
            <w:r>
              <w:rPr>
                <w:rFonts w:hint="eastAsia" w:eastAsia="方正仿宋_GBK" w:cs="Times New Roman"/>
                <w:color w:val="auto"/>
                <w:spacing w:val="-1"/>
                <w:sz w:val="28"/>
                <w:szCs w:val="28"/>
                <w:lang w:val="en-US" w:eastAsia="zh-CN"/>
              </w:rPr>
              <w:t>8</w:t>
            </w:r>
          </w:p>
        </w:tc>
        <w:tc>
          <w:tcPr>
            <w:tcW w:w="1409" w:type="dxa"/>
            <w:shd w:val="clear" w:color="auto" w:fill="auto"/>
            <w:vAlign w:val="center"/>
          </w:tcPr>
          <w:p>
            <w:pPr>
              <w:spacing w:line="460" w:lineRule="exact"/>
              <w:jc w:val="center"/>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响应报价</w:t>
            </w:r>
          </w:p>
        </w:tc>
        <w:tc>
          <w:tcPr>
            <w:tcW w:w="1366" w:type="dxa"/>
            <w:shd w:val="clear" w:color="auto" w:fill="auto"/>
            <w:vAlign w:val="center"/>
          </w:tcPr>
          <w:p>
            <w:pPr>
              <w:spacing w:line="460" w:lineRule="exact"/>
              <w:jc w:val="left"/>
              <w:rPr>
                <w:rFonts w:hint="eastAsia" w:ascii="Times New Roman" w:hAnsi="Times New Roman" w:eastAsia="方正仿宋_GBK" w:cs="Times New Roman"/>
                <w:color w:val="auto"/>
                <w:spacing w:val="-1"/>
                <w:sz w:val="28"/>
                <w:szCs w:val="28"/>
                <w:lang w:eastAsia="zh-CN"/>
              </w:rPr>
            </w:pPr>
            <w:r>
              <w:rPr>
                <w:rFonts w:hint="eastAsia" w:ascii="Times New Roman" w:hAnsi="Times New Roman" w:eastAsia="方正仿宋_GBK" w:cs="Times New Roman"/>
                <w:color w:val="auto"/>
                <w:spacing w:val="-1"/>
                <w:sz w:val="28"/>
                <w:szCs w:val="28"/>
                <w:lang w:eastAsia="zh-CN"/>
              </w:rPr>
              <w:t>响应报价得分(10分）</w:t>
            </w:r>
          </w:p>
        </w:tc>
        <w:tc>
          <w:tcPr>
            <w:tcW w:w="10049" w:type="dxa"/>
            <w:shd w:val="clear" w:color="auto" w:fill="auto"/>
            <w:vAlign w:val="center"/>
          </w:tcPr>
          <w:p>
            <w:pPr>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K" w:cs="Times New Roman"/>
                <w:color w:val="auto"/>
                <w:spacing w:val="-1"/>
                <w:kern w:val="2"/>
                <w:sz w:val="28"/>
                <w:szCs w:val="28"/>
                <w:lang w:val="en-US" w:eastAsia="zh-CN" w:bidi="ar-SA"/>
              </w:rPr>
            </w:pPr>
            <w:r>
              <w:rPr>
                <w:rFonts w:hint="eastAsia" w:ascii="Times New Roman" w:hAnsi="Times New Roman" w:eastAsia="方正仿宋_GBK" w:cs="Times New Roman"/>
                <w:color w:val="auto"/>
                <w:spacing w:val="-1"/>
                <w:kern w:val="2"/>
                <w:sz w:val="28"/>
                <w:szCs w:val="28"/>
                <w:lang w:val="en-US" w:eastAsia="zh-CN" w:bidi="ar-SA"/>
              </w:rPr>
              <w:t>计算价格评分统一采用低价优先法计算，各有效投标人的评标价中，取最低价为评标基准价，其价格为满分，其他投标人的价格分统一按照下列公式计算：价格评分=（评分基准价/评标价）×10分，最低报价不是中选的唯一依据。</w:t>
            </w:r>
          </w:p>
          <w:p>
            <w:pPr>
              <w:pStyle w:val="2"/>
              <w:pageBreakBefore w:val="0"/>
              <w:widowControl w:val="0"/>
              <w:kinsoku/>
              <w:wordWrap/>
              <w:overflowPunct/>
              <w:topLinePunct w:val="0"/>
              <w:autoSpaceDE/>
              <w:autoSpaceDN/>
              <w:bidi w:val="0"/>
              <w:adjustRightInd/>
              <w:snapToGrid/>
              <w:spacing w:line="440" w:lineRule="exact"/>
              <w:textAlignment w:val="auto"/>
              <w:rPr>
                <w:rFonts w:hint="eastAsia"/>
                <w:lang w:val="en-US" w:eastAsia="zh-CN"/>
              </w:rPr>
            </w:pPr>
            <w:r>
              <w:rPr>
                <w:rFonts w:hint="eastAsia" w:ascii="Times New Roman" w:hAnsi="Times New Roman" w:eastAsia="方正仿宋_GBK" w:cs="Times New Roman"/>
                <w:b w:val="0"/>
                <w:bCs w:val="0"/>
                <w:color w:val="auto"/>
                <w:spacing w:val="-1"/>
                <w:kern w:val="2"/>
                <w:sz w:val="28"/>
                <w:szCs w:val="28"/>
                <w:lang w:val="en-US" w:eastAsia="zh-CN" w:bidi="ar-SA"/>
              </w:rPr>
              <w:t>注：为了保证供应商的公平竞争和采购人的合法权益，防止恶意竞争，保证项目质量，供应商报价若低于采购预算金额的80%，须对报价合理性及成本构成作书面说明（如报价成本分析），</w:t>
            </w:r>
          </w:p>
        </w:tc>
        <w:tc>
          <w:tcPr>
            <w:tcW w:w="1483" w:type="dxa"/>
            <w:shd w:val="clear" w:color="auto" w:fill="auto"/>
            <w:vAlign w:val="center"/>
          </w:tcPr>
          <w:p>
            <w:pPr>
              <w:spacing w:line="460" w:lineRule="exact"/>
              <w:jc w:val="left"/>
              <w:rPr>
                <w:rFonts w:ascii="Times New Roman" w:hAnsi="Times New Roman" w:eastAsia="方正仿宋_GBK" w:cs="Times New Roman"/>
                <w:color w:val="auto"/>
                <w:spacing w:val="-1"/>
                <w:sz w:val="28"/>
                <w:szCs w:val="28"/>
              </w:rPr>
            </w:pPr>
          </w:p>
        </w:tc>
      </w:tr>
    </w:tbl>
    <w:p>
      <w:pPr>
        <w:widowControl/>
        <w:jc w:val="left"/>
        <w:rPr>
          <w:rFonts w:ascii="仿宋_GB2312" w:eastAsia="仿宋_GB2312"/>
          <w:sz w:val="32"/>
          <w:szCs w:val="32"/>
        </w:rPr>
      </w:pPr>
    </w:p>
    <w:p>
      <w:pPr>
        <w:spacing w:after="60"/>
        <w:rPr>
          <w:vanish/>
        </w:rPr>
      </w:pPr>
    </w:p>
    <w:sectPr>
      <w:footerReference r:id="rId3" w:type="default"/>
      <w:pgSz w:w="16837" w:h="11905" w:orient="landscape"/>
      <w:pgMar w:top="1134" w:right="1134" w:bottom="1134" w:left="1134" w:header="567" w:footer="1588"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ascii="宋体" w:hAnsi="宋体"/>
        <w:sz w:val="24"/>
        <w:szCs w:val="24"/>
      </w:rPr>
      <w:t>第</w:t>
    </w:r>
    <w:sdt>
      <w:sdtPr>
        <w:rPr>
          <w:rFonts w:ascii="宋体" w:hAnsi="宋体"/>
          <w:sz w:val="24"/>
          <w:szCs w:val="24"/>
        </w:rPr>
        <w:id w:val="500859636"/>
      </w:sdtPr>
      <w:sdtEndPr>
        <w:rPr>
          <w:rFonts w:ascii="Times New Roman" w:hAnsi="Times New Roman"/>
          <w:sz w:val="18"/>
          <w:szCs w:val="18"/>
        </w:rPr>
      </w:sdtEndPr>
      <w:sdtContent>
        <w:sdt>
          <w:sdtPr>
            <w:rPr>
              <w:rFonts w:ascii="宋体" w:hAnsi="宋体"/>
              <w:sz w:val="24"/>
              <w:szCs w:val="24"/>
            </w:rPr>
            <w:id w:val="1728636285"/>
          </w:sdtPr>
          <w:sdtEndPr>
            <w:rPr>
              <w:rFonts w:ascii="Times New Roman" w:hAnsi="Times New Roman"/>
              <w:sz w:val="18"/>
              <w:szCs w:val="18"/>
            </w:rPr>
          </w:sdtEndPr>
          <w:sdtContent>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PAGE</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sz w:val="24"/>
                <w:szCs w:val="24"/>
                <w:lang w:val="zh-CN"/>
              </w:rPr>
              <w:t xml:space="preserve"> </w:t>
            </w:r>
            <w:r>
              <w:rPr>
                <w:rFonts w:hint="eastAsia" w:ascii="宋体" w:hAnsi="宋体"/>
                <w:sz w:val="24"/>
                <w:szCs w:val="24"/>
                <w:lang w:val="zh-CN"/>
              </w:rPr>
              <w:t>页，共</w:t>
            </w:r>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NUMPAGES</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b/>
                <w:bCs/>
                <w:sz w:val="24"/>
                <w:szCs w:val="24"/>
              </w:rPr>
              <w:t xml:space="preserve"> </w:t>
            </w:r>
            <w:r>
              <w:rPr>
                <w:rFonts w:hint="eastAsia" w:ascii="宋体" w:hAnsi="宋体"/>
                <w:b/>
                <w:bCs/>
                <w:sz w:val="24"/>
                <w:szCs w:val="24"/>
              </w:rPr>
              <w:t>页</w:t>
            </w:r>
          </w:sdtContent>
        </w:sdt>
      </w:sdtContent>
    </w:sdt>
  </w:p>
  <w:p>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xZTNkYTE4MzcwZjBiNTE3ZTU5YTYxZWM3NjgzODMifQ=="/>
  </w:docVars>
  <w:rsids>
    <w:rsidRoot w:val="00D679E9"/>
    <w:rsid w:val="00022226"/>
    <w:rsid w:val="000708C0"/>
    <w:rsid w:val="00074E97"/>
    <w:rsid w:val="000A6ECA"/>
    <w:rsid w:val="00133DEA"/>
    <w:rsid w:val="00172616"/>
    <w:rsid w:val="001823EC"/>
    <w:rsid w:val="001947FE"/>
    <w:rsid w:val="001F0482"/>
    <w:rsid w:val="001F3593"/>
    <w:rsid w:val="0028088F"/>
    <w:rsid w:val="002E53F9"/>
    <w:rsid w:val="002F21F7"/>
    <w:rsid w:val="0030070C"/>
    <w:rsid w:val="00402479"/>
    <w:rsid w:val="00411ADA"/>
    <w:rsid w:val="00455DC3"/>
    <w:rsid w:val="0046044F"/>
    <w:rsid w:val="00492310"/>
    <w:rsid w:val="004B338E"/>
    <w:rsid w:val="004C2560"/>
    <w:rsid w:val="004D4EB9"/>
    <w:rsid w:val="005000E1"/>
    <w:rsid w:val="005067F3"/>
    <w:rsid w:val="005462CC"/>
    <w:rsid w:val="00562522"/>
    <w:rsid w:val="005A28E1"/>
    <w:rsid w:val="005A5EA9"/>
    <w:rsid w:val="005D31D2"/>
    <w:rsid w:val="005D7C93"/>
    <w:rsid w:val="006172A9"/>
    <w:rsid w:val="006C0388"/>
    <w:rsid w:val="007357D2"/>
    <w:rsid w:val="00770D91"/>
    <w:rsid w:val="0077226F"/>
    <w:rsid w:val="007D7E65"/>
    <w:rsid w:val="007F37A5"/>
    <w:rsid w:val="008039D2"/>
    <w:rsid w:val="00844D37"/>
    <w:rsid w:val="00866F4A"/>
    <w:rsid w:val="008704C7"/>
    <w:rsid w:val="00872F17"/>
    <w:rsid w:val="008835E6"/>
    <w:rsid w:val="008B302A"/>
    <w:rsid w:val="00960C28"/>
    <w:rsid w:val="009705C1"/>
    <w:rsid w:val="00A75B42"/>
    <w:rsid w:val="00AF2BDD"/>
    <w:rsid w:val="00B14591"/>
    <w:rsid w:val="00B70F41"/>
    <w:rsid w:val="00BB62D2"/>
    <w:rsid w:val="00C31C0E"/>
    <w:rsid w:val="00C358EA"/>
    <w:rsid w:val="00C42953"/>
    <w:rsid w:val="00C52C41"/>
    <w:rsid w:val="00C55E11"/>
    <w:rsid w:val="00C817E1"/>
    <w:rsid w:val="00C85FBE"/>
    <w:rsid w:val="00C92D29"/>
    <w:rsid w:val="00C9498C"/>
    <w:rsid w:val="00CA4634"/>
    <w:rsid w:val="00CA781A"/>
    <w:rsid w:val="00CC7892"/>
    <w:rsid w:val="00D160FB"/>
    <w:rsid w:val="00D679E9"/>
    <w:rsid w:val="00DE1F0F"/>
    <w:rsid w:val="00DF1221"/>
    <w:rsid w:val="00E24F68"/>
    <w:rsid w:val="00E7180C"/>
    <w:rsid w:val="00E7602F"/>
    <w:rsid w:val="00E92E15"/>
    <w:rsid w:val="00EA06F7"/>
    <w:rsid w:val="00F00B80"/>
    <w:rsid w:val="00F113A1"/>
    <w:rsid w:val="00F63813"/>
    <w:rsid w:val="00F76F0A"/>
    <w:rsid w:val="00FA4EEE"/>
    <w:rsid w:val="034921BB"/>
    <w:rsid w:val="03DA19BE"/>
    <w:rsid w:val="03DA3C5D"/>
    <w:rsid w:val="03DA48E8"/>
    <w:rsid w:val="0659586C"/>
    <w:rsid w:val="07F916A8"/>
    <w:rsid w:val="07F9C8A6"/>
    <w:rsid w:val="09C54508"/>
    <w:rsid w:val="106519DD"/>
    <w:rsid w:val="114928EB"/>
    <w:rsid w:val="11F33019"/>
    <w:rsid w:val="130305CB"/>
    <w:rsid w:val="15824B15"/>
    <w:rsid w:val="15901346"/>
    <w:rsid w:val="16811788"/>
    <w:rsid w:val="17103D25"/>
    <w:rsid w:val="1B707E8E"/>
    <w:rsid w:val="1C626DD1"/>
    <w:rsid w:val="1FE60110"/>
    <w:rsid w:val="21221225"/>
    <w:rsid w:val="21E43400"/>
    <w:rsid w:val="25867FD4"/>
    <w:rsid w:val="27C45CD8"/>
    <w:rsid w:val="2B354C7C"/>
    <w:rsid w:val="2E045F3A"/>
    <w:rsid w:val="2EFE3E38"/>
    <w:rsid w:val="327B529D"/>
    <w:rsid w:val="3583585A"/>
    <w:rsid w:val="3971644D"/>
    <w:rsid w:val="39A54341"/>
    <w:rsid w:val="39F74BA5"/>
    <w:rsid w:val="3BDD426E"/>
    <w:rsid w:val="3CCA47F2"/>
    <w:rsid w:val="3D75175F"/>
    <w:rsid w:val="3ECDB459"/>
    <w:rsid w:val="40A71D1A"/>
    <w:rsid w:val="417665CE"/>
    <w:rsid w:val="42561B2D"/>
    <w:rsid w:val="440A3A43"/>
    <w:rsid w:val="46765C0C"/>
    <w:rsid w:val="480A0199"/>
    <w:rsid w:val="49731D6E"/>
    <w:rsid w:val="4CF02D63"/>
    <w:rsid w:val="53590226"/>
    <w:rsid w:val="54B202F2"/>
    <w:rsid w:val="55EB48A6"/>
    <w:rsid w:val="580746F5"/>
    <w:rsid w:val="58394A44"/>
    <w:rsid w:val="5A160B2C"/>
    <w:rsid w:val="5B2305AE"/>
    <w:rsid w:val="5BFF1FA6"/>
    <w:rsid w:val="5C4C2DF1"/>
    <w:rsid w:val="5E7C711A"/>
    <w:rsid w:val="5F8770D1"/>
    <w:rsid w:val="5FCD8549"/>
    <w:rsid w:val="6067535B"/>
    <w:rsid w:val="60A61681"/>
    <w:rsid w:val="62315B16"/>
    <w:rsid w:val="65962C14"/>
    <w:rsid w:val="676735EE"/>
    <w:rsid w:val="6A5512F0"/>
    <w:rsid w:val="6B3833C1"/>
    <w:rsid w:val="6D125276"/>
    <w:rsid w:val="6FDB7514"/>
    <w:rsid w:val="6FFB19C8"/>
    <w:rsid w:val="746E36DA"/>
    <w:rsid w:val="7716147C"/>
    <w:rsid w:val="77DF29DE"/>
    <w:rsid w:val="7AAF2DFD"/>
    <w:rsid w:val="7C1079CE"/>
    <w:rsid w:val="7EA13CB3"/>
    <w:rsid w:val="99FD202C"/>
    <w:rsid w:val="9EF54574"/>
    <w:rsid w:val="A4FFD091"/>
    <w:rsid w:val="AFFF088F"/>
    <w:rsid w:val="B963F7AB"/>
    <w:rsid w:val="CCBA3F81"/>
    <w:rsid w:val="CE1DC0F6"/>
    <w:rsid w:val="CFFB17DD"/>
    <w:rsid w:val="D3EFD284"/>
    <w:rsid w:val="F9D7958E"/>
    <w:rsid w:val="F9EB2B37"/>
    <w:rsid w:val="FD573BDA"/>
    <w:rsid w:val="FECD6B2D"/>
    <w:rsid w:val="FEDEB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autoSpaceDE w:val="0"/>
      <w:autoSpaceDN w:val="0"/>
      <w:adjustRightInd w:val="0"/>
      <w:spacing w:before="340" w:after="330" w:line="578" w:lineRule="auto"/>
      <w:jc w:val="left"/>
      <w:textAlignment w:val="baseline"/>
      <w:outlineLvl w:val="0"/>
    </w:pPr>
    <w:rPr>
      <w:rFonts w:ascii="宋体"/>
      <w:b/>
      <w:kern w:val="44"/>
      <w:sz w:val="44"/>
    </w:rPr>
  </w:style>
  <w:style w:type="paragraph" w:styleId="4">
    <w:name w:val="heading 2"/>
    <w:basedOn w:val="1"/>
    <w:next w:val="1"/>
    <w:link w:val="23"/>
    <w:qFormat/>
    <w:uiPriority w:val="0"/>
    <w:pPr>
      <w:keepNext/>
      <w:keepLines/>
      <w:spacing w:before="260" w:afterLines="25" w:line="416" w:lineRule="auto"/>
      <w:outlineLvl w:val="1"/>
    </w:pPr>
    <w:rPr>
      <w:rFonts w:ascii="Arial" w:hAnsi="Arial" w:eastAsia="黑体"/>
      <w:b/>
      <w:bCs/>
      <w:kern w:val="0"/>
      <w:sz w:val="32"/>
      <w:szCs w:val="32"/>
    </w:rPr>
  </w:style>
  <w:style w:type="paragraph" w:styleId="2">
    <w:name w:val="heading 3"/>
    <w:basedOn w:val="1"/>
    <w:next w:val="1"/>
    <w:qFormat/>
    <w:uiPriority w:val="99"/>
    <w:pPr>
      <w:keepNext/>
      <w:keepLines/>
      <w:spacing w:line="413" w:lineRule="auto"/>
      <w:outlineLvl w:val="2"/>
    </w:pPr>
    <w:rPr>
      <w:rFonts w:ascii="Times New Roman" w:hAnsi="Times New Roman" w:cs="Times New Roman"/>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textAlignment w:val="baseline"/>
    </w:pPr>
    <w:rPr>
      <w:rFonts w:ascii="宋体" w:hAnsi="Verdana"/>
      <w:kern w:val="0"/>
      <w:sz w:val="34"/>
    </w:rPr>
  </w:style>
  <w:style w:type="paragraph" w:styleId="6">
    <w:name w:val="annotation text"/>
    <w:basedOn w:val="1"/>
    <w:qFormat/>
    <w:uiPriority w:val="0"/>
  </w:style>
  <w:style w:type="paragraph" w:styleId="7">
    <w:name w:val="Body Text"/>
    <w:basedOn w:val="1"/>
    <w:qFormat/>
    <w:uiPriority w:val="0"/>
    <w:pPr>
      <w:spacing w:line="360" w:lineRule="auto"/>
    </w:pPr>
    <w:rPr>
      <w:rFonts w:ascii="仿宋_GB2312"/>
      <w:sz w:val="28"/>
    </w:rPr>
  </w:style>
  <w:style w:type="paragraph" w:styleId="8">
    <w:name w:val="Plain Text"/>
    <w:basedOn w:val="1"/>
    <w:link w:val="18"/>
    <w:qFormat/>
    <w:uiPriority w:val="0"/>
    <w:rPr>
      <w:rFonts w:ascii="宋体" w:hAnsi="Courier New"/>
      <w:szCs w:val="21"/>
    </w:rPr>
  </w:style>
  <w:style w:type="paragraph" w:styleId="9">
    <w:name w:val="Date"/>
    <w:basedOn w:val="1"/>
    <w:next w:val="1"/>
    <w:qFormat/>
    <w:uiPriority w:val="0"/>
    <w:pPr>
      <w:autoSpaceDE w:val="0"/>
      <w:autoSpaceDN w:val="0"/>
      <w:adjustRightInd w:val="0"/>
      <w:textAlignment w:val="baseline"/>
    </w:pPr>
    <w:rPr>
      <w:rFonts w:ascii="宋体"/>
      <w:kern w:val="0"/>
      <w:sz w:val="28"/>
    </w:rPr>
  </w:style>
  <w:style w:type="paragraph" w:styleId="10">
    <w:name w:val="Balloon Text"/>
    <w:basedOn w:val="1"/>
    <w:link w:val="27"/>
    <w:semiHidden/>
    <w:unhideWhenUsed/>
    <w:qFormat/>
    <w:uiPriority w:val="99"/>
    <w:rPr>
      <w:sz w:val="18"/>
      <w:szCs w:val="18"/>
    </w:rPr>
  </w:style>
  <w:style w:type="paragraph" w:styleId="11">
    <w:name w:val="footer"/>
    <w:basedOn w:val="1"/>
    <w:link w:val="22"/>
    <w:unhideWhenUsed/>
    <w:qFormat/>
    <w:uiPriority w:val="99"/>
    <w:pPr>
      <w:tabs>
        <w:tab w:val="center" w:pos="4153"/>
        <w:tab w:val="right" w:pos="8306"/>
      </w:tabs>
      <w:snapToGrid w:val="0"/>
      <w:jc w:val="left"/>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widowControl/>
      <w:spacing w:before="100" w:beforeAutospacing="1" w:afterAutospacing="1"/>
      <w:jc w:val="left"/>
    </w:pPr>
    <w:rPr>
      <w:rFonts w:ascii="宋体" w:hAnsi="宋体"/>
      <w:color w:val="000000"/>
      <w:kern w:val="0"/>
      <w:sz w:val="18"/>
      <w:szCs w:val="20"/>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spacing w:val="0"/>
    </w:rPr>
  </w:style>
  <w:style w:type="character" w:customStyle="1" w:styleId="18">
    <w:name w:val="纯文本 字符"/>
    <w:basedOn w:val="16"/>
    <w:link w:val="8"/>
    <w:qFormat/>
    <w:uiPriority w:val="0"/>
    <w:rPr>
      <w:rFonts w:ascii="宋体" w:hAnsi="Courier New" w:eastAsia="宋体" w:cs="Times New Roman"/>
      <w:szCs w:val="21"/>
    </w:rPr>
  </w:style>
  <w:style w:type="character" w:customStyle="1" w:styleId="19">
    <w:name w:val="无间隔 字符"/>
    <w:link w:val="20"/>
    <w:qFormat/>
    <w:locked/>
    <w:uiPriority w:val="1"/>
    <w:rPr>
      <w:rFonts w:ascii="Calibri" w:hAnsi="Calibri"/>
      <w:sz w:val="22"/>
      <w:lang w:eastAsia="en-US" w:bidi="en-US"/>
    </w:rPr>
  </w:style>
  <w:style w:type="paragraph" w:styleId="20">
    <w:name w:val="No Spacing"/>
    <w:basedOn w:val="1"/>
    <w:link w:val="19"/>
    <w:qFormat/>
    <w:uiPriority w:val="1"/>
    <w:pPr>
      <w:widowControl/>
      <w:jc w:val="left"/>
    </w:pPr>
    <w:rPr>
      <w:rFonts w:ascii="Calibri" w:hAnsi="Calibri" w:eastAsiaTheme="minorEastAsia" w:cstheme="minorBidi"/>
      <w:sz w:val="22"/>
      <w:lang w:eastAsia="en-US" w:bidi="en-US"/>
    </w:rPr>
  </w:style>
  <w:style w:type="character" w:customStyle="1" w:styleId="21">
    <w:name w:val="页眉 字符"/>
    <w:basedOn w:val="16"/>
    <w:link w:val="12"/>
    <w:qFormat/>
    <w:uiPriority w:val="99"/>
    <w:rPr>
      <w:rFonts w:ascii="Times New Roman" w:hAnsi="Times New Roman" w:eastAsia="宋体" w:cs="Times New Roman"/>
      <w:sz w:val="18"/>
      <w:szCs w:val="18"/>
    </w:rPr>
  </w:style>
  <w:style w:type="character" w:customStyle="1" w:styleId="22">
    <w:name w:val="页脚 字符"/>
    <w:basedOn w:val="16"/>
    <w:link w:val="11"/>
    <w:qFormat/>
    <w:uiPriority w:val="99"/>
    <w:rPr>
      <w:rFonts w:ascii="Times New Roman" w:hAnsi="Times New Roman" w:eastAsia="宋体" w:cs="Times New Roman"/>
      <w:sz w:val="18"/>
      <w:szCs w:val="18"/>
    </w:rPr>
  </w:style>
  <w:style w:type="character" w:customStyle="1" w:styleId="23">
    <w:name w:val="标题 2 字符"/>
    <w:basedOn w:val="16"/>
    <w:link w:val="4"/>
    <w:qFormat/>
    <w:uiPriority w:val="0"/>
    <w:rPr>
      <w:rFonts w:ascii="Arial" w:hAnsi="Arial" w:eastAsia="黑体" w:cs="Times New Roman"/>
      <w:b/>
      <w:bCs/>
      <w:kern w:val="0"/>
      <w:sz w:val="32"/>
      <w:szCs w:val="32"/>
    </w:rPr>
  </w:style>
  <w:style w:type="paragraph" w:customStyle="1" w:styleId="24">
    <w:name w:val="修订1"/>
    <w:hidden/>
    <w:semiHidden/>
    <w:qFormat/>
    <w:uiPriority w:val="99"/>
    <w:rPr>
      <w:rFonts w:ascii="Times New Roman" w:hAnsi="Times New Roman" w:eastAsia="宋体" w:cs="Times New Roman"/>
      <w:kern w:val="2"/>
      <w:sz w:val="21"/>
      <w:szCs w:val="22"/>
      <w:lang w:val="en-US" w:eastAsia="zh-CN" w:bidi="ar-SA"/>
    </w:rPr>
  </w:style>
  <w:style w:type="character" w:customStyle="1" w:styleId="25">
    <w:name w:val="font51"/>
    <w:basedOn w:val="16"/>
    <w:qFormat/>
    <w:uiPriority w:val="0"/>
    <w:rPr>
      <w:rFonts w:hint="eastAsia" w:ascii="方正仿宋_GBK" w:hAnsi="方正仿宋_GBK" w:eastAsia="方正仿宋_GBK" w:cs="方正仿宋_GBK"/>
      <w:b/>
      <w:bCs/>
      <w:color w:val="000000"/>
      <w:sz w:val="20"/>
      <w:szCs w:val="20"/>
      <w:u w:val="none"/>
    </w:rPr>
  </w:style>
  <w:style w:type="paragraph" w:customStyle="1" w:styleId="26">
    <w:name w:val="样式 正文缩进 + 首行缩进:  2 字符"/>
    <w:basedOn w:val="5"/>
    <w:qFormat/>
    <w:uiPriority w:val="0"/>
    <w:pPr>
      <w:autoSpaceDE/>
      <w:autoSpaceDN/>
      <w:adjustRightInd/>
      <w:spacing w:before="160" w:after="160" w:line="360" w:lineRule="auto"/>
      <w:ind w:firstLine="480" w:firstLineChars="200"/>
      <w:jc w:val="both"/>
      <w:textAlignment w:val="auto"/>
    </w:pPr>
    <w:rPr>
      <w:kern w:val="2"/>
      <w:sz w:val="24"/>
      <w:szCs w:val="24"/>
    </w:rPr>
  </w:style>
  <w:style w:type="character" w:customStyle="1" w:styleId="27">
    <w:name w:val="批注框文本 字符"/>
    <w:basedOn w:val="16"/>
    <w:link w:val="10"/>
    <w:semiHidden/>
    <w:qFormat/>
    <w:uiPriority w:val="99"/>
    <w:rPr>
      <w:rFonts w:ascii="Times New Roman" w:hAnsi="Times New Roman" w:eastAsia="宋体" w:cs="Times New Roman"/>
      <w:kern w:val="2"/>
      <w:sz w:val="18"/>
      <w:szCs w:val="18"/>
    </w:rPr>
  </w:style>
  <w:style w:type="character" w:customStyle="1" w:styleId="28">
    <w:name w:val="fontstyle01"/>
    <w:basedOn w:val="16"/>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2829</Words>
  <Characters>2955</Characters>
  <Lines>191</Lines>
  <Paragraphs>145</Paragraphs>
  <TotalTime>52</TotalTime>
  <ScaleCrop>false</ScaleCrop>
  <LinksUpToDate>false</LinksUpToDate>
  <CharactersWithSpaces>2958</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2022-03-22T20:29:00Z</dcterms:created>
  <dc:creator>Y XW</dc:creator>
  <cp:lastModifiedBy>陈政</cp:lastModifiedBy>
  <cp:lastPrinted>2024-04-15T02:22:00Z</cp:lastPrinted>
  <dcterms:modified xsi:type="dcterms:W3CDTF">2026-06-18T14:58:55Z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BA5C95CA1F7A44BE930C6E8F703AF732_13</vt:lpwstr>
  </property>
  <property fmtid="{D5CDD505-2E9C-101B-9397-08002B2CF9AE}" pid="4" name="KSOTemplateDocerSaveRecord">
    <vt:lpwstr>eyJoZGlkIjoiNmI1MmM0ZmUxMzUyYWU0MDE0ZTFjNWMzOGVlM2JhYjgiLCJ1c2VySWQiOiI0MjI4OTg5ODYifQ==</vt:lpwstr>
  </property>
</Properties>
</file>