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32"/>
        <w:rPr>
          <w:rFonts w:hint="eastAsia" w:eastAsia="仿宋_GB2312" w:cs="Times New Roman"/>
          <w:lang w:eastAsia="zh-CN"/>
        </w:rPr>
      </w:pPr>
      <w:bookmarkStart w:id="0" w:name="_Toc7319"/>
      <w:bookmarkStart w:id="1" w:name="_Toc146441879"/>
      <w:bookmarkStart w:id="2" w:name="_Toc23311"/>
      <w:bookmarkStart w:id="3" w:name="_Toc31723"/>
    </w:p>
    <w:p>
      <w:pPr>
        <w:ind w:firstLine="632"/>
        <w:rPr>
          <w:rFonts w:hint="eastAsia" w:eastAsia="仿宋_GB2312" w:cs="Times New Roman"/>
          <w:lang w:eastAsia="zh-CN"/>
        </w:rPr>
      </w:pPr>
    </w:p>
    <w:p>
      <w:pPr>
        <w:ind w:firstLine="632"/>
        <w:rPr>
          <w:rFonts w:hint="eastAsia" w:eastAsia="仿宋_GB2312" w:cs="Times New Roman"/>
          <w:lang w:eastAsia="zh-CN"/>
        </w:rPr>
      </w:pPr>
    </w:p>
    <w:p>
      <w:pPr>
        <w:ind w:firstLine="632"/>
        <w:rPr>
          <w:rFonts w:cs="Times New Roman"/>
        </w:rPr>
      </w:pPr>
    </w:p>
    <w:p>
      <w:pPr>
        <w:spacing w:line="880" w:lineRule="exact"/>
        <w:ind w:firstLine="0" w:firstLineChars="0"/>
        <w:jc w:val="center"/>
        <w:rPr>
          <w:rFonts w:eastAsia="方正小标宋简体" w:cs="Times New Roman"/>
          <w:bCs/>
          <w:sz w:val="52"/>
          <w:szCs w:val="52"/>
        </w:rPr>
      </w:pPr>
      <w:r>
        <w:rPr>
          <w:rFonts w:eastAsia="方正小标宋简体" w:cs="Times New Roman"/>
          <w:bCs/>
          <w:sz w:val="52"/>
          <w:szCs w:val="52"/>
        </w:rPr>
        <w:t>江门市畜禽养殖污染防治规划</w:t>
      </w:r>
    </w:p>
    <w:p>
      <w:pPr>
        <w:spacing w:line="880" w:lineRule="exact"/>
        <w:ind w:firstLine="0" w:firstLineChars="0"/>
        <w:jc w:val="center"/>
        <w:rPr>
          <w:rFonts w:eastAsia="方正小标宋简体" w:cs="Times New Roman"/>
          <w:bCs/>
          <w:sz w:val="52"/>
          <w:szCs w:val="52"/>
        </w:rPr>
      </w:pPr>
      <w:r>
        <w:rPr>
          <w:rFonts w:eastAsia="方正小标宋简体" w:cs="Times New Roman"/>
          <w:bCs/>
          <w:sz w:val="52"/>
          <w:szCs w:val="52"/>
        </w:rPr>
        <w:t>（202</w:t>
      </w:r>
      <w:r>
        <w:rPr>
          <w:rFonts w:hint="eastAsia" w:eastAsia="方正小标宋简体" w:cs="Times New Roman"/>
          <w:bCs/>
          <w:sz w:val="52"/>
          <w:szCs w:val="52"/>
        </w:rPr>
        <w:t>4</w:t>
      </w:r>
      <w:r>
        <w:rPr>
          <w:rFonts w:eastAsia="方正小标宋简体" w:cs="Times New Roman"/>
          <w:bCs/>
          <w:sz w:val="52"/>
          <w:szCs w:val="52"/>
        </w:rPr>
        <w:t>-20</w:t>
      </w:r>
      <w:r>
        <w:rPr>
          <w:rFonts w:hint="eastAsia" w:eastAsia="方正小标宋简体" w:cs="Times New Roman"/>
          <w:bCs/>
          <w:sz w:val="52"/>
          <w:szCs w:val="52"/>
        </w:rPr>
        <w:t>30</w:t>
      </w:r>
      <w:r>
        <w:rPr>
          <w:rFonts w:eastAsia="方正小标宋简体" w:cs="Times New Roman"/>
          <w:bCs/>
          <w:sz w:val="52"/>
          <w:szCs w:val="52"/>
        </w:rPr>
        <w:t>年）</w:t>
      </w:r>
      <w:bookmarkEnd w:id="0"/>
      <w:bookmarkEnd w:id="1"/>
      <w:bookmarkEnd w:id="2"/>
      <w:bookmarkEnd w:id="3"/>
    </w:p>
    <w:p>
      <w:pPr>
        <w:spacing w:line="880" w:lineRule="exact"/>
        <w:ind w:firstLine="0" w:firstLineChars="0"/>
        <w:jc w:val="center"/>
        <w:rPr>
          <w:rFonts w:eastAsia="方正楷体_GBK" w:cs="Times New Roman"/>
          <w:bCs/>
          <w:sz w:val="36"/>
          <w:szCs w:val="36"/>
        </w:rPr>
      </w:pPr>
    </w:p>
    <w:p>
      <w:pPr>
        <w:ind w:left="177" w:firstLine="632"/>
        <w:rPr>
          <w:rFonts w:cs="Times New Roman"/>
        </w:rPr>
      </w:pPr>
    </w:p>
    <w:p>
      <w:pPr>
        <w:ind w:left="177" w:firstLine="632"/>
        <w:rPr>
          <w:rFonts w:cs="Times New Roman"/>
        </w:rPr>
      </w:pPr>
    </w:p>
    <w:p>
      <w:pPr>
        <w:ind w:left="177" w:firstLine="632"/>
        <w:rPr>
          <w:rFonts w:cs="Times New Roman"/>
        </w:rPr>
      </w:pPr>
    </w:p>
    <w:p>
      <w:pPr>
        <w:ind w:left="177" w:firstLine="632"/>
        <w:rPr>
          <w:rFonts w:cs="Times New Roman"/>
        </w:rPr>
      </w:pPr>
    </w:p>
    <w:p>
      <w:pPr>
        <w:ind w:left="177" w:firstLine="632"/>
        <w:rPr>
          <w:rFonts w:cs="Times New Roman"/>
        </w:rPr>
      </w:pPr>
    </w:p>
    <w:p>
      <w:pPr>
        <w:ind w:left="177" w:firstLine="632"/>
        <w:rPr>
          <w:rFonts w:cs="Times New Roman"/>
        </w:rPr>
      </w:pPr>
    </w:p>
    <w:p>
      <w:pPr>
        <w:ind w:left="177" w:firstLine="0" w:firstLineChars="0"/>
        <w:rPr>
          <w:rFonts w:cs="Times New Roman"/>
        </w:rPr>
      </w:pPr>
    </w:p>
    <w:p>
      <w:pPr>
        <w:ind w:left="177" w:firstLine="632"/>
        <w:rPr>
          <w:rFonts w:cs="Times New Roman"/>
        </w:rPr>
      </w:pPr>
    </w:p>
    <w:p>
      <w:pPr>
        <w:ind w:left="177" w:firstLine="632"/>
        <w:rPr>
          <w:rFonts w:cs="Times New Roman"/>
        </w:rPr>
      </w:pPr>
    </w:p>
    <w:p>
      <w:pPr>
        <w:ind w:left="177" w:firstLine="632"/>
        <w:rPr>
          <w:rFonts w:cs="Times New Roman"/>
        </w:rPr>
      </w:pPr>
    </w:p>
    <w:p>
      <w:pPr>
        <w:ind w:left="177" w:firstLine="632"/>
        <w:rPr>
          <w:rFonts w:cs="Times New Roman"/>
        </w:rPr>
      </w:pPr>
    </w:p>
    <w:p>
      <w:pPr>
        <w:spacing w:line="520" w:lineRule="exact"/>
        <w:ind w:firstLine="0" w:firstLineChars="0"/>
        <w:jc w:val="center"/>
        <w:rPr>
          <w:rFonts w:hint="eastAsia" w:ascii="黑体" w:hAnsi="黑体" w:eastAsia="黑体" w:cs="黑体"/>
          <w:sz w:val="36"/>
          <w:szCs w:val="36"/>
        </w:rPr>
      </w:pPr>
    </w:p>
    <w:p>
      <w:pPr>
        <w:spacing w:line="520" w:lineRule="exact"/>
        <w:ind w:firstLine="0" w:firstLineChars="0"/>
        <w:jc w:val="center"/>
        <w:rPr>
          <w:rFonts w:hint="eastAsia" w:ascii="黑体" w:hAnsi="黑体" w:eastAsia="黑体" w:cs="黑体"/>
          <w:sz w:val="36"/>
          <w:szCs w:val="36"/>
        </w:rPr>
      </w:pPr>
    </w:p>
    <w:p>
      <w:pPr>
        <w:spacing w:line="520" w:lineRule="exact"/>
        <w:ind w:firstLine="0" w:firstLineChars="0"/>
        <w:jc w:val="both"/>
        <w:rPr>
          <w:rFonts w:hint="eastAsia" w:ascii="黑体" w:hAnsi="黑体" w:eastAsia="黑体" w:cs="黑体"/>
          <w:sz w:val="36"/>
          <w:szCs w:val="36"/>
        </w:rPr>
      </w:pPr>
      <w:bookmarkStart w:id="198" w:name="_GoBack"/>
      <w:bookmarkEnd w:id="198"/>
    </w:p>
    <w:p>
      <w:pPr>
        <w:spacing w:line="520" w:lineRule="exact"/>
        <w:ind w:firstLine="0" w:firstLineChars="0"/>
        <w:jc w:val="center"/>
        <w:rPr>
          <w:rFonts w:ascii="黑体" w:hAnsi="黑体" w:eastAsia="黑体" w:cs="黑体"/>
          <w:sz w:val="36"/>
          <w:szCs w:val="36"/>
        </w:rPr>
      </w:pPr>
      <w:r>
        <w:rPr>
          <w:rFonts w:hint="eastAsia" w:ascii="黑体" w:hAnsi="黑体" w:eastAsia="黑体" w:cs="黑体"/>
          <w:sz w:val="36"/>
          <w:szCs w:val="36"/>
        </w:rPr>
        <w:t>目</w:t>
      </w:r>
      <w:r>
        <w:rPr>
          <w:rFonts w:ascii="黑体" w:hAnsi="黑体" w:eastAsia="黑体" w:cs="黑体"/>
          <w:sz w:val="36"/>
          <w:szCs w:val="36"/>
        </w:rPr>
        <w:t xml:space="preserve"> </w:t>
      </w:r>
      <w:r>
        <w:rPr>
          <w:rFonts w:hint="eastAsia" w:ascii="黑体" w:hAnsi="黑体" w:eastAsia="黑体" w:cs="黑体"/>
          <w:sz w:val="36"/>
          <w:szCs w:val="36"/>
        </w:rPr>
        <w:t>录</w:t>
      </w:r>
    </w:p>
    <w:p>
      <w:pPr>
        <w:pStyle w:val="10"/>
        <w:tabs>
          <w:tab w:val="right" w:leader="dot" w:pos="8844"/>
        </w:tabs>
      </w:pPr>
      <w:r>
        <w:rPr>
          <w:rFonts w:ascii="黑体" w:hAnsi="黑体" w:eastAsia="黑体" w:cs="黑体"/>
          <w:b w:val="0"/>
          <w:bCs/>
          <w:szCs w:val="32"/>
        </w:rPr>
        <w:fldChar w:fldCharType="begin"/>
      </w:r>
      <w:r>
        <w:rPr>
          <w:rFonts w:ascii="黑体" w:hAnsi="黑体" w:eastAsia="黑体" w:cs="黑体"/>
          <w:b w:val="0"/>
          <w:bCs/>
          <w:szCs w:val="32"/>
        </w:rPr>
        <w:instrText xml:space="preserve"> </w:instrText>
      </w:r>
      <w:r>
        <w:rPr>
          <w:rFonts w:hint="eastAsia" w:ascii="黑体" w:hAnsi="黑体" w:eastAsia="黑体" w:cs="黑体"/>
          <w:b w:val="0"/>
          <w:bCs/>
          <w:szCs w:val="32"/>
        </w:rPr>
        <w:instrText xml:space="preserve">TOC \o "1-2" \h \z \u</w:instrText>
      </w:r>
      <w:r>
        <w:rPr>
          <w:rFonts w:ascii="黑体" w:hAnsi="黑体" w:eastAsia="黑体" w:cs="黑体"/>
          <w:b w:val="0"/>
          <w:bCs/>
          <w:szCs w:val="32"/>
        </w:rPr>
        <w:instrText xml:space="preserve"> </w:instrText>
      </w:r>
      <w:r>
        <w:rPr>
          <w:rFonts w:ascii="黑体" w:hAnsi="黑体" w:eastAsia="黑体" w:cs="黑体"/>
          <w:b w:val="0"/>
          <w:bCs/>
          <w:szCs w:val="32"/>
        </w:rPr>
        <w:fldChar w:fldCharType="separate"/>
      </w:r>
      <w:r>
        <w:rPr>
          <w:rFonts w:ascii="黑体" w:hAnsi="黑体" w:eastAsia="黑体" w:cs="黑体"/>
          <w:bCs/>
          <w:szCs w:val="32"/>
        </w:rPr>
        <w:fldChar w:fldCharType="begin"/>
      </w:r>
      <w:r>
        <w:rPr>
          <w:rFonts w:ascii="黑体" w:hAnsi="黑体" w:eastAsia="黑体" w:cs="黑体"/>
          <w:bCs/>
          <w:szCs w:val="32"/>
        </w:rPr>
        <w:instrText xml:space="preserve"> HYPERLINK \l _Toc7126 </w:instrText>
      </w:r>
      <w:r>
        <w:rPr>
          <w:rFonts w:ascii="黑体" w:hAnsi="黑体" w:eastAsia="黑体" w:cs="黑体"/>
          <w:bCs/>
          <w:szCs w:val="32"/>
        </w:rPr>
        <w:fldChar w:fldCharType="separate"/>
      </w:r>
      <w:r>
        <w:rPr>
          <w:rFonts w:hint="default" w:eastAsia="黑体" w:cs="Times New Roman"/>
          <w:szCs w:val="32"/>
        </w:rPr>
        <w:t xml:space="preserve">一、 </w:t>
      </w:r>
      <w:r>
        <w:rPr>
          <w:rFonts w:hint="eastAsia" w:eastAsia="黑体" w:cs="Times New Roman"/>
          <w:szCs w:val="32"/>
        </w:rPr>
        <w:t>背景与形势</w:t>
      </w:r>
      <w:r>
        <w:tab/>
      </w:r>
      <w:r>
        <w:fldChar w:fldCharType="begin"/>
      </w:r>
      <w:r>
        <w:instrText xml:space="preserve"> PAGEREF _Toc7126 \h </w:instrText>
      </w:r>
      <w:r>
        <w:fldChar w:fldCharType="separate"/>
      </w:r>
      <w:r>
        <w:t>1</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_Toc17711 </w:instrText>
      </w:r>
      <w:r>
        <w:rPr>
          <w:rFonts w:ascii="黑体" w:hAnsi="黑体" w:eastAsia="黑体" w:cs="黑体"/>
          <w:bCs/>
          <w:szCs w:val="32"/>
        </w:rPr>
        <w:fldChar w:fldCharType="separate"/>
      </w:r>
      <w:r>
        <w:rPr>
          <w:rFonts w:hint="eastAsia" w:cs="Times New Roman"/>
        </w:rPr>
        <w:t>（一）工作成效</w:t>
      </w:r>
      <w:r>
        <w:tab/>
      </w:r>
      <w:r>
        <w:fldChar w:fldCharType="begin"/>
      </w:r>
      <w:r>
        <w:instrText xml:space="preserve"> PAGEREF _Toc17711 \h </w:instrText>
      </w:r>
      <w:r>
        <w:fldChar w:fldCharType="separate"/>
      </w:r>
      <w:r>
        <w:t>1</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_Toc10368 </w:instrText>
      </w:r>
      <w:r>
        <w:rPr>
          <w:rFonts w:ascii="黑体" w:hAnsi="黑体" w:eastAsia="黑体" w:cs="黑体"/>
          <w:bCs/>
          <w:szCs w:val="32"/>
        </w:rPr>
        <w:fldChar w:fldCharType="separate"/>
      </w:r>
      <w:r>
        <w:rPr>
          <w:rFonts w:hint="eastAsia" w:cs="Times New Roman"/>
        </w:rPr>
        <w:t>（二）存在问题</w:t>
      </w:r>
      <w:r>
        <w:tab/>
      </w:r>
      <w:r>
        <w:fldChar w:fldCharType="begin"/>
      </w:r>
      <w:r>
        <w:instrText xml:space="preserve"> PAGEREF _Toc10368 \h </w:instrText>
      </w:r>
      <w:r>
        <w:fldChar w:fldCharType="separate"/>
      </w:r>
      <w:r>
        <w:t>3</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_Toc15915 </w:instrText>
      </w:r>
      <w:r>
        <w:rPr>
          <w:rFonts w:ascii="黑体" w:hAnsi="黑体" w:eastAsia="黑体" w:cs="黑体"/>
          <w:bCs/>
          <w:szCs w:val="32"/>
        </w:rPr>
        <w:fldChar w:fldCharType="separate"/>
      </w:r>
      <w:r>
        <w:rPr>
          <w:rFonts w:hint="eastAsia" w:cs="Times New Roman"/>
        </w:rPr>
        <w:t>（三）机遇挑战</w:t>
      </w:r>
      <w:r>
        <w:tab/>
      </w:r>
      <w:r>
        <w:fldChar w:fldCharType="begin"/>
      </w:r>
      <w:r>
        <w:instrText xml:space="preserve"> PAGEREF _Toc15915 \h </w:instrText>
      </w:r>
      <w:r>
        <w:fldChar w:fldCharType="separate"/>
      </w:r>
      <w:r>
        <w:t>6</w:t>
      </w:r>
      <w:r>
        <w:fldChar w:fldCharType="end"/>
      </w:r>
      <w:r>
        <w:rPr>
          <w:rFonts w:ascii="黑体" w:hAnsi="黑体" w:eastAsia="黑体" w:cs="黑体"/>
          <w:bCs/>
          <w:szCs w:val="32"/>
        </w:rPr>
        <w:fldChar w:fldCharType="end"/>
      </w:r>
    </w:p>
    <w:p>
      <w:pPr>
        <w:pStyle w:val="10"/>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_Toc25925 </w:instrText>
      </w:r>
      <w:r>
        <w:rPr>
          <w:rFonts w:ascii="黑体" w:hAnsi="黑体" w:eastAsia="黑体" w:cs="黑体"/>
          <w:bCs/>
          <w:szCs w:val="32"/>
        </w:rPr>
        <w:fldChar w:fldCharType="separate"/>
      </w:r>
      <w:r>
        <w:rPr>
          <w:rFonts w:hint="default" w:eastAsia="黑体" w:cs="Times New Roman"/>
          <w:szCs w:val="32"/>
        </w:rPr>
        <w:t xml:space="preserve">二、 </w:t>
      </w:r>
      <w:r>
        <w:rPr>
          <w:rFonts w:hint="eastAsia" w:eastAsia="黑体" w:cs="Times New Roman"/>
          <w:szCs w:val="32"/>
        </w:rPr>
        <w:t>总则</w:t>
      </w:r>
      <w:r>
        <w:tab/>
      </w:r>
      <w:r>
        <w:fldChar w:fldCharType="begin"/>
      </w:r>
      <w:r>
        <w:instrText xml:space="preserve"> PAGEREF _Toc25925 \h </w:instrText>
      </w:r>
      <w:r>
        <w:fldChar w:fldCharType="separate"/>
      </w:r>
      <w:r>
        <w:t>8</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_Toc731 </w:instrText>
      </w:r>
      <w:r>
        <w:rPr>
          <w:rFonts w:ascii="黑体" w:hAnsi="黑体" w:eastAsia="黑体" w:cs="黑体"/>
          <w:bCs/>
          <w:szCs w:val="32"/>
        </w:rPr>
        <w:fldChar w:fldCharType="separate"/>
      </w:r>
      <w:r>
        <w:rPr>
          <w:rFonts w:hint="eastAsia" w:cs="Times New Roman"/>
        </w:rPr>
        <w:t>（一）指导思想</w:t>
      </w:r>
      <w:r>
        <w:tab/>
      </w:r>
      <w:r>
        <w:fldChar w:fldCharType="begin"/>
      </w:r>
      <w:r>
        <w:instrText xml:space="preserve"> PAGEREF _Toc731 \h </w:instrText>
      </w:r>
      <w:r>
        <w:fldChar w:fldCharType="separate"/>
      </w:r>
      <w:r>
        <w:t>8</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_Toc20443 </w:instrText>
      </w:r>
      <w:r>
        <w:rPr>
          <w:rFonts w:ascii="黑体" w:hAnsi="黑体" w:eastAsia="黑体" w:cs="黑体"/>
          <w:bCs/>
          <w:szCs w:val="32"/>
        </w:rPr>
        <w:fldChar w:fldCharType="separate"/>
      </w:r>
      <w:r>
        <w:rPr>
          <w:rFonts w:hint="eastAsia" w:cs="Times New Roman"/>
        </w:rPr>
        <w:t>（二）基本原则</w:t>
      </w:r>
      <w:r>
        <w:tab/>
      </w:r>
      <w:r>
        <w:fldChar w:fldCharType="begin"/>
      </w:r>
      <w:r>
        <w:instrText xml:space="preserve"> PAGEREF _Toc20443 \h </w:instrText>
      </w:r>
      <w:r>
        <w:fldChar w:fldCharType="separate"/>
      </w:r>
      <w:r>
        <w:t>9</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_Toc7238 </w:instrText>
      </w:r>
      <w:r>
        <w:rPr>
          <w:rFonts w:ascii="黑体" w:hAnsi="黑体" w:eastAsia="黑体" w:cs="黑体"/>
          <w:bCs/>
          <w:szCs w:val="32"/>
        </w:rPr>
        <w:fldChar w:fldCharType="separate"/>
      </w:r>
      <w:r>
        <w:rPr>
          <w:rFonts w:hint="eastAsia" w:cs="Times New Roman"/>
        </w:rPr>
        <w:t>（三）规划目标</w:t>
      </w:r>
      <w:r>
        <w:tab/>
      </w:r>
      <w:r>
        <w:fldChar w:fldCharType="begin"/>
      </w:r>
      <w:r>
        <w:instrText xml:space="preserve"> PAGEREF _Toc7238 \h </w:instrText>
      </w:r>
      <w:r>
        <w:fldChar w:fldCharType="separate"/>
      </w:r>
      <w:r>
        <w:t>10</w:t>
      </w:r>
      <w:r>
        <w:fldChar w:fldCharType="end"/>
      </w:r>
      <w:r>
        <w:rPr>
          <w:rFonts w:ascii="黑体" w:hAnsi="黑体" w:eastAsia="黑体" w:cs="黑体"/>
          <w:bCs/>
          <w:szCs w:val="32"/>
        </w:rPr>
        <w:fldChar w:fldCharType="end"/>
      </w:r>
    </w:p>
    <w:p>
      <w:pPr>
        <w:pStyle w:val="10"/>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_Toc28336 </w:instrText>
      </w:r>
      <w:r>
        <w:rPr>
          <w:rFonts w:ascii="黑体" w:hAnsi="黑体" w:eastAsia="黑体" w:cs="黑体"/>
          <w:bCs/>
          <w:szCs w:val="32"/>
        </w:rPr>
        <w:fldChar w:fldCharType="separate"/>
      </w:r>
      <w:r>
        <w:rPr>
          <w:rFonts w:hint="default" w:eastAsia="黑体" w:cs="Times New Roman"/>
          <w:szCs w:val="32"/>
        </w:rPr>
        <w:t xml:space="preserve">三、 </w:t>
      </w:r>
      <w:r>
        <w:rPr>
          <w:rFonts w:eastAsia="黑体" w:cs="Times New Roman"/>
          <w:szCs w:val="32"/>
        </w:rPr>
        <w:t>主要任务</w:t>
      </w:r>
      <w:r>
        <w:tab/>
      </w:r>
      <w:r>
        <w:fldChar w:fldCharType="begin"/>
      </w:r>
      <w:r>
        <w:instrText xml:space="preserve"> PAGEREF _Toc28336 \h </w:instrText>
      </w:r>
      <w:r>
        <w:fldChar w:fldCharType="separate"/>
      </w:r>
      <w:r>
        <w:t>12</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_Toc6812 </w:instrText>
      </w:r>
      <w:r>
        <w:rPr>
          <w:rFonts w:ascii="黑体" w:hAnsi="黑体" w:eastAsia="黑体" w:cs="黑体"/>
          <w:bCs/>
          <w:szCs w:val="32"/>
        </w:rPr>
        <w:fldChar w:fldCharType="separate"/>
      </w:r>
      <w:r>
        <w:rPr>
          <w:rFonts w:hint="eastAsia" w:cs="Times New Roman"/>
        </w:rPr>
        <w:t>（一）持续优化畜禽养殖空间布局</w:t>
      </w:r>
      <w:r>
        <w:tab/>
      </w:r>
      <w:r>
        <w:fldChar w:fldCharType="begin"/>
      </w:r>
      <w:r>
        <w:instrText xml:space="preserve"> PAGEREF _Toc6812 \h </w:instrText>
      </w:r>
      <w:r>
        <w:fldChar w:fldCharType="separate"/>
      </w:r>
      <w:r>
        <w:t>12</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_Toc3789 </w:instrText>
      </w:r>
      <w:r>
        <w:rPr>
          <w:rFonts w:ascii="黑体" w:hAnsi="黑体" w:eastAsia="黑体" w:cs="黑体"/>
          <w:bCs/>
          <w:szCs w:val="32"/>
        </w:rPr>
        <w:fldChar w:fldCharType="separate"/>
      </w:r>
      <w:r>
        <w:rPr>
          <w:rFonts w:hint="eastAsia" w:cs="Times New Roman"/>
        </w:rPr>
        <w:t>（二）持续提升粪污资源化利用水平</w:t>
      </w:r>
      <w:r>
        <w:tab/>
      </w:r>
      <w:r>
        <w:fldChar w:fldCharType="begin"/>
      </w:r>
      <w:r>
        <w:instrText xml:space="preserve"> PAGEREF _Toc3789 \h </w:instrText>
      </w:r>
      <w:r>
        <w:fldChar w:fldCharType="separate"/>
      </w:r>
      <w:r>
        <w:t>14</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_Toc26127 </w:instrText>
      </w:r>
      <w:r>
        <w:rPr>
          <w:rFonts w:ascii="黑体" w:hAnsi="黑体" w:eastAsia="黑体" w:cs="黑体"/>
          <w:bCs/>
          <w:szCs w:val="32"/>
        </w:rPr>
        <w:fldChar w:fldCharType="separate"/>
      </w:r>
      <w:r>
        <w:rPr>
          <w:rFonts w:hint="eastAsia" w:cs="Times New Roman"/>
        </w:rPr>
        <w:t>（三）扎实推进畜禽养殖污染防治</w:t>
      </w:r>
      <w:r>
        <w:tab/>
      </w:r>
      <w:r>
        <w:fldChar w:fldCharType="begin"/>
      </w:r>
      <w:r>
        <w:instrText xml:space="preserve"> PAGEREF _Toc26127 \h </w:instrText>
      </w:r>
      <w:r>
        <w:fldChar w:fldCharType="separate"/>
      </w:r>
      <w:r>
        <w:t>18</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_Toc12727 </w:instrText>
      </w:r>
      <w:r>
        <w:rPr>
          <w:rFonts w:ascii="黑体" w:hAnsi="黑体" w:eastAsia="黑体" w:cs="黑体"/>
          <w:bCs/>
          <w:szCs w:val="32"/>
        </w:rPr>
        <w:fldChar w:fldCharType="separate"/>
      </w:r>
      <w:r>
        <w:rPr>
          <w:rFonts w:hint="eastAsia" w:cs="Times New Roman"/>
        </w:rPr>
        <w:t>（四）深入强化畜禽养殖环境监管</w:t>
      </w:r>
      <w:r>
        <w:tab/>
      </w:r>
      <w:r>
        <w:fldChar w:fldCharType="begin"/>
      </w:r>
      <w:r>
        <w:instrText xml:space="preserve"> PAGEREF _Toc12727 \h </w:instrText>
      </w:r>
      <w:r>
        <w:fldChar w:fldCharType="separate"/>
      </w:r>
      <w:r>
        <w:t>21</w:t>
      </w:r>
      <w:r>
        <w:fldChar w:fldCharType="end"/>
      </w:r>
      <w:r>
        <w:rPr>
          <w:rFonts w:ascii="黑体" w:hAnsi="黑体" w:eastAsia="黑体" w:cs="黑体"/>
          <w:bCs/>
          <w:szCs w:val="32"/>
        </w:rPr>
        <w:fldChar w:fldCharType="end"/>
      </w:r>
    </w:p>
    <w:p>
      <w:pPr>
        <w:pStyle w:val="10"/>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_Toc21417 </w:instrText>
      </w:r>
      <w:r>
        <w:rPr>
          <w:rFonts w:ascii="黑体" w:hAnsi="黑体" w:eastAsia="黑体" w:cs="黑体"/>
          <w:bCs/>
          <w:szCs w:val="32"/>
        </w:rPr>
        <w:fldChar w:fldCharType="separate"/>
      </w:r>
      <w:r>
        <w:rPr>
          <w:rFonts w:hint="default" w:eastAsia="黑体" w:cs="Times New Roman"/>
          <w:szCs w:val="32"/>
        </w:rPr>
        <w:t xml:space="preserve">四、 </w:t>
      </w:r>
      <w:r>
        <w:rPr>
          <w:rFonts w:hint="eastAsia" w:eastAsia="黑体" w:cs="Times New Roman"/>
          <w:szCs w:val="32"/>
        </w:rPr>
        <w:t>重点工程及资金筹措</w:t>
      </w:r>
      <w:r>
        <w:tab/>
      </w:r>
      <w:r>
        <w:fldChar w:fldCharType="begin"/>
      </w:r>
      <w:r>
        <w:instrText xml:space="preserve"> PAGEREF _Toc21417 \h </w:instrText>
      </w:r>
      <w:r>
        <w:fldChar w:fldCharType="separate"/>
      </w:r>
      <w:r>
        <w:t>23</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_Toc13188 </w:instrText>
      </w:r>
      <w:r>
        <w:rPr>
          <w:rFonts w:ascii="黑体" w:hAnsi="黑体" w:eastAsia="黑体" w:cs="黑体"/>
          <w:bCs/>
          <w:szCs w:val="32"/>
        </w:rPr>
        <w:fldChar w:fldCharType="separate"/>
      </w:r>
      <w:r>
        <w:rPr>
          <w:rFonts w:hint="eastAsia" w:cs="Times New Roman"/>
        </w:rPr>
        <w:t>（一）重点工程</w:t>
      </w:r>
      <w:r>
        <w:tab/>
      </w:r>
      <w:r>
        <w:fldChar w:fldCharType="begin"/>
      </w:r>
      <w:r>
        <w:instrText xml:space="preserve"> PAGEREF _Toc13188 \h </w:instrText>
      </w:r>
      <w:r>
        <w:fldChar w:fldCharType="separate"/>
      </w:r>
      <w:r>
        <w:t>23</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_Toc1424 </w:instrText>
      </w:r>
      <w:r>
        <w:rPr>
          <w:rFonts w:ascii="黑体" w:hAnsi="黑体" w:eastAsia="黑体" w:cs="黑体"/>
          <w:bCs/>
          <w:szCs w:val="32"/>
        </w:rPr>
        <w:fldChar w:fldCharType="separate"/>
      </w:r>
      <w:r>
        <w:rPr>
          <w:rFonts w:hint="eastAsia" w:cs="Times New Roman"/>
        </w:rPr>
        <w:t>（二）资金筹措</w:t>
      </w:r>
      <w:r>
        <w:tab/>
      </w:r>
      <w:r>
        <w:fldChar w:fldCharType="begin"/>
      </w:r>
      <w:r>
        <w:instrText xml:space="preserve"> PAGEREF _Toc1424 \h </w:instrText>
      </w:r>
      <w:r>
        <w:fldChar w:fldCharType="separate"/>
      </w:r>
      <w:r>
        <w:t>23</w:t>
      </w:r>
      <w:r>
        <w:fldChar w:fldCharType="end"/>
      </w:r>
      <w:r>
        <w:rPr>
          <w:rFonts w:ascii="黑体" w:hAnsi="黑体" w:eastAsia="黑体" w:cs="黑体"/>
          <w:bCs/>
          <w:szCs w:val="32"/>
        </w:rPr>
        <w:fldChar w:fldCharType="end"/>
      </w:r>
    </w:p>
    <w:p>
      <w:pPr>
        <w:pStyle w:val="10"/>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_Toc12931 </w:instrText>
      </w:r>
      <w:r>
        <w:rPr>
          <w:rFonts w:ascii="黑体" w:hAnsi="黑体" w:eastAsia="黑体" w:cs="黑体"/>
          <w:bCs/>
          <w:szCs w:val="32"/>
        </w:rPr>
        <w:fldChar w:fldCharType="separate"/>
      </w:r>
      <w:r>
        <w:rPr>
          <w:rFonts w:hint="default" w:eastAsia="黑体" w:cs="Times New Roman"/>
          <w:szCs w:val="32"/>
        </w:rPr>
        <w:t xml:space="preserve">五、 </w:t>
      </w:r>
      <w:r>
        <w:rPr>
          <w:rFonts w:hint="eastAsia" w:eastAsia="黑体" w:cs="Times New Roman"/>
          <w:szCs w:val="32"/>
        </w:rPr>
        <w:t>效益分析</w:t>
      </w:r>
      <w:r>
        <w:tab/>
      </w:r>
      <w:r>
        <w:fldChar w:fldCharType="begin"/>
      </w:r>
      <w:r>
        <w:instrText xml:space="preserve"> PAGEREF _Toc12931 \h </w:instrText>
      </w:r>
      <w:r>
        <w:fldChar w:fldCharType="separate"/>
      </w:r>
      <w:r>
        <w:t>23</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_Toc6801 </w:instrText>
      </w:r>
      <w:r>
        <w:rPr>
          <w:rFonts w:ascii="黑体" w:hAnsi="黑体" w:eastAsia="黑体" w:cs="黑体"/>
          <w:bCs/>
          <w:szCs w:val="32"/>
        </w:rPr>
        <w:fldChar w:fldCharType="separate"/>
      </w:r>
      <w:r>
        <w:rPr>
          <w:rFonts w:hint="eastAsia" w:cs="Times New Roman"/>
        </w:rPr>
        <w:t>（一）经济效益</w:t>
      </w:r>
      <w:r>
        <w:tab/>
      </w:r>
      <w:r>
        <w:fldChar w:fldCharType="begin"/>
      </w:r>
      <w:r>
        <w:instrText xml:space="preserve"> PAGEREF _Toc6801 \h </w:instrText>
      </w:r>
      <w:r>
        <w:fldChar w:fldCharType="separate"/>
      </w:r>
      <w:r>
        <w:t>23</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_Toc19745 </w:instrText>
      </w:r>
      <w:r>
        <w:rPr>
          <w:rFonts w:ascii="黑体" w:hAnsi="黑体" w:eastAsia="黑体" w:cs="黑体"/>
          <w:bCs/>
          <w:szCs w:val="32"/>
        </w:rPr>
        <w:fldChar w:fldCharType="separate"/>
      </w:r>
      <w:r>
        <w:rPr>
          <w:rFonts w:hint="eastAsia" w:cs="Times New Roman"/>
        </w:rPr>
        <w:t>（二）社会效益</w:t>
      </w:r>
      <w:r>
        <w:tab/>
      </w:r>
      <w:r>
        <w:fldChar w:fldCharType="begin"/>
      </w:r>
      <w:r>
        <w:instrText xml:space="preserve"> PAGEREF _Toc19745 \h </w:instrText>
      </w:r>
      <w:r>
        <w:fldChar w:fldCharType="separate"/>
      </w:r>
      <w:r>
        <w:t>24</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_Toc3825 </w:instrText>
      </w:r>
      <w:r>
        <w:rPr>
          <w:rFonts w:ascii="黑体" w:hAnsi="黑体" w:eastAsia="黑体" w:cs="黑体"/>
          <w:bCs/>
          <w:szCs w:val="32"/>
        </w:rPr>
        <w:fldChar w:fldCharType="separate"/>
      </w:r>
      <w:r>
        <w:rPr>
          <w:rFonts w:hint="eastAsia" w:cs="Times New Roman"/>
        </w:rPr>
        <w:t>（三）环境效益</w:t>
      </w:r>
      <w:r>
        <w:tab/>
      </w:r>
      <w:r>
        <w:fldChar w:fldCharType="begin"/>
      </w:r>
      <w:r>
        <w:instrText xml:space="preserve"> PAGEREF _Toc3825 \h </w:instrText>
      </w:r>
      <w:r>
        <w:fldChar w:fldCharType="separate"/>
      </w:r>
      <w:r>
        <w:t>24</w:t>
      </w:r>
      <w:r>
        <w:fldChar w:fldCharType="end"/>
      </w:r>
      <w:r>
        <w:rPr>
          <w:rFonts w:ascii="黑体" w:hAnsi="黑体" w:eastAsia="黑体" w:cs="黑体"/>
          <w:bCs/>
          <w:szCs w:val="32"/>
        </w:rPr>
        <w:fldChar w:fldCharType="end"/>
      </w:r>
    </w:p>
    <w:p>
      <w:pPr>
        <w:pStyle w:val="10"/>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_Toc12274 </w:instrText>
      </w:r>
      <w:r>
        <w:rPr>
          <w:rFonts w:ascii="黑体" w:hAnsi="黑体" w:eastAsia="黑体" w:cs="黑体"/>
          <w:bCs/>
          <w:szCs w:val="32"/>
        </w:rPr>
        <w:fldChar w:fldCharType="separate"/>
      </w:r>
      <w:r>
        <w:rPr>
          <w:rFonts w:hint="default" w:eastAsia="黑体" w:cs="Times New Roman"/>
          <w:szCs w:val="32"/>
        </w:rPr>
        <w:t xml:space="preserve">六、 </w:t>
      </w:r>
      <w:r>
        <w:rPr>
          <w:rFonts w:hint="eastAsia" w:eastAsia="黑体" w:cs="Times New Roman"/>
          <w:szCs w:val="32"/>
        </w:rPr>
        <w:t>保障措施</w:t>
      </w:r>
      <w:r>
        <w:tab/>
      </w:r>
      <w:r>
        <w:fldChar w:fldCharType="begin"/>
      </w:r>
      <w:r>
        <w:instrText xml:space="preserve"> PAGEREF _Toc12274 \h </w:instrText>
      </w:r>
      <w:r>
        <w:fldChar w:fldCharType="separate"/>
      </w:r>
      <w:r>
        <w:t>24</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_Toc208 </w:instrText>
      </w:r>
      <w:r>
        <w:rPr>
          <w:rFonts w:ascii="黑体" w:hAnsi="黑体" w:eastAsia="黑体" w:cs="黑体"/>
          <w:bCs/>
          <w:szCs w:val="32"/>
        </w:rPr>
        <w:fldChar w:fldCharType="separate"/>
      </w:r>
      <w:r>
        <w:rPr>
          <w:rFonts w:hint="eastAsia" w:cs="Times New Roman"/>
        </w:rPr>
        <w:t>（一）加强组织领导，理清职责分工</w:t>
      </w:r>
      <w:r>
        <w:tab/>
      </w:r>
      <w:r>
        <w:fldChar w:fldCharType="begin"/>
      </w:r>
      <w:r>
        <w:instrText xml:space="preserve"> PAGEREF _Toc208 \h </w:instrText>
      </w:r>
      <w:r>
        <w:fldChar w:fldCharType="separate"/>
      </w:r>
      <w:r>
        <w:t>24</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_Toc32005 </w:instrText>
      </w:r>
      <w:r>
        <w:rPr>
          <w:rFonts w:ascii="黑体" w:hAnsi="黑体" w:eastAsia="黑体" w:cs="黑体"/>
          <w:bCs/>
          <w:szCs w:val="32"/>
        </w:rPr>
        <w:fldChar w:fldCharType="separate"/>
      </w:r>
      <w:r>
        <w:rPr>
          <w:rFonts w:hint="eastAsia" w:cs="Times New Roman"/>
        </w:rPr>
        <w:t>（二）严格监督考核，压实主体责任</w:t>
      </w:r>
      <w:r>
        <w:tab/>
      </w:r>
      <w:r>
        <w:fldChar w:fldCharType="begin"/>
      </w:r>
      <w:r>
        <w:instrText xml:space="preserve"> PAGEREF _Toc32005 \h </w:instrText>
      </w:r>
      <w:r>
        <w:fldChar w:fldCharType="separate"/>
      </w:r>
      <w:r>
        <w:t>25</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_Toc23719 </w:instrText>
      </w:r>
      <w:r>
        <w:rPr>
          <w:rFonts w:ascii="黑体" w:hAnsi="黑体" w:eastAsia="黑体" w:cs="黑体"/>
          <w:bCs/>
          <w:szCs w:val="32"/>
        </w:rPr>
        <w:fldChar w:fldCharType="separate"/>
      </w:r>
      <w:r>
        <w:rPr>
          <w:rFonts w:hint="eastAsia" w:cs="Times New Roman"/>
        </w:rPr>
        <w:t>（三）强化政策扶持，加大科技支撑</w:t>
      </w:r>
      <w:r>
        <w:tab/>
      </w:r>
      <w:r>
        <w:fldChar w:fldCharType="begin"/>
      </w:r>
      <w:r>
        <w:instrText xml:space="preserve"> PAGEREF _Toc23719 \h </w:instrText>
      </w:r>
      <w:r>
        <w:fldChar w:fldCharType="separate"/>
      </w:r>
      <w:r>
        <w:t>25</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_Toc7924 </w:instrText>
      </w:r>
      <w:r>
        <w:rPr>
          <w:rFonts w:ascii="黑体" w:hAnsi="黑体" w:eastAsia="黑体" w:cs="黑体"/>
          <w:bCs/>
          <w:szCs w:val="32"/>
        </w:rPr>
        <w:fldChar w:fldCharType="separate"/>
      </w:r>
      <w:r>
        <w:rPr>
          <w:rFonts w:hint="eastAsia" w:cs="Times New Roman"/>
        </w:rPr>
        <w:t>（四）加强宣传引导，深化指导服务</w:t>
      </w:r>
      <w:r>
        <w:tab/>
      </w:r>
      <w:r>
        <w:fldChar w:fldCharType="begin"/>
      </w:r>
      <w:r>
        <w:instrText xml:space="preserve"> PAGEREF _Toc7924 \h </w:instrText>
      </w:r>
      <w:r>
        <w:fldChar w:fldCharType="separate"/>
      </w:r>
      <w:r>
        <w:t>26</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_Toc23201 </w:instrText>
      </w:r>
      <w:r>
        <w:rPr>
          <w:rFonts w:ascii="黑体" w:hAnsi="黑体" w:eastAsia="黑体" w:cs="黑体"/>
          <w:bCs/>
          <w:szCs w:val="32"/>
        </w:rPr>
        <w:fldChar w:fldCharType="separate"/>
      </w:r>
      <w:r>
        <w:rPr>
          <w:rFonts w:hint="eastAsia" w:cs="Times New Roman"/>
        </w:rPr>
        <w:t>附表一：</w:t>
      </w:r>
      <w:r>
        <w:rPr>
          <w:rFonts w:hint="eastAsia"/>
        </w:rPr>
        <w:t>江门市及各县（市、区）</w:t>
      </w:r>
      <w:r>
        <w:t>2023</w:t>
      </w:r>
      <w:r>
        <w:rPr>
          <w:rFonts w:hint="eastAsia"/>
        </w:rPr>
        <w:t>年各畜种生猪当量一览表</w:t>
      </w:r>
      <w:r>
        <w:tab/>
      </w:r>
      <w:r>
        <w:fldChar w:fldCharType="begin"/>
      </w:r>
      <w:r>
        <w:instrText xml:space="preserve"> PAGEREF _Toc23201 \h </w:instrText>
      </w:r>
      <w:r>
        <w:fldChar w:fldCharType="separate"/>
      </w:r>
      <w:r>
        <w:t>27</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_Toc27979 </w:instrText>
      </w:r>
      <w:r>
        <w:rPr>
          <w:rFonts w:ascii="黑体" w:hAnsi="黑体" w:eastAsia="黑体" w:cs="黑体"/>
          <w:bCs/>
          <w:szCs w:val="32"/>
        </w:rPr>
        <w:fldChar w:fldCharType="separate"/>
      </w:r>
      <w:r>
        <w:rPr>
          <w:rFonts w:hint="eastAsia" w:cs="Times New Roman"/>
        </w:rPr>
        <w:t>附表二：江门市畜禽养殖污染防治重点工程支持主体清单</w:t>
      </w:r>
      <w:r>
        <w:tab/>
      </w:r>
      <w:r>
        <w:fldChar w:fldCharType="begin"/>
      </w:r>
      <w:r>
        <w:instrText xml:space="preserve"> PAGEREF _Toc27979 \h </w:instrText>
      </w:r>
      <w:r>
        <w:fldChar w:fldCharType="separate"/>
      </w:r>
      <w:r>
        <w:t>28</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_Toc15336 </w:instrText>
      </w:r>
      <w:r>
        <w:rPr>
          <w:rFonts w:ascii="黑体" w:hAnsi="黑体" w:eastAsia="黑体" w:cs="黑体"/>
          <w:bCs/>
          <w:szCs w:val="32"/>
        </w:rPr>
        <w:fldChar w:fldCharType="separate"/>
      </w:r>
      <w:r>
        <w:rPr>
          <w:rFonts w:hint="eastAsia" w:cs="Times New Roman"/>
        </w:rPr>
        <w:t>附图一：江门市行政区划图</w:t>
      </w:r>
      <w:r>
        <w:tab/>
      </w:r>
      <w:r>
        <w:fldChar w:fldCharType="begin"/>
      </w:r>
      <w:r>
        <w:instrText xml:space="preserve"> PAGEREF _Toc15336 \h </w:instrText>
      </w:r>
      <w:r>
        <w:fldChar w:fldCharType="separate"/>
      </w:r>
      <w:r>
        <w:t>29</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_Toc30005 </w:instrText>
      </w:r>
      <w:r>
        <w:rPr>
          <w:rFonts w:ascii="黑体" w:hAnsi="黑体" w:eastAsia="黑体" w:cs="黑体"/>
          <w:bCs/>
          <w:szCs w:val="32"/>
        </w:rPr>
        <w:fldChar w:fldCharType="separate"/>
      </w:r>
      <w:r>
        <w:rPr>
          <w:rFonts w:hint="eastAsia" w:cs="Times New Roman"/>
        </w:rPr>
        <w:t>附图</w:t>
      </w:r>
      <w:r>
        <w:rPr>
          <w:rFonts w:hint="eastAsia" w:cs="Times New Roman"/>
          <w:lang w:val="en-US" w:eastAsia="zh-CN"/>
        </w:rPr>
        <w:t>二</w:t>
      </w:r>
      <w:r>
        <w:rPr>
          <w:rFonts w:hint="eastAsia" w:cs="Times New Roman"/>
        </w:rPr>
        <w:t>：江门市禁养区分布图</w:t>
      </w:r>
      <w:r>
        <w:tab/>
      </w:r>
      <w:r>
        <w:fldChar w:fldCharType="begin"/>
      </w:r>
      <w:r>
        <w:instrText xml:space="preserve"> PAGEREF _Toc30005 \h </w:instrText>
      </w:r>
      <w:r>
        <w:fldChar w:fldCharType="separate"/>
      </w:r>
      <w:r>
        <w:t>30</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_Toc28436 </w:instrText>
      </w:r>
      <w:r>
        <w:rPr>
          <w:rFonts w:ascii="黑体" w:hAnsi="黑体" w:eastAsia="黑体" w:cs="黑体"/>
          <w:bCs/>
          <w:szCs w:val="32"/>
        </w:rPr>
        <w:fldChar w:fldCharType="separate"/>
      </w:r>
      <w:r>
        <w:rPr>
          <w:rFonts w:hint="eastAsia" w:cs="Times New Roman"/>
        </w:rPr>
        <w:t>附图</w:t>
      </w:r>
      <w:r>
        <w:rPr>
          <w:rFonts w:hint="eastAsia" w:cs="Times New Roman"/>
          <w:lang w:val="en-US" w:eastAsia="zh-CN"/>
        </w:rPr>
        <w:t>三</w:t>
      </w:r>
      <w:r>
        <w:rPr>
          <w:rFonts w:hint="eastAsia" w:cs="Times New Roman"/>
        </w:rPr>
        <w:t>：</w:t>
      </w:r>
      <w:r>
        <w:rPr>
          <w:rFonts w:cs="Times New Roman"/>
        </w:rPr>
        <w:t>江门市</w:t>
      </w:r>
      <w:r>
        <w:rPr>
          <w:rFonts w:hint="eastAsia" w:cs="Times New Roman"/>
        </w:rPr>
        <w:t>环境管控单元分布图</w:t>
      </w:r>
      <w:r>
        <w:tab/>
      </w:r>
      <w:r>
        <w:fldChar w:fldCharType="begin"/>
      </w:r>
      <w:r>
        <w:instrText xml:space="preserve"> PAGEREF _Toc28436 \h </w:instrText>
      </w:r>
      <w:r>
        <w:fldChar w:fldCharType="separate"/>
      </w:r>
      <w:r>
        <w:t>31</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_Toc4245 </w:instrText>
      </w:r>
      <w:r>
        <w:rPr>
          <w:rFonts w:ascii="黑体" w:hAnsi="黑体" w:eastAsia="黑体" w:cs="黑体"/>
          <w:bCs/>
          <w:szCs w:val="32"/>
        </w:rPr>
        <w:fldChar w:fldCharType="separate"/>
      </w:r>
      <w:r>
        <w:rPr>
          <w:rFonts w:hint="eastAsia" w:cs="Times New Roman"/>
        </w:rPr>
        <w:t>附图</w:t>
      </w:r>
      <w:r>
        <w:rPr>
          <w:rFonts w:hint="eastAsia" w:cs="Times New Roman"/>
          <w:lang w:val="en-US" w:eastAsia="zh-CN"/>
        </w:rPr>
        <w:t>四</w:t>
      </w:r>
      <w:r>
        <w:rPr>
          <w:rFonts w:hint="eastAsia" w:cs="Times New Roman"/>
        </w:rPr>
        <w:t>：</w:t>
      </w:r>
      <w:r>
        <w:rPr>
          <w:rFonts w:cs="Times New Roman"/>
        </w:rPr>
        <w:t>江门市各县（市、区）不同畜种生猪养殖当量占比分布图</w:t>
      </w:r>
      <w:r>
        <w:tab/>
      </w:r>
      <w:r>
        <w:fldChar w:fldCharType="begin"/>
      </w:r>
      <w:r>
        <w:instrText xml:space="preserve"> PAGEREF _Toc4245 \h </w:instrText>
      </w:r>
      <w:r>
        <w:fldChar w:fldCharType="separate"/>
      </w:r>
      <w:r>
        <w:t>32</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_Toc15714 </w:instrText>
      </w:r>
      <w:r>
        <w:rPr>
          <w:rFonts w:ascii="黑体" w:hAnsi="黑体" w:eastAsia="黑体" w:cs="黑体"/>
          <w:bCs/>
          <w:szCs w:val="32"/>
        </w:rPr>
        <w:fldChar w:fldCharType="separate"/>
      </w:r>
      <w:r>
        <w:rPr>
          <w:rFonts w:hint="eastAsia" w:cs="Times New Roman"/>
        </w:rPr>
        <w:t>附图</w:t>
      </w:r>
      <w:r>
        <w:rPr>
          <w:rFonts w:hint="eastAsia" w:cs="Times New Roman"/>
          <w:lang w:val="en-US" w:eastAsia="zh-CN"/>
        </w:rPr>
        <w:t>五</w:t>
      </w:r>
      <w:r>
        <w:rPr>
          <w:rFonts w:hint="eastAsia" w:cs="Times New Roman"/>
        </w:rPr>
        <w:t>：江门市</w:t>
      </w:r>
      <w:r>
        <w:rPr>
          <w:rFonts w:hint="eastAsia"/>
        </w:rPr>
        <w:t>畜禽养殖量负荷警报分级图（以</w:t>
      </w:r>
      <w:r>
        <w:t>N</w:t>
      </w:r>
      <w:r>
        <w:rPr>
          <w:rFonts w:hint="eastAsia"/>
        </w:rPr>
        <w:t>计）</w:t>
      </w:r>
      <w:r>
        <w:tab/>
      </w:r>
      <w:r>
        <w:fldChar w:fldCharType="begin"/>
      </w:r>
      <w:r>
        <w:instrText xml:space="preserve"> PAGEREF _Toc15714 \h </w:instrText>
      </w:r>
      <w:r>
        <w:fldChar w:fldCharType="separate"/>
      </w:r>
      <w:r>
        <w:t>33</w:t>
      </w:r>
      <w:r>
        <w:fldChar w:fldCharType="end"/>
      </w:r>
      <w:r>
        <w:rPr>
          <w:rFonts w:ascii="黑体" w:hAnsi="黑体" w:eastAsia="黑体" w:cs="黑体"/>
          <w:bCs/>
          <w:szCs w:val="32"/>
        </w:rPr>
        <w:fldChar w:fldCharType="end"/>
      </w:r>
    </w:p>
    <w:p>
      <w:pPr>
        <w:pStyle w:val="12"/>
        <w:tabs>
          <w:tab w:val="right" w:leader="dot" w:pos="8844"/>
        </w:tabs>
      </w:pPr>
      <w:r>
        <w:rPr>
          <w:rFonts w:ascii="黑体" w:hAnsi="黑体" w:eastAsia="黑体" w:cs="黑体"/>
          <w:bCs/>
          <w:szCs w:val="32"/>
        </w:rPr>
        <w:fldChar w:fldCharType="begin"/>
      </w:r>
      <w:r>
        <w:rPr>
          <w:rFonts w:ascii="黑体" w:hAnsi="黑体" w:eastAsia="黑体" w:cs="黑体"/>
          <w:bCs/>
          <w:szCs w:val="32"/>
        </w:rPr>
        <w:instrText xml:space="preserve"> HYPERLINK \l _Toc1788 </w:instrText>
      </w:r>
      <w:r>
        <w:rPr>
          <w:rFonts w:ascii="黑体" w:hAnsi="黑体" w:eastAsia="黑体" w:cs="黑体"/>
          <w:bCs/>
          <w:szCs w:val="32"/>
        </w:rPr>
        <w:fldChar w:fldCharType="separate"/>
      </w:r>
      <w:r>
        <w:rPr>
          <w:rFonts w:hint="eastAsia" w:cs="Times New Roman"/>
        </w:rPr>
        <w:t>附图</w:t>
      </w:r>
      <w:r>
        <w:rPr>
          <w:rFonts w:hint="eastAsia" w:cs="Times New Roman"/>
          <w:lang w:val="en-US" w:eastAsia="zh-CN"/>
        </w:rPr>
        <w:t>六</w:t>
      </w:r>
      <w:r>
        <w:rPr>
          <w:rFonts w:hint="eastAsia" w:cs="Times New Roman"/>
        </w:rPr>
        <w:t>：</w:t>
      </w:r>
      <w:r>
        <w:rPr>
          <w:rFonts w:cs="Times New Roman"/>
        </w:rPr>
        <w:t>江门市已建病死畜禽无害化处理中心及粪污处置中心建设布局图</w:t>
      </w:r>
      <w:r>
        <w:tab/>
      </w:r>
      <w:r>
        <w:fldChar w:fldCharType="begin"/>
      </w:r>
      <w:r>
        <w:instrText xml:space="preserve"> PAGEREF _Toc1788 \h </w:instrText>
      </w:r>
      <w:r>
        <w:fldChar w:fldCharType="separate"/>
      </w:r>
      <w:r>
        <w:t>34</w:t>
      </w:r>
      <w:r>
        <w:fldChar w:fldCharType="end"/>
      </w:r>
      <w:r>
        <w:rPr>
          <w:rFonts w:ascii="黑体" w:hAnsi="黑体" w:eastAsia="黑体" w:cs="黑体"/>
          <w:bCs/>
          <w:szCs w:val="32"/>
        </w:rPr>
        <w:fldChar w:fldCharType="end"/>
      </w:r>
    </w:p>
    <w:p>
      <w:pPr>
        <w:spacing w:line="520" w:lineRule="exact"/>
        <w:ind w:firstLine="0" w:firstLineChars="0"/>
        <w:jc w:val="left"/>
        <w:rPr>
          <w:rFonts w:ascii="黑体" w:hAnsi="黑体" w:eastAsia="黑体" w:cs="黑体"/>
          <w:szCs w:val="32"/>
        </w:rPr>
      </w:pPr>
      <w:r>
        <w:rPr>
          <w:rFonts w:ascii="黑体" w:hAnsi="黑体" w:eastAsia="黑体" w:cs="黑体"/>
          <w:bCs/>
          <w:szCs w:val="32"/>
        </w:rPr>
        <w:fldChar w:fldCharType="end"/>
      </w:r>
    </w:p>
    <w:p>
      <w:pPr>
        <w:spacing w:line="540" w:lineRule="exact"/>
        <w:ind w:firstLine="632"/>
        <w:rPr>
          <w:rFonts w:cs="Times New Roman"/>
          <w:szCs w:val="32"/>
        </w:rPr>
        <w:sectPr>
          <w:headerReference r:id="rId5" w:type="default"/>
          <w:footerReference r:id="rId7" w:type="default"/>
          <w:headerReference r:id="rId6" w:type="even"/>
          <w:footerReference r:id="rId8" w:type="even"/>
          <w:pgSz w:w="11906" w:h="16838"/>
          <w:pgMar w:top="2098" w:right="1474" w:bottom="1985" w:left="1588" w:header="851" w:footer="992" w:gutter="0"/>
          <w:pgNumType w:fmt="upperRoman" w:start="1"/>
          <w:cols w:space="425" w:num="1"/>
          <w:docGrid w:type="linesAndChars" w:linePitch="579" w:charSpace="-849"/>
        </w:sectPr>
      </w:pPr>
    </w:p>
    <w:p>
      <w:pPr>
        <w:pageBreakBefore w:val="0"/>
        <w:widowControl w:val="0"/>
        <w:kinsoku/>
        <w:wordWrap/>
        <w:overflowPunct/>
        <w:topLinePunct w:val="0"/>
        <w:autoSpaceDE/>
        <w:autoSpaceDN/>
        <w:bidi w:val="0"/>
        <w:adjustRightInd w:val="0"/>
        <w:snapToGrid w:val="0"/>
        <w:ind w:firstLine="632"/>
        <w:textAlignment w:val="auto"/>
      </w:pPr>
      <w:r>
        <w:rPr>
          <w:rFonts w:hint="eastAsia"/>
        </w:rPr>
        <w:t>为深入打好水污染防治攻坚战和农业农村污染治理攻坚战，加快推进畜禽养殖污染防治和畜禽粪污资源化利用，促进畜牧业高质量发展，根据《中华人民共和国畜牧法》《中华人民共和国动物防疫法》《畜禽规模养殖污染防治条例》等法律法规以及国家、省有关工作要求，结合江门市实际，编制本规划。</w:t>
      </w:r>
    </w:p>
    <w:p>
      <w:pPr>
        <w:pStyle w:val="29"/>
        <w:pageBreakBefore w:val="0"/>
        <w:widowControl w:val="0"/>
        <w:numPr>
          <w:ilvl w:val="0"/>
          <w:numId w:val="1"/>
        </w:numPr>
        <w:kinsoku/>
        <w:wordWrap/>
        <w:overflowPunct/>
        <w:topLinePunct w:val="0"/>
        <w:autoSpaceDE/>
        <w:autoSpaceDN/>
        <w:bidi w:val="0"/>
        <w:adjustRightInd w:val="0"/>
        <w:snapToGrid w:val="0"/>
        <w:ind w:left="1350" w:firstLineChars="0"/>
        <w:textAlignment w:val="auto"/>
        <w:outlineLvl w:val="0"/>
        <w:rPr>
          <w:rFonts w:eastAsia="黑体" w:cs="Times New Roman"/>
          <w:szCs w:val="32"/>
        </w:rPr>
      </w:pPr>
      <w:bookmarkStart w:id="4" w:name="_Toc7126"/>
      <w:bookmarkStart w:id="5" w:name="_Toc21331"/>
      <w:bookmarkStart w:id="6" w:name="_Toc180398816"/>
      <w:bookmarkStart w:id="7" w:name="_Toc10216"/>
      <w:r>
        <w:rPr>
          <w:rFonts w:hint="eastAsia" w:eastAsia="黑体" w:cs="Times New Roman"/>
          <w:szCs w:val="32"/>
        </w:rPr>
        <w:t>背景与形势</w:t>
      </w:r>
      <w:bookmarkEnd w:id="4"/>
      <w:bookmarkEnd w:id="5"/>
      <w:bookmarkEnd w:id="6"/>
      <w:bookmarkEnd w:id="7"/>
    </w:p>
    <w:p>
      <w:pPr>
        <w:pageBreakBefore w:val="0"/>
        <w:widowControl w:val="0"/>
        <w:kinsoku/>
        <w:wordWrap/>
        <w:overflowPunct/>
        <w:topLinePunct w:val="0"/>
        <w:autoSpaceDE/>
        <w:autoSpaceDN/>
        <w:bidi w:val="0"/>
        <w:adjustRightInd w:val="0"/>
        <w:snapToGrid w:val="0"/>
        <w:ind w:firstLine="632"/>
        <w:textAlignment w:val="auto"/>
      </w:pPr>
      <w:r>
        <w:rPr>
          <w:rFonts w:hint="eastAsia"/>
        </w:rPr>
        <w:t>“十</w:t>
      </w:r>
      <w:r>
        <w:rPr>
          <w:rFonts w:hint="eastAsia"/>
          <w:lang w:eastAsia="zh-CN"/>
        </w:rPr>
        <w:t>四</w:t>
      </w:r>
      <w:r>
        <w:rPr>
          <w:rFonts w:hint="eastAsia"/>
        </w:rPr>
        <w:t>五”以来，江门市委、市政府认真贯彻落实中央和省委关于污染防治攻坚、畜牧业转型升级以及乡村振兴决策部署，以推进畜禽粪污资源化利用为工作重点，推动畜禽养殖转型升级，全市畜牧业发展布局进一步优化，粪污资源化利用水平显著提升。</w:t>
      </w:r>
    </w:p>
    <w:p>
      <w:pPr>
        <w:pStyle w:val="3"/>
        <w:pageBreakBefore w:val="0"/>
        <w:widowControl w:val="0"/>
        <w:kinsoku/>
        <w:wordWrap/>
        <w:overflowPunct/>
        <w:topLinePunct w:val="0"/>
        <w:autoSpaceDE/>
        <w:autoSpaceDN/>
        <w:bidi w:val="0"/>
        <w:adjustRightInd w:val="0"/>
        <w:snapToGrid w:val="0"/>
        <w:spacing w:before="0" w:beforeLines="0" w:after="0" w:afterLines="0"/>
        <w:ind w:firstLine="632"/>
        <w:textAlignment w:val="auto"/>
      </w:pPr>
      <w:bookmarkStart w:id="8" w:name="_Toc5833"/>
      <w:bookmarkStart w:id="9" w:name="_Toc17711"/>
      <w:bookmarkStart w:id="10" w:name="_Toc180398817"/>
      <w:r>
        <w:rPr>
          <w:rFonts w:hint="eastAsia" w:cs="Times New Roman"/>
        </w:rPr>
        <w:t>（一）工作成效</w:t>
      </w:r>
      <w:bookmarkEnd w:id="8"/>
      <w:bookmarkEnd w:id="9"/>
      <w:bookmarkEnd w:id="10"/>
    </w:p>
    <w:p>
      <w:pPr>
        <w:pageBreakBefore w:val="0"/>
        <w:widowControl w:val="0"/>
        <w:kinsoku/>
        <w:wordWrap/>
        <w:overflowPunct/>
        <w:topLinePunct w:val="0"/>
        <w:autoSpaceDE/>
        <w:autoSpaceDN/>
        <w:bidi w:val="0"/>
        <w:adjustRightInd w:val="0"/>
        <w:snapToGrid w:val="0"/>
        <w:ind w:firstLine="632"/>
        <w:textAlignment w:val="auto"/>
      </w:pPr>
      <w:r>
        <w:t>1.</w:t>
      </w:r>
      <w:r>
        <w:rPr>
          <w:rFonts w:hint="eastAsia"/>
        </w:rPr>
        <w:t>畜禽养殖业发展势头稳中向好</w:t>
      </w:r>
    </w:p>
    <w:p>
      <w:pPr>
        <w:pageBreakBefore w:val="0"/>
        <w:widowControl w:val="0"/>
        <w:kinsoku/>
        <w:wordWrap/>
        <w:overflowPunct/>
        <w:topLinePunct w:val="0"/>
        <w:autoSpaceDE/>
        <w:autoSpaceDN/>
        <w:bidi w:val="0"/>
        <w:adjustRightInd w:val="0"/>
        <w:snapToGrid w:val="0"/>
        <w:textAlignment w:val="auto"/>
      </w:pPr>
      <w:r>
        <w:rPr>
          <w:rFonts w:hint="eastAsia"/>
        </w:rPr>
        <w:t>畜禽养殖产业基础不断夯实，</w:t>
      </w:r>
      <w:r>
        <w:t>2023</w:t>
      </w:r>
      <w:r>
        <w:rPr>
          <w:rFonts w:hint="eastAsia"/>
        </w:rPr>
        <w:t>年，全市生猪年末存栏</w:t>
      </w:r>
      <w:r>
        <w:t>125.8</w:t>
      </w:r>
      <w:r>
        <w:rPr>
          <w:rFonts w:hint="eastAsia"/>
        </w:rPr>
        <w:t>万头，其中能繁母猪</w:t>
      </w:r>
      <w:r>
        <w:t>12.9</w:t>
      </w:r>
      <w:r>
        <w:rPr>
          <w:rFonts w:hint="eastAsia"/>
        </w:rPr>
        <w:t>万头，较</w:t>
      </w:r>
      <w:r>
        <w:t>2020</w:t>
      </w:r>
      <w:r>
        <w:rPr>
          <w:rFonts w:hint="eastAsia"/>
        </w:rPr>
        <w:t>年下降</w:t>
      </w:r>
      <w:r>
        <w:t>0.3%</w:t>
      </w:r>
      <w:r>
        <w:rPr>
          <w:rFonts w:hint="eastAsia"/>
        </w:rPr>
        <w:t>，年</w:t>
      </w:r>
      <w:r>
        <w:rPr>
          <w:rFonts w:hint="eastAsia"/>
          <w:lang w:eastAsia="zh-CN"/>
        </w:rPr>
        <w:t>末存栏</w:t>
      </w:r>
      <w:r>
        <w:rPr>
          <w:rFonts w:hint="eastAsia"/>
        </w:rPr>
        <w:t>量占全省的比重为</w:t>
      </w:r>
      <w:r>
        <w:t>6.1%</w:t>
      </w:r>
      <w:r>
        <w:rPr>
          <w:rFonts w:hint="eastAsia"/>
        </w:rPr>
        <w:t>，较</w:t>
      </w:r>
      <w:r>
        <w:t>2020</w:t>
      </w:r>
      <w:r>
        <w:rPr>
          <w:rFonts w:hint="eastAsia"/>
        </w:rPr>
        <w:t>年下降</w:t>
      </w:r>
      <w:r>
        <w:t>1.0%</w:t>
      </w:r>
      <w:r>
        <w:rPr>
          <w:rFonts w:hint="eastAsia"/>
        </w:rPr>
        <w:t>；全市肉牛存栏</w:t>
      </w:r>
      <w:r>
        <w:t>1.57</w:t>
      </w:r>
      <w:r>
        <w:rPr>
          <w:rFonts w:hint="eastAsia"/>
        </w:rPr>
        <w:t>万头，较</w:t>
      </w:r>
      <w:r>
        <w:t>2020</w:t>
      </w:r>
      <w:r>
        <w:rPr>
          <w:rFonts w:hint="eastAsia"/>
        </w:rPr>
        <w:t>年上升</w:t>
      </w:r>
      <w:r>
        <w:t>28.9%</w:t>
      </w:r>
      <w:r>
        <w:rPr>
          <w:rFonts w:hint="eastAsia"/>
        </w:rPr>
        <w:t>，年</w:t>
      </w:r>
      <w:r>
        <w:rPr>
          <w:rFonts w:hint="eastAsia"/>
          <w:lang w:eastAsia="zh-CN"/>
        </w:rPr>
        <w:t>末存栏</w:t>
      </w:r>
      <w:r>
        <w:rPr>
          <w:rFonts w:hint="eastAsia"/>
        </w:rPr>
        <w:t>量占全省的比重为</w:t>
      </w:r>
      <w:r>
        <w:t>1.6%</w:t>
      </w:r>
      <w:r>
        <w:rPr>
          <w:rFonts w:hint="eastAsia"/>
        </w:rPr>
        <w:t>，较</w:t>
      </w:r>
      <w:r>
        <w:t>2020</w:t>
      </w:r>
      <w:r>
        <w:rPr>
          <w:rFonts w:hint="eastAsia"/>
        </w:rPr>
        <w:t>年上升</w:t>
      </w:r>
      <w:r>
        <w:t>0.2%</w:t>
      </w:r>
      <w:r>
        <w:rPr>
          <w:rFonts w:hint="eastAsia"/>
        </w:rPr>
        <w:t>；全市家禽存栏</w:t>
      </w:r>
      <w:r>
        <w:t>4615.5</w:t>
      </w:r>
      <w:r>
        <w:rPr>
          <w:rFonts w:hint="eastAsia"/>
        </w:rPr>
        <w:t>万羽，较</w:t>
      </w:r>
      <w:r>
        <w:t>2020</w:t>
      </w:r>
      <w:r>
        <w:rPr>
          <w:rFonts w:hint="eastAsia"/>
        </w:rPr>
        <w:t>年上升</w:t>
      </w:r>
      <w:r>
        <w:t>42.7%</w:t>
      </w:r>
      <w:r>
        <w:rPr>
          <w:rFonts w:hint="eastAsia"/>
        </w:rPr>
        <w:t>，年</w:t>
      </w:r>
      <w:r>
        <w:rPr>
          <w:rFonts w:hint="eastAsia"/>
          <w:lang w:eastAsia="zh-CN"/>
        </w:rPr>
        <w:t>末存栏</w:t>
      </w:r>
      <w:r>
        <w:rPr>
          <w:rFonts w:hint="eastAsia"/>
        </w:rPr>
        <w:t>量占全省的比重为</w:t>
      </w:r>
      <w:r>
        <w:t>11.5%</w:t>
      </w:r>
      <w:r>
        <w:rPr>
          <w:rFonts w:hint="eastAsia"/>
        </w:rPr>
        <w:t>，较</w:t>
      </w:r>
      <w:r>
        <w:t>2020</w:t>
      </w:r>
      <w:r>
        <w:rPr>
          <w:rFonts w:hint="eastAsia"/>
        </w:rPr>
        <w:t>年上升</w:t>
      </w:r>
      <w:r>
        <w:t>3.4%</w:t>
      </w:r>
      <w:r>
        <w:rPr>
          <w:rFonts w:hint="eastAsia"/>
        </w:rPr>
        <w:t>，全市畜禽养殖业发展稳中向好。畜禽养殖规模化水平较高，</w:t>
      </w:r>
      <w:r>
        <w:t>2023</w:t>
      </w:r>
      <w:r>
        <w:rPr>
          <w:rFonts w:hint="eastAsia"/>
        </w:rPr>
        <w:t>年江门市生猪、肉牛、肉鸡养殖规模比重分别达到</w:t>
      </w:r>
      <w:r>
        <w:t>96.2%</w:t>
      </w:r>
      <w:r>
        <w:rPr>
          <w:rFonts w:hint="eastAsia"/>
        </w:rPr>
        <w:t>、</w:t>
      </w:r>
      <w:r>
        <w:t>72.4%</w:t>
      </w:r>
      <w:r>
        <w:rPr>
          <w:rFonts w:hint="eastAsia"/>
        </w:rPr>
        <w:t>、</w:t>
      </w:r>
      <w:r>
        <w:t>97.2%</w:t>
      </w:r>
      <w:r>
        <w:rPr>
          <w:rFonts w:hint="eastAsia"/>
        </w:rPr>
        <w:t>，均高于广东省平均水平。</w:t>
      </w:r>
    </w:p>
    <w:p>
      <w:pPr>
        <w:ind w:firstLine="632"/>
        <w:rPr>
          <w:rFonts w:cs="Times New Roman"/>
        </w:rPr>
      </w:pPr>
      <w:r>
        <w:rPr>
          <w:rFonts w:cs="Times New Roman"/>
        </w:rPr>
        <w:t>2.</w:t>
      </w:r>
      <w:r>
        <w:rPr>
          <w:rFonts w:hint="eastAsia" w:cs="Times New Roman"/>
        </w:rPr>
        <w:t>畜禽养殖区域化布局更加合理</w:t>
      </w:r>
    </w:p>
    <w:p>
      <w:pPr>
        <w:ind w:firstLine="632"/>
      </w:pPr>
      <w:r>
        <w:rPr>
          <w:rFonts w:hint="eastAsia"/>
        </w:rPr>
        <w:t>印发实施《江门市推进农业农村现代化“十四五”规划》，从确保粮食安全和食物安全的大局出发，优化农业生产布局，形成以开平市、台山市、恩平市等下辖</w:t>
      </w:r>
      <w:r>
        <w:t>13</w:t>
      </w:r>
      <w:r>
        <w:rPr>
          <w:rFonts w:hint="eastAsia"/>
        </w:rPr>
        <w:t>个镇街为主的生猪生态养殖发展区，以台山市、开平市、鹤山市、恩平市等下辖</w:t>
      </w:r>
      <w:r>
        <w:t>12</w:t>
      </w:r>
      <w:r>
        <w:rPr>
          <w:rFonts w:hint="eastAsia"/>
        </w:rPr>
        <w:t>个镇街为重点的黄羽鸡产业发展区，以开平市全域和台山市白沙镇等为主的马冈鹅三产融合发展区。根据国家和省工作部署要求，推动各县（市、区）结合自身的环境容量，优化调整禁养区范围，全市调整后禁养区面积</w:t>
      </w:r>
      <w:r>
        <w:t>4222.5</w:t>
      </w:r>
      <w:r>
        <w:rPr>
          <w:rFonts w:hint="eastAsia"/>
        </w:rPr>
        <w:t>平方公里，占全市陆地面积的</w:t>
      </w:r>
      <w:r>
        <w:t>44.27%</w:t>
      </w:r>
      <w:r>
        <w:rPr>
          <w:rFonts w:hint="eastAsia"/>
        </w:rPr>
        <w:t>，进一步理清了畜禽养殖空间管控范围，明确了产业发展空间布局。</w:t>
      </w:r>
    </w:p>
    <w:p>
      <w:pPr>
        <w:ind w:firstLine="632"/>
        <w:rPr>
          <w:rFonts w:cs="Times New Roman"/>
        </w:rPr>
      </w:pPr>
      <w:r>
        <w:rPr>
          <w:rFonts w:cs="Times New Roman"/>
        </w:rPr>
        <w:t>3.</w:t>
      </w:r>
      <w:r>
        <w:rPr>
          <w:rFonts w:hint="eastAsia" w:cs="Times New Roman"/>
        </w:rPr>
        <w:t>畜禽废弃物资源化利用率不断提高</w:t>
      </w:r>
    </w:p>
    <w:p>
      <w:pPr>
        <w:ind w:firstLine="632"/>
      </w:pPr>
      <w:r>
        <w:rPr>
          <w:rFonts w:hint="eastAsia"/>
        </w:rPr>
        <w:t>出台《</w:t>
      </w:r>
      <w:r>
        <w:rPr>
          <w:rFonts w:hint="eastAsia"/>
          <w:szCs w:val="20"/>
        </w:rPr>
        <w:t>畜禽养殖废弃物资源化利用工作方案</w:t>
      </w:r>
      <w:r>
        <w:rPr>
          <w:rFonts w:hint="eastAsia"/>
        </w:rPr>
        <w:t>》，以就地消纳、能量循环、综合利用为主线，以畜牧大县、省级以上现代农业示范区、农业可持续发展试验示范区、现代农业产业园等为重点，全面推进养殖废弃物资源化利用，构建种养循环发展机制。持续推进开平市、鹤山市畜禽粪污资源化利用整县推进项目，完成近</w:t>
      </w:r>
      <w:r>
        <w:t>70</w:t>
      </w:r>
      <w:r>
        <w:rPr>
          <w:rFonts w:hint="eastAsia"/>
        </w:rPr>
        <w:t>家</w:t>
      </w:r>
      <w:r>
        <w:rPr>
          <w:rFonts w:hint="eastAsia" w:ascii="仿宋_GB2312" w:hAnsi="仿宋_GB2312" w:cs="仿宋_GB2312"/>
          <w:szCs w:val="32"/>
        </w:rPr>
        <w:t>生猪、家禽规模养殖场</w:t>
      </w:r>
      <w:r>
        <w:rPr>
          <w:rFonts w:hint="eastAsia"/>
        </w:rPr>
        <w:t>粪污综合利用设施提升改造和多家粪污集中处理利用中心建设，目前两市规模养殖场粪污处理设施装备配套率均达到</w:t>
      </w:r>
      <w:r>
        <w:t>100%</w:t>
      </w:r>
      <w:r>
        <w:rPr>
          <w:rFonts w:hint="eastAsia"/>
        </w:rPr>
        <w:t>，畜禽粪污综合利用率均达</w:t>
      </w:r>
      <w:r>
        <w:rPr>
          <w:rFonts w:hint="eastAsia"/>
          <w:lang w:val="en-US" w:eastAsia="zh-CN"/>
        </w:rPr>
        <w:t>85</w:t>
      </w:r>
      <w:r>
        <w:t>%</w:t>
      </w:r>
      <w:r>
        <w:rPr>
          <w:rFonts w:hint="eastAsia"/>
        </w:rPr>
        <w:t>以上。指导恩平市成功申报</w:t>
      </w:r>
      <w:r>
        <w:t>2023</w:t>
      </w:r>
      <w:r>
        <w:rPr>
          <w:rFonts w:hint="eastAsia"/>
        </w:rPr>
        <w:t>年中央预算内投资农业建设项目并获得中央资金</w:t>
      </w:r>
      <w:r>
        <w:t>3000</w:t>
      </w:r>
      <w:r>
        <w:rPr>
          <w:rFonts w:hint="eastAsia"/>
        </w:rPr>
        <w:t>万元，用于扶持恩平市规模养殖场粪污处理配套建设及粪肥还田利用示范基地建设。</w:t>
      </w:r>
      <w:r>
        <w:t>2023</w:t>
      </w:r>
      <w:r>
        <w:rPr>
          <w:rFonts w:hint="eastAsia"/>
        </w:rPr>
        <w:t>年全市畜禽粪污综合利用率达</w:t>
      </w:r>
      <w:r>
        <w:t>84.78%</w:t>
      </w:r>
      <w:r>
        <w:rPr>
          <w:rFonts w:hint="eastAsia"/>
        </w:rPr>
        <w:t>，高于同期广东省畜禽粪污综合利用水平。</w:t>
      </w:r>
    </w:p>
    <w:p>
      <w:pPr>
        <w:ind w:firstLine="632"/>
        <w:rPr>
          <w:rFonts w:cs="Times New Roman"/>
        </w:rPr>
      </w:pPr>
      <w:r>
        <w:rPr>
          <w:rFonts w:cs="Times New Roman"/>
        </w:rPr>
        <w:t>4.</w:t>
      </w:r>
      <w:r>
        <w:rPr>
          <w:rFonts w:hint="eastAsia" w:cs="Times New Roman"/>
        </w:rPr>
        <w:t>畜禽养殖污染防控机制更加完善</w:t>
      </w:r>
    </w:p>
    <w:p>
      <w:pPr>
        <w:ind w:firstLine="632"/>
      </w:pPr>
      <w:r>
        <w:rPr>
          <w:rFonts w:hint="eastAsia"/>
        </w:rPr>
        <w:t>推动鹤山市、开平市制定印发畜禽养殖污染防治规划。全面落实畜禽养殖行业排污许可证制度，累计完成</w:t>
      </w:r>
      <w:r>
        <w:t>4668</w:t>
      </w:r>
      <w:r>
        <w:rPr>
          <w:rFonts w:hint="eastAsia"/>
        </w:rPr>
        <w:t>家畜禽养殖场排污许可（登记）证的核发与备案工作。印发《江门市</w:t>
      </w:r>
      <w:r>
        <w:t>2023</w:t>
      </w:r>
      <w:r>
        <w:rPr>
          <w:rFonts w:hint="eastAsia"/>
        </w:rPr>
        <w:t>年生猪养殖场污染排查防治工作方案》，联合农业农村、水利等部门全面开展生猪养殖场污染排查防治工作，引导一批具备整改条件的生猪养殖场限期完善粪污防治设施设备，建立逐场验收制度。加强畜禽养殖业事中事后监管，</w:t>
      </w:r>
      <w:r>
        <w:t>2023</w:t>
      </w:r>
      <w:r>
        <w:rPr>
          <w:rFonts w:hint="eastAsia"/>
        </w:rPr>
        <w:t>年将</w:t>
      </w:r>
      <w:r>
        <w:t>64</w:t>
      </w:r>
      <w:r>
        <w:rPr>
          <w:rFonts w:hint="eastAsia"/>
        </w:rPr>
        <w:t>家规模养殖场纳入“双随机、一公开”监管系统并完成抽查</w:t>
      </w:r>
      <w:r>
        <w:t>6</w:t>
      </w:r>
      <w:r>
        <w:rPr>
          <w:rFonts w:hint="eastAsia"/>
        </w:rPr>
        <w:t>家，通过环保督察、信访举报、行政处罚等手段，督促养殖场（户）落实粪污资源化利用和污染防治主体责任，畜禽养殖污染防控机制更加完善。</w:t>
      </w:r>
    </w:p>
    <w:p>
      <w:pPr>
        <w:pStyle w:val="3"/>
        <w:spacing w:before="0" w:beforeLines="0" w:after="0" w:afterLines="0"/>
        <w:ind w:firstLine="632"/>
        <w:rPr>
          <w:rFonts w:cs="Times New Roman"/>
        </w:rPr>
      </w:pPr>
      <w:bookmarkStart w:id="11" w:name="_Toc6623"/>
      <w:bookmarkStart w:id="12" w:name="_Toc10368"/>
      <w:bookmarkStart w:id="13" w:name="_Toc5724"/>
      <w:bookmarkStart w:id="14" w:name="_Toc180398818"/>
      <w:r>
        <w:rPr>
          <w:rFonts w:hint="eastAsia" w:cs="Times New Roman"/>
        </w:rPr>
        <w:t>（二）存在问题</w:t>
      </w:r>
      <w:bookmarkEnd w:id="11"/>
      <w:bookmarkEnd w:id="12"/>
      <w:bookmarkEnd w:id="13"/>
      <w:bookmarkEnd w:id="14"/>
    </w:p>
    <w:p>
      <w:pPr>
        <w:ind w:firstLine="632"/>
      </w:pPr>
      <w:bookmarkStart w:id="15" w:name="_Toc8417"/>
      <w:bookmarkStart w:id="16" w:name="_Toc3959"/>
      <w:bookmarkStart w:id="17" w:name="_Toc16784"/>
      <w:bookmarkStart w:id="18" w:name="_Toc1448297489"/>
      <w:r>
        <w:t>1.</w:t>
      </w:r>
      <w:r>
        <w:rPr>
          <w:rFonts w:hint="eastAsia"/>
        </w:rPr>
        <w:t>部分区域环境承载压力较大</w:t>
      </w:r>
    </w:p>
    <w:p>
      <w:pPr>
        <w:ind w:firstLine="632"/>
      </w:pPr>
      <w:r>
        <w:t>2023</w:t>
      </w:r>
      <w:r>
        <w:rPr>
          <w:rFonts w:hint="eastAsia"/>
        </w:rPr>
        <w:t>年，江门市畜禽养殖业化学需氧量排放量为</w:t>
      </w:r>
      <w:r>
        <w:t>6.3</w:t>
      </w:r>
      <w:r>
        <w:rPr>
          <w:rFonts w:hint="eastAsia"/>
        </w:rPr>
        <w:t>万吨，其中生猪占</w:t>
      </w:r>
      <w:r>
        <w:t>48.6%</w:t>
      </w:r>
      <w:r>
        <w:rPr>
          <w:rFonts w:hint="eastAsia"/>
        </w:rPr>
        <w:t>、肉鸡占</w:t>
      </w:r>
      <w:r>
        <w:t>25.0%</w:t>
      </w:r>
      <w:r>
        <w:rPr>
          <w:rFonts w:hint="eastAsia"/>
        </w:rPr>
        <w:t>；总氮排放量为</w:t>
      </w:r>
      <w:r>
        <w:t>3581</w:t>
      </w:r>
      <w:r>
        <w:rPr>
          <w:rFonts w:hint="eastAsia"/>
        </w:rPr>
        <w:t>吨，其中生猪占</w:t>
      </w:r>
      <w:r>
        <w:t>56.9%</w:t>
      </w:r>
      <w:r>
        <w:rPr>
          <w:rFonts w:hint="eastAsia"/>
        </w:rPr>
        <w:t>、肉鸡占</w:t>
      </w:r>
      <w:r>
        <w:t>20.9%</w:t>
      </w:r>
      <w:r>
        <w:rPr>
          <w:rFonts w:hint="eastAsia"/>
        </w:rPr>
        <w:t>；氨氮排放量为</w:t>
      </w:r>
      <w:r>
        <w:t>530</w:t>
      </w:r>
      <w:r>
        <w:rPr>
          <w:rFonts w:hint="eastAsia"/>
        </w:rPr>
        <w:t>吨，其中生猪占</w:t>
      </w:r>
      <w:r>
        <w:t>67.6%</w:t>
      </w:r>
      <w:r>
        <w:rPr>
          <w:rFonts w:hint="eastAsia"/>
        </w:rPr>
        <w:t>、蛋鸡占</w:t>
      </w:r>
      <w:r>
        <w:t>27.5%</w:t>
      </w:r>
      <w:r>
        <w:rPr>
          <w:rFonts w:hint="eastAsia"/>
        </w:rPr>
        <w:t>；总磷排放量为</w:t>
      </w:r>
      <w:r>
        <w:t>847</w:t>
      </w:r>
      <w:r>
        <w:rPr>
          <w:rFonts w:hint="eastAsia"/>
        </w:rPr>
        <w:t>吨，其中生猪占</w:t>
      </w:r>
      <w:r>
        <w:t>63.3%</w:t>
      </w:r>
      <w:r>
        <w:rPr>
          <w:rFonts w:hint="eastAsia"/>
        </w:rPr>
        <w:t>、肉鸡占</w:t>
      </w:r>
      <w:r>
        <w:t>17.4%</w:t>
      </w:r>
      <w:r>
        <w:rPr>
          <w:rFonts w:hint="eastAsia"/>
        </w:rPr>
        <w:t>。</w:t>
      </w:r>
      <w:bookmarkStart w:id="19" w:name="_Hlk181194478"/>
      <w:r>
        <w:rPr>
          <w:rFonts w:hint="eastAsia"/>
        </w:rPr>
        <w:t>开平市养殖量较大，</w:t>
      </w:r>
      <w:r>
        <w:t>2023</w:t>
      </w:r>
      <w:r>
        <w:rPr>
          <w:rFonts w:hint="eastAsia"/>
        </w:rPr>
        <w:t>年实际猪当量已超过区域土地畜禽粪污承载力（以</w:t>
      </w:r>
      <w:r>
        <w:t>N</w:t>
      </w:r>
      <w:r>
        <w:rPr>
          <w:rFonts w:hint="eastAsia"/>
        </w:rPr>
        <w:t>计），对环境的威胁程度较高，对流域部分断面水质稳定达标带来一定压力</w:t>
      </w:r>
      <w:bookmarkEnd w:id="19"/>
      <w:r>
        <w:rPr>
          <w:rFonts w:hint="eastAsia"/>
        </w:rPr>
        <w:t>，增加了畜牧业发展与生态环境保护协调发展的难度。</w:t>
      </w:r>
    </w:p>
    <w:p>
      <w:pPr>
        <w:ind w:firstLine="632"/>
      </w:pPr>
      <w:r>
        <w:t>2.</w:t>
      </w:r>
      <w:r>
        <w:rPr>
          <w:rFonts w:hint="eastAsia"/>
        </w:rPr>
        <w:t>污染防治设施亟需提档升级</w:t>
      </w:r>
    </w:p>
    <w:p>
      <w:pPr>
        <w:ind w:firstLine="634"/>
      </w:pPr>
      <w:bookmarkStart w:id="20" w:name="_Hlk185281301"/>
      <w:r>
        <w:rPr>
          <w:rFonts w:hint="eastAsia"/>
          <w:b/>
          <w:bCs/>
        </w:rPr>
        <w:t>一是</w:t>
      </w:r>
      <w:r>
        <w:rPr>
          <w:rFonts w:hint="eastAsia"/>
        </w:rPr>
        <w:t>仍有部分生猪养殖场内部设施设备工艺落后，使用水冲粪工艺，雨污混流，粪污贮存不符合防渗、防雨、防溢流要求，粪污处理和资源化利用设施不配套等问题依然存在。</w:t>
      </w:r>
      <w:r>
        <w:rPr>
          <w:rFonts w:hint="eastAsia"/>
          <w:b/>
          <w:bCs/>
        </w:rPr>
        <w:t>二是</w:t>
      </w:r>
      <w:r>
        <w:rPr>
          <w:rFonts w:hint="eastAsia"/>
        </w:rPr>
        <w:t>“重建设轻运维”现象仍然存在，部分规模养殖场受现有沼气工程设备老旧限制，发酵等技术应用不够彻底；另外对粪污处理设施的维护热情不高，管理和检修不到位，导致固液分离机建而不用、覆膜沼气池等构筑物破损、异位发酵床“死床”等问题。</w:t>
      </w:r>
      <w:r>
        <w:rPr>
          <w:rFonts w:hint="eastAsia"/>
          <w:b/>
          <w:bCs/>
        </w:rPr>
        <w:t>三是</w:t>
      </w:r>
      <w:r>
        <w:rPr>
          <w:rFonts w:hint="eastAsia"/>
        </w:rPr>
        <w:t>水禽养殖污染防治尚未得到重视，开平市和台山市白沙镇作为马冈鹅主要产区，鹅养殖量大但规模不一，部分养殖场存在粪污未有效收集、粪污直接排入环境等问题。</w:t>
      </w:r>
      <w:bookmarkEnd w:id="20"/>
    </w:p>
    <w:p>
      <w:pPr>
        <w:ind w:firstLine="632"/>
      </w:pPr>
      <w:r>
        <w:rPr>
          <w:rFonts w:hint="eastAsia"/>
        </w:rPr>
        <w:t>3</w:t>
      </w:r>
      <w:r>
        <w:t>.</w:t>
      </w:r>
      <w:r>
        <w:rPr>
          <w:rFonts w:hint="eastAsia"/>
        </w:rPr>
        <w:t>畜禽粪污不当还田（林）仍然存在</w:t>
      </w:r>
    </w:p>
    <w:p>
      <w:pPr>
        <w:ind w:firstLine="634"/>
      </w:pPr>
      <w:r>
        <w:rPr>
          <w:rFonts w:hint="eastAsia"/>
          <w:b/>
          <w:bCs/>
        </w:rPr>
        <w:t>一是</w:t>
      </w:r>
      <w:r>
        <w:rPr>
          <w:rFonts w:hint="eastAsia"/>
        </w:rPr>
        <w:t>部分养殖场未严格落实《畜禽粪便无害化处理技术规范》《畜禽粪便还田技术规范》《沼肥施用技术规范》等要求，大</w:t>
      </w:r>
      <w:r>
        <w:rPr>
          <w:rFonts w:hint="eastAsia"/>
          <w:lang w:eastAsia="zh-CN"/>
        </w:rPr>
        <w:t>多沼液还田</w:t>
      </w:r>
      <w:r>
        <w:rPr>
          <w:rFonts w:hint="eastAsia"/>
        </w:rPr>
        <w:t>采用地面漫灌方式</w:t>
      </w:r>
      <w:r>
        <w:rPr>
          <w:rFonts w:hint="eastAsia"/>
          <w:lang w:eastAsia="zh-CN"/>
        </w:rPr>
        <w:t>，</w:t>
      </w:r>
      <w:r>
        <w:rPr>
          <w:rFonts w:hint="eastAsia"/>
        </w:rPr>
        <w:t>将</w:t>
      </w:r>
      <w:r>
        <w:rPr>
          <w:rFonts w:hint="eastAsia"/>
          <w:lang w:eastAsia="zh-CN"/>
        </w:rPr>
        <w:t>造成沼液溢流外环境</w:t>
      </w:r>
      <w:r>
        <w:rPr>
          <w:rFonts w:hint="eastAsia"/>
        </w:rPr>
        <w:t>对环境质量造成一定威胁；此外有的养殖场存在还田时间不合理问题，如雨季时</w:t>
      </w:r>
      <w:r>
        <w:rPr>
          <w:rFonts w:hint="eastAsia"/>
          <w:lang w:eastAsia="zh-CN"/>
        </w:rPr>
        <w:t>采用自动泵将沼液抽上林地，造成雨天</w:t>
      </w:r>
      <w:r>
        <w:rPr>
          <w:rFonts w:hint="eastAsia"/>
        </w:rPr>
        <w:t>粪污还田量和还田频率不降反增。</w:t>
      </w:r>
      <w:r>
        <w:rPr>
          <w:rFonts w:hint="eastAsia"/>
          <w:b/>
          <w:bCs/>
        </w:rPr>
        <w:t>二是</w:t>
      </w:r>
      <w:r>
        <w:rPr>
          <w:rFonts w:hint="eastAsia"/>
        </w:rPr>
        <w:t>资源化利用台账记录不完善，从调研情况来看，大部分规模养殖场均有填写粪污资源化利用台账，但普遍存在记录不及时、数据跟年度计划差异大且不符合常理等问题。</w:t>
      </w:r>
    </w:p>
    <w:p>
      <w:pPr>
        <w:ind w:firstLine="632"/>
      </w:pPr>
      <w:r>
        <w:t>4.</w:t>
      </w:r>
      <w:bookmarkEnd w:id="15"/>
      <w:bookmarkEnd w:id="16"/>
      <w:bookmarkEnd w:id="17"/>
      <w:r>
        <w:rPr>
          <w:rFonts w:hint="eastAsia"/>
        </w:rPr>
        <w:t>“种养结合”有效衔接不够紧密</w:t>
      </w:r>
      <w:bookmarkEnd w:id="18"/>
    </w:p>
    <w:p>
      <w:pPr>
        <w:ind w:firstLine="634"/>
        <w:rPr>
          <w:rFonts w:cs="Times New Roman"/>
          <w:szCs w:val="32"/>
        </w:rPr>
      </w:pPr>
      <w:r>
        <w:rPr>
          <w:rFonts w:hint="eastAsia" w:cs="Times New Roman"/>
          <w:b/>
          <w:bCs/>
          <w:szCs w:val="32"/>
        </w:rPr>
        <w:t>一是</w:t>
      </w:r>
      <w:r>
        <w:rPr>
          <w:rFonts w:hint="eastAsia" w:cs="Times New Roman"/>
          <w:szCs w:val="32"/>
        </w:rPr>
        <w:t>种养主体分离问题尚未</w:t>
      </w:r>
      <w:r>
        <w:rPr>
          <w:rFonts w:hint="eastAsia" w:cs="Times New Roman"/>
          <w:szCs w:val="32"/>
          <w:lang w:eastAsia="zh-CN"/>
        </w:rPr>
        <w:t>完全</w:t>
      </w:r>
      <w:r>
        <w:rPr>
          <w:rFonts w:hint="eastAsia" w:cs="Times New Roman"/>
          <w:szCs w:val="32"/>
        </w:rPr>
        <w:t>解决，当前，种植业和养殖业各自向着规模化和专业化发展，养殖企业不种地、种植大户不养殖的情况普遍存在。同时，养殖业粪污的持续性产生与农业的季节性生产存在矛盾，种养主体对接不紧密问题仍然存在，田间贮存与施用、粪污拉运输送设施等缺乏，“最后一公里”的硬件基础仍较薄弱。</w:t>
      </w:r>
      <w:r>
        <w:rPr>
          <w:rFonts w:hint="eastAsia" w:cs="Times New Roman"/>
          <w:b/>
          <w:bCs/>
          <w:szCs w:val="32"/>
        </w:rPr>
        <w:t>二是</w:t>
      </w:r>
      <w:r>
        <w:rPr>
          <w:rFonts w:hint="eastAsia" w:cs="Times New Roman"/>
          <w:szCs w:val="32"/>
        </w:rPr>
        <w:t>种养结合治理畜禽粪污的服务支撑体系不健全。利用养殖废弃物进行有机肥深加工的企业分布不均，目前开平市、鹤山市、蓬江区等县（市、区）共分布有</w:t>
      </w:r>
      <w:r>
        <w:rPr>
          <w:rFonts w:cs="Times New Roman"/>
          <w:szCs w:val="32"/>
        </w:rPr>
        <w:t xml:space="preserve">9 </w:t>
      </w:r>
      <w:r>
        <w:rPr>
          <w:rFonts w:hint="eastAsia" w:cs="Times New Roman"/>
          <w:szCs w:val="32"/>
        </w:rPr>
        <w:t>家有机肥生产企业，但恩平市</w:t>
      </w:r>
      <w:bookmarkStart w:id="21" w:name="_Hlk185281325"/>
      <w:r>
        <w:rPr>
          <w:rFonts w:hint="eastAsia" w:cs="Times New Roman"/>
          <w:szCs w:val="32"/>
        </w:rPr>
        <w:t>作为</w:t>
      </w:r>
      <w:bookmarkEnd w:id="21"/>
      <w:r>
        <w:rPr>
          <w:rFonts w:hint="eastAsia" w:cs="Times New Roman"/>
          <w:szCs w:val="32"/>
        </w:rPr>
        <w:t>养殖量较大地区尚未建有一座有机肥生产企业。此外，现有有机肥加工企业缺乏社会服务机构和成熟有效的市场化运营，粪肥合理利用及调配仍面临较大困难。</w:t>
      </w:r>
    </w:p>
    <w:p>
      <w:pPr>
        <w:ind w:firstLine="632"/>
      </w:pPr>
      <w:bookmarkStart w:id="22" w:name="_Toc120608840"/>
      <w:bookmarkStart w:id="23" w:name="_Toc9551"/>
      <w:bookmarkStart w:id="24" w:name="_Toc4720"/>
      <w:bookmarkStart w:id="25" w:name="_Toc21942"/>
      <w:bookmarkStart w:id="26" w:name="_Toc21346"/>
      <w:bookmarkStart w:id="27" w:name="_Toc729875098"/>
      <w:r>
        <w:rPr>
          <w:rFonts w:cs="Times New Roman"/>
          <w:szCs w:val="32"/>
        </w:rPr>
        <w:t>5.</w:t>
      </w:r>
      <w:r>
        <w:rPr>
          <w:rFonts w:hint="eastAsia"/>
        </w:rPr>
        <w:t>畜禽养殖监管</w:t>
      </w:r>
      <w:bookmarkEnd w:id="22"/>
      <w:bookmarkEnd w:id="23"/>
      <w:r>
        <w:rPr>
          <w:rFonts w:hint="eastAsia"/>
        </w:rPr>
        <w:t>体系有待</w:t>
      </w:r>
      <w:bookmarkEnd w:id="24"/>
      <w:bookmarkEnd w:id="25"/>
      <w:bookmarkEnd w:id="26"/>
      <w:r>
        <w:rPr>
          <w:rFonts w:hint="eastAsia"/>
        </w:rPr>
        <w:t>健全</w:t>
      </w:r>
      <w:bookmarkEnd w:id="27"/>
    </w:p>
    <w:p>
      <w:pPr>
        <w:ind w:firstLine="634"/>
      </w:pPr>
      <w:r>
        <w:rPr>
          <w:rFonts w:hint="eastAsia"/>
          <w:b/>
          <w:bCs/>
        </w:rPr>
        <w:t>一是</w:t>
      </w:r>
      <w:r>
        <w:rPr>
          <w:rFonts w:hint="eastAsia"/>
        </w:rPr>
        <w:t>畜禽养殖污染监管信息化水平有待提升，目前，全市畜禽养殖信息化能力建设主要依托国家畜禽规模养殖场直联直报信息系统，对于畜禽养殖污染防治监管工作的指导作用有限。</w:t>
      </w:r>
      <w:r>
        <w:rPr>
          <w:rFonts w:hint="eastAsia"/>
          <w:b/>
          <w:bCs/>
        </w:rPr>
        <w:t>二是</w:t>
      </w:r>
      <w:r>
        <w:rPr>
          <w:rFonts w:hint="eastAsia"/>
        </w:rPr>
        <w:t>监管手段有待丰富，全市畜禽养殖面广量大，多分布于农村，养殖规模不一，动态变化大，瞬时性污染强，基层环境管理能力薄弱，人员不足，仅依赖目前的监管队伍、监管手段很难达到效果。</w:t>
      </w:r>
      <w:r>
        <w:rPr>
          <w:rFonts w:hint="eastAsia"/>
          <w:b/>
          <w:bCs/>
        </w:rPr>
        <w:t>三是</w:t>
      </w:r>
      <w:r>
        <w:rPr>
          <w:rFonts w:hint="eastAsia"/>
        </w:rPr>
        <w:t>畜禽粪污处理和资源化利用全链条管理体系不完善，目前主要采用环境影响评价制度进行事前监管，“双随机、一公开”监管覆盖范围</w:t>
      </w:r>
      <w:bookmarkStart w:id="28" w:name="_Hlk185281340"/>
      <w:r>
        <w:rPr>
          <w:rFonts w:hint="eastAsia"/>
          <w:lang w:eastAsia="zh-CN"/>
        </w:rPr>
        <w:t>窄</w:t>
      </w:r>
      <w:r>
        <w:rPr>
          <w:rFonts w:hint="eastAsia"/>
        </w:rPr>
        <w:t>，未有效落实畜禽粪污资源化利用计划备案工作，缺乏有效的</w:t>
      </w:r>
      <w:r>
        <w:rPr>
          <w:rFonts w:hint="eastAsia" w:ascii="仿宋_GB2312"/>
          <w:szCs w:val="32"/>
        </w:rPr>
        <w:t>畜禽粪肥还田利用</w:t>
      </w:r>
      <w:r>
        <w:rPr>
          <w:rFonts w:hint="eastAsia"/>
        </w:rPr>
        <w:t>监管措施，还田</w:t>
      </w:r>
      <w:r>
        <w:rPr>
          <w:rFonts w:hint="eastAsia"/>
          <w:lang w:eastAsia="zh-CN"/>
        </w:rPr>
        <w:t>利用</w:t>
      </w:r>
      <w:r>
        <w:rPr>
          <w:rFonts w:hint="eastAsia"/>
        </w:rPr>
        <w:t>计划和还田利用台账记录不完善，还田利用过程难以实施有效监督。</w:t>
      </w:r>
      <w:bookmarkEnd w:id="28"/>
    </w:p>
    <w:p>
      <w:pPr>
        <w:pStyle w:val="3"/>
        <w:spacing w:before="0" w:beforeLines="0" w:after="0" w:afterLines="0"/>
        <w:ind w:firstLine="632"/>
        <w:rPr>
          <w:rFonts w:cs="Times New Roman"/>
        </w:rPr>
      </w:pPr>
      <w:bookmarkStart w:id="29" w:name="_Toc180398819"/>
      <w:bookmarkStart w:id="30" w:name="_Toc7618"/>
      <w:bookmarkStart w:id="31" w:name="_Toc15915"/>
      <w:r>
        <w:rPr>
          <w:rFonts w:hint="eastAsia" w:cs="Times New Roman"/>
        </w:rPr>
        <w:t>（三）机遇挑战</w:t>
      </w:r>
      <w:bookmarkEnd w:id="29"/>
      <w:bookmarkEnd w:id="30"/>
      <w:bookmarkEnd w:id="31"/>
    </w:p>
    <w:p>
      <w:pPr>
        <w:ind w:firstLine="632"/>
        <w:rPr>
          <w:rFonts w:cs="Times New Roman"/>
          <w:szCs w:val="32"/>
        </w:rPr>
      </w:pPr>
      <w:r>
        <w:rPr>
          <w:rFonts w:hint="eastAsia" w:cs="Times New Roman"/>
          <w:szCs w:val="32"/>
        </w:rPr>
        <w:t>未来一段时期是全市农村现代化建设充满挑战的重要战略机遇期，江门市将按照国家、省加快实施乡村振兴战略的要求，进一步深化农业供给侧结构性改革，加强推进农业农村现代化。</w:t>
      </w:r>
      <w:r>
        <w:rPr>
          <w:rFonts w:hint="eastAsia" w:cs="Times New Roman"/>
        </w:rPr>
        <w:t>作为传统畜牧养殖大市，</w:t>
      </w:r>
      <w:r>
        <w:rPr>
          <w:rFonts w:hint="eastAsia" w:cs="Times New Roman"/>
          <w:szCs w:val="32"/>
        </w:rPr>
        <w:t>畜禽养殖污染防治工作面临新的机遇和挑战。</w:t>
      </w:r>
    </w:p>
    <w:p>
      <w:pPr>
        <w:ind w:firstLine="632"/>
        <w:outlineLvl w:val="2"/>
        <w:rPr>
          <w:rFonts w:cs="Times New Roman"/>
          <w:szCs w:val="32"/>
        </w:rPr>
      </w:pPr>
      <w:bookmarkStart w:id="32" w:name="_Toc13358"/>
      <w:bookmarkStart w:id="33" w:name="_Toc14782"/>
      <w:bookmarkStart w:id="34" w:name="_Toc28230"/>
      <w:bookmarkStart w:id="35" w:name="_Toc2051332724"/>
      <w:r>
        <w:rPr>
          <w:rFonts w:cs="Times New Roman"/>
          <w:szCs w:val="32"/>
        </w:rPr>
        <w:t>1.</w:t>
      </w:r>
      <w:r>
        <w:rPr>
          <w:rFonts w:hint="eastAsia" w:cs="Times New Roman"/>
          <w:szCs w:val="32"/>
        </w:rPr>
        <w:t>发展机遇</w:t>
      </w:r>
      <w:bookmarkEnd w:id="32"/>
      <w:bookmarkEnd w:id="33"/>
      <w:bookmarkEnd w:id="34"/>
      <w:bookmarkEnd w:id="35"/>
    </w:p>
    <w:p>
      <w:pPr>
        <w:ind w:firstLine="634"/>
        <w:outlineLvl w:val="3"/>
        <w:rPr>
          <w:rFonts w:cs="Times New Roman"/>
          <w:b/>
          <w:bCs/>
          <w:szCs w:val="32"/>
        </w:rPr>
      </w:pPr>
      <w:bookmarkStart w:id="36" w:name="_Toc19029"/>
      <w:bookmarkStart w:id="37" w:name="_Toc6197"/>
      <w:r>
        <w:rPr>
          <w:rFonts w:hint="eastAsia" w:cs="Times New Roman"/>
          <w:b/>
          <w:bCs/>
          <w:szCs w:val="32"/>
        </w:rPr>
        <w:t>（</w:t>
      </w:r>
      <w:r>
        <w:rPr>
          <w:rFonts w:cs="Times New Roman"/>
          <w:b/>
          <w:bCs/>
          <w:szCs w:val="32"/>
        </w:rPr>
        <w:t>1</w:t>
      </w:r>
      <w:r>
        <w:rPr>
          <w:rFonts w:hint="eastAsia" w:cs="Times New Roman"/>
          <w:b/>
          <w:bCs/>
          <w:szCs w:val="32"/>
        </w:rPr>
        <w:t>）乡村振兴战略为畜禽养殖污染防治带来新机遇</w:t>
      </w:r>
      <w:bookmarkEnd w:id="36"/>
      <w:bookmarkEnd w:id="37"/>
    </w:p>
    <w:p>
      <w:pPr>
        <w:ind w:firstLine="632"/>
      </w:pPr>
      <w:r>
        <w:rPr>
          <w:rFonts w:hint="eastAsia"/>
        </w:rPr>
        <w:t>国家高度重视畜牧业高质量发展。党的</w:t>
      </w:r>
      <w:r>
        <w:rPr>
          <w:rFonts w:hint="eastAsia"/>
          <w:lang w:eastAsia="zh-CN"/>
        </w:rPr>
        <w:t>二十大</w:t>
      </w:r>
      <w:r>
        <w:rPr>
          <w:rFonts w:hint="eastAsia"/>
        </w:rPr>
        <w:t>和中央农村工作会议进一步释放新发展阶段持续重农强农的明确信号，发出了新征程全面推进乡村振兴的总动员令。全国畜牧业工作会议和全国现代畜牧业推进会议暨畜禽养殖废弃物资源化利用会议强调，要大力推进畜牧业高质量发展，畜禽粪污资源化利用工作要以建立种养结合农牧循环稳定衔接机制为重点。市委、市政府把实施乡村振兴战略作为新时代“三农”工作总抓手和推动江门高质量发展的</w:t>
      </w:r>
      <w:r>
        <w:rPr>
          <w:rFonts w:hint="eastAsia"/>
          <w:lang w:eastAsia="zh-CN"/>
        </w:rPr>
        <w:t>“</w:t>
      </w:r>
      <w:r>
        <w:rPr>
          <w:rFonts w:hint="eastAsia"/>
        </w:rPr>
        <w:t>四大抓手</w:t>
      </w:r>
      <w:r>
        <w:rPr>
          <w:rFonts w:hint="eastAsia"/>
          <w:lang w:eastAsia="zh-CN"/>
        </w:rPr>
        <w:t>”</w:t>
      </w:r>
      <w:r>
        <w:rPr>
          <w:rFonts w:hint="eastAsia"/>
        </w:rPr>
        <w:t>之一，出台系列推进畜禽养殖绿色发展政策扶持措施，为江门市畜禽养殖生产环境的改善、养殖产业的转型升级、绿色生态养殖模式的发展提供了良好的机遇。</w:t>
      </w:r>
    </w:p>
    <w:p>
      <w:pPr>
        <w:ind w:firstLine="634"/>
        <w:outlineLvl w:val="3"/>
        <w:rPr>
          <w:rFonts w:cs="Times New Roman"/>
          <w:b/>
          <w:bCs/>
          <w:szCs w:val="32"/>
        </w:rPr>
      </w:pPr>
      <w:bookmarkStart w:id="38" w:name="_Toc3455"/>
      <w:bookmarkStart w:id="39" w:name="_Toc18340"/>
      <w:r>
        <w:rPr>
          <w:rFonts w:hint="eastAsia" w:cs="Times New Roman"/>
          <w:b/>
          <w:bCs/>
          <w:szCs w:val="32"/>
        </w:rPr>
        <w:t>（</w:t>
      </w:r>
      <w:r>
        <w:rPr>
          <w:rFonts w:cs="Times New Roman"/>
          <w:b/>
          <w:bCs/>
          <w:szCs w:val="32"/>
        </w:rPr>
        <w:t>2</w:t>
      </w:r>
      <w:r>
        <w:rPr>
          <w:rFonts w:hint="eastAsia" w:cs="Times New Roman"/>
          <w:b/>
          <w:bCs/>
          <w:szCs w:val="32"/>
        </w:rPr>
        <w:t>）市场需求扩面升级为畜禽养殖污染防治增添新动力</w:t>
      </w:r>
      <w:bookmarkEnd w:id="38"/>
      <w:bookmarkEnd w:id="39"/>
    </w:p>
    <w:p>
      <w:pPr>
        <w:ind w:firstLine="632"/>
        <w:rPr>
          <w:rFonts w:cs="Times New Roman"/>
          <w:szCs w:val="21"/>
        </w:rPr>
      </w:pPr>
      <w:r>
        <w:rPr>
          <w:rFonts w:hint="eastAsia" w:cs="Times New Roman"/>
          <w:szCs w:val="21"/>
        </w:rPr>
        <w:t>“十四五”时期，江门市加快生猪家禽产业转型升级，巩固提升生猪家禽产业集聚优势，加快打造生猪生态养殖发展区、黄羽鸡产业发展区、马冈鹅三产融合发展区等，进一步优化养殖规模结构，引导养殖场户升级改造，支持发展标准化规模养殖。随着生产向规模主体集中，资本、技术、人才等要素资源集聚效应将进一步呈现，为江门市畜禽养殖生产环境的改善、养殖产业转型升级、绿色生态养殖模式发展增添了新的动力。</w:t>
      </w:r>
    </w:p>
    <w:p>
      <w:pPr>
        <w:ind w:firstLine="634"/>
        <w:outlineLvl w:val="3"/>
        <w:rPr>
          <w:rFonts w:cs="Times New Roman"/>
          <w:b/>
          <w:bCs/>
          <w:szCs w:val="32"/>
        </w:rPr>
      </w:pPr>
      <w:bookmarkStart w:id="40" w:name="_Toc29332"/>
      <w:bookmarkStart w:id="41" w:name="_Toc21776"/>
      <w:r>
        <w:rPr>
          <w:rFonts w:hint="eastAsia" w:cs="Times New Roman"/>
          <w:b/>
          <w:bCs/>
          <w:szCs w:val="32"/>
        </w:rPr>
        <w:t>（</w:t>
      </w:r>
      <w:r>
        <w:rPr>
          <w:rFonts w:cs="Times New Roman"/>
          <w:b/>
          <w:bCs/>
          <w:szCs w:val="32"/>
        </w:rPr>
        <w:t>3</w:t>
      </w:r>
      <w:r>
        <w:rPr>
          <w:rFonts w:hint="eastAsia" w:cs="Times New Roman"/>
          <w:b/>
          <w:bCs/>
          <w:szCs w:val="32"/>
        </w:rPr>
        <w:t>）绿美广东建设为畜禽养殖污染防治赋予新使命</w:t>
      </w:r>
      <w:bookmarkEnd w:id="40"/>
      <w:bookmarkEnd w:id="41"/>
    </w:p>
    <w:p>
      <w:pPr>
        <w:ind w:firstLine="632"/>
        <w:rPr>
          <w:rFonts w:cs="Times New Roman"/>
          <w:szCs w:val="21"/>
        </w:rPr>
      </w:pPr>
      <w:r>
        <w:rPr>
          <w:rFonts w:hint="eastAsia" w:cs="Times New Roman"/>
          <w:szCs w:val="21"/>
        </w:rPr>
        <w:t>畜禽污染防治是生态文明建设的重要举措，是农业面源污染防治工作的重大组成部分，发展生态畜禽养殖业是实现农业农村现代化的重要支撑。</w:t>
      </w:r>
      <w:r>
        <w:rPr>
          <w:rFonts w:cs="Times New Roman"/>
          <w:szCs w:val="21"/>
        </w:rPr>
        <w:t>2022</w:t>
      </w:r>
      <w:r>
        <w:rPr>
          <w:rFonts w:hint="eastAsia" w:cs="Times New Roman"/>
          <w:szCs w:val="21"/>
        </w:rPr>
        <w:t>年</w:t>
      </w:r>
      <w:r>
        <w:rPr>
          <w:rFonts w:cs="Times New Roman"/>
          <w:szCs w:val="21"/>
        </w:rPr>
        <w:t>12</w:t>
      </w:r>
      <w:r>
        <w:rPr>
          <w:rFonts w:hint="eastAsia" w:cs="Times New Roman"/>
          <w:szCs w:val="21"/>
        </w:rPr>
        <w:t>月，省委决定深入推进绿美广东生态建设的决定，提出要营造“城在林中、路在绿中、房在园中、人在景中”的绿美城乡人居环境。畜禽养殖业健康发展作为农业生态环境保护的重要组成部分，</w:t>
      </w:r>
      <w:r>
        <w:rPr>
          <w:rFonts w:hint="eastAsia" w:cs="Times New Roman"/>
          <w:szCs w:val="21"/>
          <w:lang w:eastAsia="zh-CN"/>
        </w:rPr>
        <w:t>满足</w:t>
      </w:r>
      <w:r>
        <w:rPr>
          <w:rFonts w:hint="eastAsia" w:cs="Times New Roman"/>
          <w:szCs w:val="21"/>
        </w:rPr>
        <w:t>“人民</w:t>
      </w:r>
      <w:r>
        <w:rPr>
          <w:rFonts w:hint="eastAsia" w:cs="Times New Roman"/>
          <w:szCs w:val="21"/>
          <w:lang w:eastAsia="zh-CN"/>
        </w:rPr>
        <w:t>群众</w:t>
      </w:r>
      <w:r>
        <w:rPr>
          <w:rFonts w:hint="eastAsia" w:cs="Times New Roman"/>
          <w:szCs w:val="21"/>
        </w:rPr>
        <w:t>日益增长的优美生态环境需要”为提升全市畜禽养殖污染防治水平赋予了新的使命。</w:t>
      </w:r>
    </w:p>
    <w:p>
      <w:pPr>
        <w:ind w:firstLine="632"/>
        <w:outlineLvl w:val="2"/>
        <w:rPr>
          <w:rFonts w:cs="Times New Roman"/>
          <w:szCs w:val="32"/>
        </w:rPr>
      </w:pPr>
      <w:bookmarkStart w:id="42" w:name="_Toc1390793601"/>
      <w:bookmarkStart w:id="43" w:name="_Toc12723"/>
      <w:bookmarkStart w:id="44" w:name="_Toc17212"/>
      <w:bookmarkStart w:id="45" w:name="_Toc9563"/>
      <w:r>
        <w:rPr>
          <w:rFonts w:cs="Times New Roman"/>
          <w:szCs w:val="32"/>
        </w:rPr>
        <w:t>2.</w:t>
      </w:r>
      <w:r>
        <w:rPr>
          <w:rFonts w:hint="eastAsia" w:cs="Times New Roman"/>
          <w:szCs w:val="32"/>
        </w:rPr>
        <w:t>面临挑战</w:t>
      </w:r>
      <w:bookmarkEnd w:id="42"/>
      <w:bookmarkEnd w:id="43"/>
      <w:bookmarkEnd w:id="44"/>
      <w:bookmarkEnd w:id="45"/>
    </w:p>
    <w:p>
      <w:pPr>
        <w:ind w:firstLine="634"/>
        <w:outlineLvl w:val="3"/>
        <w:rPr>
          <w:rFonts w:cs="Times New Roman"/>
          <w:b/>
          <w:bCs/>
          <w:szCs w:val="32"/>
        </w:rPr>
      </w:pPr>
      <w:bookmarkStart w:id="46" w:name="_Toc9550"/>
      <w:bookmarkStart w:id="47" w:name="_Toc28915"/>
      <w:r>
        <w:rPr>
          <w:rFonts w:hint="eastAsia" w:cs="Times New Roman"/>
          <w:b/>
          <w:bCs/>
          <w:szCs w:val="32"/>
        </w:rPr>
        <w:t>（</w:t>
      </w:r>
      <w:r>
        <w:rPr>
          <w:rFonts w:cs="Times New Roman"/>
          <w:b/>
          <w:bCs/>
          <w:szCs w:val="32"/>
        </w:rPr>
        <w:t>1</w:t>
      </w:r>
      <w:r>
        <w:rPr>
          <w:rFonts w:hint="eastAsia" w:cs="Times New Roman"/>
          <w:b/>
          <w:bCs/>
          <w:szCs w:val="32"/>
        </w:rPr>
        <w:t>）减污降碳协同治理对畜禽养殖污染防治提出新要求</w:t>
      </w:r>
      <w:bookmarkEnd w:id="46"/>
      <w:bookmarkEnd w:id="47"/>
    </w:p>
    <w:p>
      <w:pPr>
        <w:ind w:firstLine="632"/>
        <w:rPr>
          <w:rFonts w:cs="Times New Roman"/>
          <w:szCs w:val="32"/>
        </w:rPr>
      </w:pPr>
      <w:r>
        <w:rPr>
          <w:rFonts w:hint="eastAsia" w:cs="Times New Roman"/>
          <w:szCs w:val="32"/>
        </w:rPr>
        <w:t>习近平总书记在</w:t>
      </w:r>
      <w:r>
        <w:rPr>
          <w:rFonts w:cs="Times New Roman"/>
          <w:szCs w:val="32"/>
        </w:rPr>
        <w:t>2020</w:t>
      </w:r>
      <w:r>
        <w:rPr>
          <w:rFonts w:hint="eastAsia" w:cs="Times New Roman"/>
          <w:szCs w:val="32"/>
        </w:rPr>
        <w:t>年联合国大会上向世界做出承诺：中国</w:t>
      </w:r>
      <w:r>
        <w:rPr>
          <w:rFonts w:cs="Times New Roman"/>
          <w:szCs w:val="32"/>
        </w:rPr>
        <w:t>2030</w:t>
      </w:r>
      <w:r>
        <w:rPr>
          <w:rFonts w:hint="eastAsia" w:cs="Times New Roman"/>
          <w:szCs w:val="32"/>
        </w:rPr>
        <w:t>年碳排放达到峰值，</w:t>
      </w:r>
      <w:r>
        <w:rPr>
          <w:rFonts w:cs="Times New Roman"/>
          <w:szCs w:val="32"/>
        </w:rPr>
        <w:t>2060</w:t>
      </w:r>
      <w:r>
        <w:rPr>
          <w:rFonts w:hint="eastAsia" w:cs="Times New Roman"/>
          <w:szCs w:val="32"/>
        </w:rPr>
        <w:t>年实现碳中和。</w:t>
      </w:r>
      <w:r>
        <w:rPr>
          <w:rFonts w:hint="eastAsia" w:cs="Times New Roman"/>
          <w:szCs w:val="21"/>
        </w:rPr>
        <w:t>“十四五”</w:t>
      </w:r>
      <w:r>
        <w:rPr>
          <w:rFonts w:hint="eastAsia" w:cs="Times New Roman"/>
          <w:szCs w:val="32"/>
        </w:rPr>
        <w:t>时期我国生态环境保护进入</w:t>
      </w:r>
      <w:bookmarkStart w:id="48" w:name="_Hlk146377720"/>
      <w:r>
        <w:rPr>
          <w:rFonts w:hint="eastAsia" w:cs="Times New Roman"/>
          <w:szCs w:val="32"/>
        </w:rPr>
        <w:t>减污降碳协同治理</w:t>
      </w:r>
      <w:bookmarkEnd w:id="48"/>
      <w:r>
        <w:rPr>
          <w:rFonts w:hint="eastAsia" w:cs="Times New Roman"/>
          <w:szCs w:val="32"/>
        </w:rPr>
        <w:t>的新阶段，《中共广东省委</w:t>
      </w:r>
      <w:r>
        <w:rPr>
          <w:rFonts w:cs="Times New Roman"/>
          <w:szCs w:val="32"/>
        </w:rPr>
        <w:t xml:space="preserve"> </w:t>
      </w:r>
      <w:r>
        <w:rPr>
          <w:rFonts w:hint="eastAsia" w:cs="Times New Roman"/>
          <w:szCs w:val="32"/>
        </w:rPr>
        <w:t>广东省人民政府关于完整准确全面贯彻新发展理念推进碳达峰碳中和工作的实施意见》《广东省生态环境保护</w:t>
      </w:r>
      <w:r>
        <w:rPr>
          <w:rFonts w:hint="eastAsia" w:cs="Times New Roman"/>
          <w:szCs w:val="21"/>
        </w:rPr>
        <w:t>“十四五”</w:t>
      </w:r>
      <w:r>
        <w:rPr>
          <w:rFonts w:hint="eastAsia" w:cs="Times New Roman"/>
          <w:szCs w:val="32"/>
        </w:rPr>
        <w:t>规划》均对畜禽养殖</w:t>
      </w:r>
      <w:r>
        <w:rPr>
          <w:rFonts w:cs="Times New Roman"/>
          <w:szCs w:val="32"/>
        </w:rPr>
        <w:t xml:space="preserve"> CH</w:t>
      </w:r>
      <w:r>
        <w:rPr>
          <w:rFonts w:cs="Times New Roman"/>
          <w:szCs w:val="32"/>
          <w:vertAlign w:val="subscript"/>
        </w:rPr>
        <w:t>4</w:t>
      </w:r>
      <w:r>
        <w:rPr>
          <w:rFonts w:cs="Times New Roman"/>
          <w:szCs w:val="32"/>
        </w:rPr>
        <w:t xml:space="preserve"> </w:t>
      </w:r>
      <w:r>
        <w:rPr>
          <w:rFonts w:hint="eastAsia" w:cs="Times New Roman"/>
          <w:szCs w:val="32"/>
        </w:rPr>
        <w:t>和</w:t>
      </w:r>
      <w:r>
        <w:rPr>
          <w:rFonts w:cs="Times New Roman"/>
          <w:szCs w:val="32"/>
        </w:rPr>
        <w:t xml:space="preserve"> N</w:t>
      </w:r>
      <w:r>
        <w:rPr>
          <w:rFonts w:cs="Times New Roman"/>
          <w:szCs w:val="32"/>
          <w:vertAlign w:val="subscript"/>
        </w:rPr>
        <w:t>2</w:t>
      </w:r>
      <w:r>
        <w:rPr>
          <w:rFonts w:cs="Times New Roman"/>
          <w:szCs w:val="32"/>
        </w:rPr>
        <w:t>O</w:t>
      </w:r>
      <w:r>
        <w:rPr>
          <w:rFonts w:hint="eastAsia" w:cs="Times New Roman"/>
          <w:szCs w:val="32"/>
        </w:rPr>
        <w:t>排放控制提出“低碳建设”的要求；</w:t>
      </w:r>
      <w:r>
        <w:rPr>
          <w:rFonts w:cs="Times New Roman"/>
          <w:szCs w:val="32"/>
        </w:rPr>
        <w:t>2024</w:t>
      </w:r>
      <w:r>
        <w:rPr>
          <w:rFonts w:hint="eastAsia" w:cs="Times New Roman"/>
          <w:szCs w:val="32"/>
        </w:rPr>
        <w:t>年广东省生态环境厅、广东省市场监督管理局联合发布了广东省地方标准《畜禽养殖业污染物排放标准》（</w:t>
      </w:r>
      <w:r>
        <w:rPr>
          <w:rFonts w:cs="Times New Roman"/>
          <w:szCs w:val="32"/>
        </w:rPr>
        <w:t>DB44/ 613</w:t>
      </w:r>
      <w:r>
        <w:rPr>
          <w:rFonts w:hint="eastAsia" w:cs="Times New Roman"/>
          <w:szCs w:val="32"/>
        </w:rPr>
        <w:t>—</w:t>
      </w:r>
      <w:r>
        <w:rPr>
          <w:rFonts w:cs="Times New Roman"/>
          <w:szCs w:val="32"/>
        </w:rPr>
        <w:t>2024</w:t>
      </w:r>
      <w:r>
        <w:rPr>
          <w:rFonts w:hint="eastAsia" w:cs="Times New Roman"/>
          <w:szCs w:val="32"/>
        </w:rPr>
        <w:t>），对畜禽养殖污染防治提出更高标准和新的要求。以上对江门市推动畜禽养殖绿色转型发展，加强畜禽养殖污染防治提出更进一步的要求。</w:t>
      </w:r>
    </w:p>
    <w:p>
      <w:pPr>
        <w:ind w:firstLine="634"/>
        <w:outlineLvl w:val="3"/>
        <w:rPr>
          <w:rFonts w:cs="Times New Roman"/>
          <w:b/>
          <w:bCs/>
          <w:szCs w:val="32"/>
        </w:rPr>
      </w:pPr>
      <w:bookmarkStart w:id="49" w:name="_Toc1142"/>
      <w:bookmarkStart w:id="50" w:name="_Toc27049"/>
      <w:r>
        <w:rPr>
          <w:rFonts w:hint="eastAsia" w:cs="Times New Roman"/>
          <w:b/>
          <w:bCs/>
          <w:szCs w:val="32"/>
        </w:rPr>
        <w:t>（</w:t>
      </w:r>
      <w:r>
        <w:rPr>
          <w:rFonts w:cs="Times New Roman"/>
          <w:b/>
          <w:bCs/>
          <w:szCs w:val="32"/>
        </w:rPr>
        <w:t>2</w:t>
      </w:r>
      <w:r>
        <w:rPr>
          <w:rFonts w:hint="eastAsia" w:cs="Times New Roman"/>
          <w:b/>
          <w:bCs/>
          <w:szCs w:val="32"/>
        </w:rPr>
        <w:t>）环境质量进一步提升对畜禽养殖污染防治提出高要求</w:t>
      </w:r>
      <w:bookmarkEnd w:id="49"/>
      <w:bookmarkEnd w:id="50"/>
    </w:p>
    <w:p>
      <w:pPr>
        <w:ind w:firstLine="632"/>
        <w:rPr>
          <w:rFonts w:cs="Times New Roman"/>
          <w:szCs w:val="32"/>
        </w:rPr>
      </w:pPr>
      <w:r>
        <w:rPr>
          <w:rFonts w:hint="eastAsia" w:cs="Times New Roman"/>
          <w:szCs w:val="32"/>
        </w:rPr>
        <w:t>随着经济社会发展与居民生活品质提升，人民群众对天蓝、地绿、水清的美好环境的期待日益强烈，对环境公共服务的需求日益增长，公共服务需求的全面增长与高质量公共服务供给的不足，已成为公共服务与民生改善中的一个突出矛盾，成为满足人民日益增长的美好生活需要的一个制约因素。江门市畜禽养殖总量大，潭江牛湾断面水质持续稳定达标的压力较大。如何加快提升江门市畜禽养殖污染治理和管理水平等问题，是江门市推进畜牧业高质量发展进程面临的一大挑战。</w:t>
      </w:r>
    </w:p>
    <w:p>
      <w:pPr>
        <w:pStyle w:val="29"/>
        <w:numPr>
          <w:ilvl w:val="0"/>
          <w:numId w:val="1"/>
        </w:numPr>
        <w:ind w:left="1350" w:firstLineChars="0"/>
        <w:outlineLvl w:val="0"/>
        <w:rPr>
          <w:rFonts w:eastAsia="黑体" w:cs="Times New Roman"/>
          <w:szCs w:val="32"/>
        </w:rPr>
      </w:pPr>
      <w:bookmarkStart w:id="51" w:name="_Toc26835"/>
      <w:bookmarkStart w:id="52" w:name="_Toc24105"/>
      <w:bookmarkStart w:id="53" w:name="_Toc180398820"/>
      <w:bookmarkStart w:id="54" w:name="_Toc25925"/>
      <w:r>
        <w:rPr>
          <w:rFonts w:hint="eastAsia" w:eastAsia="黑体" w:cs="Times New Roman"/>
          <w:szCs w:val="32"/>
        </w:rPr>
        <w:t>总则</w:t>
      </w:r>
      <w:bookmarkEnd w:id="51"/>
      <w:bookmarkEnd w:id="52"/>
      <w:bookmarkEnd w:id="53"/>
      <w:bookmarkEnd w:id="54"/>
    </w:p>
    <w:p>
      <w:pPr>
        <w:pStyle w:val="3"/>
        <w:spacing w:before="0" w:beforeLines="0" w:after="0" w:afterLines="0"/>
        <w:ind w:firstLine="632"/>
        <w:rPr>
          <w:rFonts w:cs="Times New Roman"/>
        </w:rPr>
      </w:pPr>
      <w:bookmarkStart w:id="55" w:name="_Toc731"/>
      <w:bookmarkStart w:id="56" w:name="_Toc8920"/>
      <w:bookmarkStart w:id="57" w:name="_Toc180398821"/>
      <w:r>
        <w:rPr>
          <w:rFonts w:hint="eastAsia" w:cs="Times New Roman"/>
        </w:rPr>
        <w:t>（一）指导思想</w:t>
      </w:r>
      <w:bookmarkEnd w:id="55"/>
      <w:bookmarkEnd w:id="56"/>
      <w:bookmarkEnd w:id="57"/>
    </w:p>
    <w:p>
      <w:pPr>
        <w:ind w:firstLine="632"/>
        <w:rPr>
          <w:rFonts w:cs="Times New Roman"/>
          <w:szCs w:val="32"/>
        </w:rPr>
      </w:pPr>
      <w:r>
        <w:rPr>
          <w:rFonts w:hint="eastAsia" w:cs="Times New Roman"/>
          <w:szCs w:val="32"/>
        </w:rPr>
        <w:t>坚持以习近平新时代中国特色社会主义思想为指导，践行习近平生态文明思想，认真贯彻党的二十大和二十届一中、二中、三中全会精神以及中央农村工作会议精神，全面落实省委、省政府决策部署，以实施乡村振兴战略为总抓手，以促进畜牧业绿色高质量发展为目标，以改善区域环境质量为核心，坚持减量化、无害化和资源化原则，统筹畜牧业稳产保供和生态环境保护，优化畜禽养殖布局，推动依法依规养殖，推进种养循环、农牧结合，构建污染治理和资源化利用长效机制，建立健全“政府主导</w:t>
      </w:r>
      <w:r>
        <w:rPr>
          <w:rFonts w:cs="Times New Roman"/>
          <w:szCs w:val="32"/>
        </w:rPr>
        <w:t>+</w:t>
      </w:r>
      <w:r>
        <w:rPr>
          <w:rFonts w:hint="eastAsia" w:cs="Times New Roman"/>
          <w:szCs w:val="32"/>
        </w:rPr>
        <w:t>企业主体</w:t>
      </w:r>
      <w:r>
        <w:rPr>
          <w:rFonts w:cs="Times New Roman"/>
          <w:szCs w:val="32"/>
        </w:rPr>
        <w:t>+</w:t>
      </w:r>
      <w:r>
        <w:rPr>
          <w:rFonts w:hint="eastAsia" w:cs="Times New Roman"/>
          <w:szCs w:val="32"/>
        </w:rPr>
        <w:t>市场化运作”长效体系，促进农村人居环境和水环境质量持续改善，推动畜禽养殖业转型升级和可持续健康发展，为全面推进乡村振兴和农业农村现代化提供有力支撑。</w:t>
      </w:r>
    </w:p>
    <w:p>
      <w:pPr>
        <w:pStyle w:val="3"/>
        <w:spacing w:before="0" w:beforeLines="0" w:after="0" w:afterLines="0"/>
        <w:ind w:firstLine="632"/>
        <w:rPr>
          <w:rFonts w:cs="Times New Roman"/>
        </w:rPr>
      </w:pPr>
      <w:bookmarkStart w:id="58" w:name="_Toc20443"/>
      <w:bookmarkStart w:id="59" w:name="_Toc14765"/>
      <w:bookmarkStart w:id="60" w:name="_Toc180398822"/>
      <w:r>
        <w:rPr>
          <w:rFonts w:hint="eastAsia" w:cs="Times New Roman"/>
        </w:rPr>
        <w:t>（二）基本原则</w:t>
      </w:r>
      <w:bookmarkEnd w:id="58"/>
      <w:bookmarkEnd w:id="59"/>
      <w:bookmarkEnd w:id="60"/>
    </w:p>
    <w:p>
      <w:pPr>
        <w:ind w:firstLine="634"/>
      </w:pPr>
      <w:bookmarkStart w:id="61" w:name="_Hlk181118941"/>
      <w:r>
        <w:rPr>
          <w:rFonts w:hint="eastAsia"/>
          <w:b/>
          <w:bCs/>
        </w:rPr>
        <w:t>科学规划，合理布局。</w:t>
      </w:r>
      <w:r>
        <w:rPr>
          <w:rFonts w:hint="eastAsia"/>
        </w:rPr>
        <w:t>以推动构建环境友好型畜牧业为目标，综合考虑畜禽养殖禁养区划定、生态环境分区管控目标以及畜禽养殖污染现状、环境承载力情况等因素，科学规划畜禽养殖总量和空间布局，整合区域内外农牧资源，统筹推进畜牧业发展和生态环境保护。</w:t>
      </w:r>
    </w:p>
    <w:p>
      <w:pPr>
        <w:ind w:firstLine="634"/>
      </w:pPr>
      <w:r>
        <w:rPr>
          <w:rFonts w:hint="eastAsia"/>
          <w:b/>
          <w:bCs/>
        </w:rPr>
        <w:t>因地制宜，分类施策。</w:t>
      </w:r>
      <w:r>
        <w:rPr>
          <w:rFonts w:hint="eastAsia"/>
        </w:rPr>
        <w:t>统筹考虑自然环境、空间布局、种植规模、畜禽种类、养殖技术、环境承载力等因素，因地制宜、分区分类探索畜禽养殖污染防治路径，</w:t>
      </w:r>
      <w:r>
        <w:rPr>
          <w:rFonts w:hint="eastAsia" w:cs="Times New Roman"/>
          <w:szCs w:val="32"/>
        </w:rPr>
        <w:t>推广经济高效适用的污染治理和资源化利用技术模式，</w:t>
      </w:r>
      <w:r>
        <w:rPr>
          <w:rFonts w:hint="eastAsia"/>
        </w:rPr>
        <w:t>实施差异化技术指导和监督管理。</w:t>
      </w:r>
    </w:p>
    <w:p>
      <w:pPr>
        <w:ind w:firstLine="634"/>
        <w:rPr>
          <w:rFonts w:cs="Times New Roman"/>
          <w:szCs w:val="32"/>
        </w:rPr>
      </w:pPr>
      <w:r>
        <w:rPr>
          <w:rFonts w:hint="eastAsia" w:cs="Times New Roman"/>
          <w:b/>
          <w:bCs/>
          <w:szCs w:val="32"/>
        </w:rPr>
        <w:t>突出重点，种养结合。</w:t>
      </w:r>
      <w:r>
        <w:rPr>
          <w:rFonts w:hint="eastAsia" w:cs="Times New Roman"/>
          <w:szCs w:val="32"/>
        </w:rPr>
        <w:t>以生猪产业为重点，坚持源头减量、过程控制、达标治理和综合利用相结合，提升生猪养殖企业污染治理技术和配套设施水平。以养分平衡为核心，科学测算畜禽粪肥养分供需情况，协同推进畜禽粪肥还田与化肥减量增效，实现粪污就近就地生态消纳。</w:t>
      </w:r>
    </w:p>
    <w:p>
      <w:pPr>
        <w:rPr>
          <w:rFonts w:cs="Times New Roman"/>
          <w:szCs w:val="32"/>
        </w:rPr>
      </w:pPr>
      <w:r>
        <w:rPr>
          <w:rFonts w:hint="eastAsia" w:cs="Times New Roman"/>
          <w:b/>
          <w:bCs/>
          <w:szCs w:val="32"/>
        </w:rPr>
        <w:t>多方联动，激励引导。</w:t>
      </w:r>
      <w:bookmarkStart w:id="62" w:name="_Hlk181118906"/>
      <w:r>
        <w:rPr>
          <w:rFonts w:hint="eastAsia" w:cs="Times New Roman"/>
          <w:szCs w:val="32"/>
        </w:rPr>
        <w:t>完善多方协调联动机制，建立健全地方政府、企业、社会组织和公众共同参与的畜禽养殖污染防治体系。拓宽投融资渠道，加大对畜禽养殖污染防治的扶持力度，推动第三方治理等社会化运营模式健康发展。</w:t>
      </w:r>
      <w:bookmarkEnd w:id="62"/>
    </w:p>
    <w:bookmarkEnd w:id="61"/>
    <w:p>
      <w:pPr>
        <w:pStyle w:val="3"/>
        <w:spacing w:before="0" w:beforeLines="0" w:after="0" w:afterLines="0"/>
        <w:ind w:firstLine="632"/>
        <w:rPr>
          <w:rFonts w:cs="Times New Roman"/>
        </w:rPr>
      </w:pPr>
      <w:bookmarkStart w:id="63" w:name="_Toc7238"/>
      <w:bookmarkStart w:id="64" w:name="_Toc994338631"/>
      <w:bookmarkStart w:id="65" w:name="_Toc564"/>
      <w:bookmarkStart w:id="66" w:name="_Toc7814"/>
      <w:bookmarkStart w:id="67" w:name="_Toc10327"/>
      <w:r>
        <w:rPr>
          <w:rFonts w:hint="eastAsia" w:cs="Times New Roman"/>
        </w:rPr>
        <w:t>（三）规划目标</w:t>
      </w:r>
      <w:bookmarkEnd w:id="63"/>
    </w:p>
    <w:p>
      <w:pPr>
        <w:ind w:firstLine="632"/>
        <w:rPr>
          <w:rFonts w:hint="eastAsia"/>
          <w:b w:val="0"/>
          <w:bCs w:val="0"/>
          <w:color w:val="FF0000"/>
        </w:rPr>
      </w:pPr>
      <w:r>
        <w:rPr>
          <w:rFonts w:hint="eastAsia"/>
        </w:rPr>
        <w:t>规划期内，全市畜禽养殖总体布局更加科学合理，畜禽粪污处理设施装备配套和污染防治监管水平进一步提升，以粪肥还田利用为纽带的种养结合循环发展格局进一步形成，粪污资源化利用计划和台账管理制度更加健全完善，最终实现全市畜牧业健康可持续发展和生态环境高水平保护</w:t>
      </w:r>
      <w:r>
        <w:rPr>
          <w:rFonts w:hint="eastAsia"/>
          <w:b/>
          <w:bCs/>
        </w:rPr>
        <w:t>。</w:t>
      </w:r>
      <w:bookmarkEnd w:id="64"/>
      <w:bookmarkEnd w:id="65"/>
      <w:bookmarkEnd w:id="66"/>
      <w:bookmarkEnd w:id="67"/>
      <w:r>
        <w:rPr>
          <w:rFonts w:hint="eastAsia"/>
          <w:b w:val="0"/>
          <w:bCs w:val="0"/>
        </w:rPr>
        <w:t>结合</w:t>
      </w:r>
      <w:r>
        <w:rPr>
          <w:rFonts w:hint="eastAsia"/>
          <w:b w:val="0"/>
          <w:bCs w:val="0"/>
          <w:lang w:eastAsia="zh-CN"/>
        </w:rPr>
        <w:t>全市</w:t>
      </w:r>
      <w:r>
        <w:rPr>
          <w:rFonts w:hint="eastAsia"/>
          <w:b w:val="0"/>
          <w:bCs w:val="0"/>
        </w:rPr>
        <w:t>环境容量和土地承载能力控制畜禽养殖总量</w:t>
      </w:r>
      <w:r>
        <w:rPr>
          <w:rFonts w:hint="eastAsia"/>
          <w:b w:val="0"/>
          <w:bCs w:val="0"/>
          <w:lang w:eastAsia="zh-CN"/>
        </w:rPr>
        <w:t>，</w:t>
      </w:r>
      <w:r>
        <w:rPr>
          <w:rFonts w:hint="eastAsia"/>
          <w:b w:val="0"/>
          <w:bCs w:val="0"/>
        </w:rPr>
        <w:t>规划期内生猪出栏量不超过</w:t>
      </w:r>
      <w:r>
        <w:rPr>
          <w:b w:val="0"/>
          <w:bCs w:val="0"/>
        </w:rPr>
        <w:t>240</w:t>
      </w:r>
      <w:r>
        <w:rPr>
          <w:rFonts w:hint="eastAsia"/>
          <w:b w:val="0"/>
          <w:bCs w:val="0"/>
        </w:rPr>
        <w:t>万头</w:t>
      </w:r>
      <w:r>
        <w:rPr>
          <w:b w:val="0"/>
          <w:bCs w:val="0"/>
        </w:rPr>
        <w:t>/</w:t>
      </w:r>
      <w:r>
        <w:rPr>
          <w:rFonts w:hint="eastAsia"/>
          <w:b w:val="0"/>
          <w:bCs w:val="0"/>
        </w:rPr>
        <w:t>年</w:t>
      </w:r>
      <w:r>
        <w:rPr>
          <w:rFonts w:hint="eastAsia"/>
          <w:b w:val="0"/>
          <w:bCs w:val="0"/>
          <w:color w:val="auto"/>
        </w:rPr>
        <w:t>，肉牛羊</w:t>
      </w:r>
      <w:r>
        <w:rPr>
          <w:rFonts w:hint="eastAsia"/>
          <w:b w:val="0"/>
          <w:bCs w:val="0"/>
          <w:color w:val="auto"/>
          <w:lang w:eastAsia="zh-CN"/>
        </w:rPr>
        <w:t>、</w:t>
      </w:r>
      <w:r>
        <w:rPr>
          <w:rFonts w:hint="eastAsia"/>
          <w:b w:val="0"/>
          <w:bCs w:val="0"/>
          <w:color w:val="auto"/>
        </w:rPr>
        <w:t>家禽</w:t>
      </w:r>
      <w:r>
        <w:rPr>
          <w:rFonts w:hint="eastAsia"/>
          <w:b w:val="0"/>
          <w:bCs w:val="0"/>
          <w:color w:val="auto"/>
          <w:lang w:eastAsia="zh-CN"/>
        </w:rPr>
        <w:t>（主要包括鸡、鸭、鹅三个种类）年</w:t>
      </w:r>
      <w:r>
        <w:rPr>
          <w:rFonts w:hint="eastAsia"/>
          <w:b w:val="0"/>
          <w:bCs w:val="0"/>
          <w:color w:val="auto"/>
        </w:rPr>
        <w:t>总出栏量</w:t>
      </w:r>
      <w:r>
        <w:rPr>
          <w:rFonts w:hint="eastAsia"/>
          <w:b w:val="0"/>
          <w:bCs w:val="0"/>
          <w:color w:val="auto"/>
          <w:lang w:eastAsia="zh-CN"/>
        </w:rPr>
        <w:t>原则上不超过规划期基数，新建规模以上畜牧业项目应充分结合生态环境容量进行审批</w:t>
      </w:r>
      <w:r>
        <w:rPr>
          <w:rFonts w:hint="eastAsia"/>
          <w:b w:val="0"/>
          <w:bCs w:val="0"/>
          <w:color w:val="auto"/>
        </w:rPr>
        <w:t>。</w:t>
      </w:r>
    </w:p>
    <w:p>
      <w:pPr>
        <w:spacing w:line="240" w:lineRule="auto"/>
        <w:jc w:val="center"/>
        <w:rPr>
          <w:rFonts w:hint="eastAsia" w:ascii="Times New Roman" w:hAnsi="Times New Roman" w:eastAsia="黑体" w:cs="Times New Roman"/>
          <w:b/>
          <w:bCs/>
          <w:color w:val="FF0000"/>
          <w:kern w:val="2"/>
          <w:sz w:val="24"/>
          <w:szCs w:val="24"/>
          <w:lang w:val="en-US" w:eastAsia="zh-CN" w:bidi="ar-SA"/>
        </w:rPr>
      </w:pPr>
    </w:p>
    <w:p>
      <w:pPr>
        <w:spacing w:line="240" w:lineRule="auto"/>
        <w:jc w:val="center"/>
        <w:rPr>
          <w:rFonts w:hint="eastAsia" w:ascii="Times New Roman" w:hAnsi="Times New Roman" w:eastAsia="黑体" w:cs="Times New Roman"/>
          <w:b/>
          <w:bCs/>
          <w:kern w:val="2"/>
          <w:sz w:val="24"/>
          <w:szCs w:val="24"/>
          <w:lang w:val="en-US" w:eastAsia="zh-CN" w:bidi="ar-SA"/>
        </w:rPr>
      </w:pPr>
      <w:r>
        <w:rPr>
          <w:rFonts w:hint="eastAsia" w:ascii="Times New Roman" w:hAnsi="Times New Roman" w:eastAsia="黑体" w:cs="Times New Roman"/>
          <w:b/>
          <w:bCs/>
          <w:kern w:val="2"/>
          <w:sz w:val="24"/>
          <w:szCs w:val="24"/>
          <w:lang w:val="en-US" w:eastAsia="zh-CN" w:bidi="ar-SA"/>
        </w:rPr>
        <w:t>表2</w:t>
      </w:r>
      <w:r>
        <w:rPr>
          <w:rFonts w:ascii="Times New Roman" w:hAnsi="Times New Roman" w:eastAsia="黑体" w:cs="Times New Roman"/>
          <w:b/>
          <w:bCs/>
          <w:kern w:val="2"/>
          <w:sz w:val="24"/>
          <w:szCs w:val="24"/>
          <w:lang w:val="en-US" w:eastAsia="zh-CN" w:bidi="ar-SA"/>
        </w:rPr>
        <w:t>-1</w:t>
      </w:r>
      <w:r>
        <w:rPr>
          <w:rFonts w:hint="eastAsia" w:ascii="Times New Roman" w:hAnsi="Times New Roman" w:eastAsia="黑体" w:cs="Times New Roman"/>
          <w:b/>
          <w:bCs/>
          <w:kern w:val="2"/>
          <w:sz w:val="24"/>
          <w:szCs w:val="24"/>
          <w:lang w:val="en-US" w:eastAsia="zh-CN" w:bidi="ar-SA"/>
        </w:rPr>
        <w:t>各县（市、区）规划期内畜禽养殖总量一览表</w:t>
      </w:r>
    </w:p>
    <w:p>
      <w:pPr>
        <w:spacing w:line="240" w:lineRule="auto"/>
        <w:jc w:val="center"/>
        <w:rPr>
          <w:rFonts w:hint="default" w:ascii="方正大标宋_GBK" w:hAnsi="方正大标宋_GBK" w:eastAsia="方正大标宋_GBK" w:cs="方正大标宋_GBK"/>
          <w:sz w:val="21"/>
          <w:szCs w:val="21"/>
          <w:lang w:val="en-US" w:eastAsia="zh-CN"/>
        </w:rPr>
      </w:pPr>
      <w:r>
        <w:rPr>
          <w:rFonts w:hint="eastAsia" w:ascii="方正大标宋_GBK" w:hAnsi="方正大标宋_GBK" w:eastAsia="方正大标宋_GBK" w:cs="方正大标宋_GBK"/>
          <w:sz w:val="32"/>
          <w:szCs w:val="32"/>
          <w:lang w:val="en-US" w:eastAsia="zh-CN"/>
        </w:rPr>
        <w:t xml:space="preserve">                                                         </w:t>
      </w:r>
      <w:r>
        <w:rPr>
          <w:rFonts w:hint="eastAsia" w:ascii="方正大标宋_GBK" w:hAnsi="方正大标宋_GBK" w:eastAsia="方正大标宋_GBK" w:cs="方正大标宋_GBK"/>
          <w:sz w:val="21"/>
          <w:szCs w:val="21"/>
          <w:lang w:eastAsia="zh-CN"/>
        </w:rPr>
        <w:t>单位：万头</w:t>
      </w:r>
      <w:r>
        <w:rPr>
          <w:rFonts w:hint="eastAsia" w:ascii="方正大标宋_GBK" w:hAnsi="方正大标宋_GBK" w:eastAsia="方正大标宋_GBK" w:cs="方正大标宋_GBK"/>
          <w:sz w:val="21"/>
          <w:szCs w:val="21"/>
          <w:lang w:val="en-US" w:eastAsia="zh-CN"/>
        </w:rPr>
        <w:t>/万羽</w:t>
      </w:r>
    </w:p>
    <w:tbl>
      <w:tblPr>
        <w:tblStyle w:val="14"/>
        <w:tblpPr w:leftFromText="180" w:rightFromText="180" w:vertAnchor="text" w:horzAnchor="page" w:tblpX="1910" w:tblpY="26"/>
        <w:tblOverlap w:val="never"/>
        <w:tblW w:w="485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0"/>
        <w:gridCol w:w="2146"/>
        <w:gridCol w:w="2160"/>
        <w:gridCol w:w="2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20" w:type="pct"/>
            <w:noWrap w:val="0"/>
            <w:vAlign w:val="center"/>
          </w:tcPr>
          <w:p>
            <w:pPr>
              <w:pStyle w:val="30"/>
              <w:spacing w:line="240" w:lineRule="auto"/>
              <w:jc w:val="center"/>
            </w:pPr>
            <w:r>
              <w:rPr>
                <w:rFonts w:hint="eastAsia"/>
                <w:b/>
                <w:bCs/>
              </w:rPr>
              <w:t>县（市、区）</w:t>
            </w:r>
          </w:p>
        </w:tc>
        <w:tc>
          <w:tcPr>
            <w:tcW w:w="1219" w:type="pct"/>
            <w:noWrap w:val="0"/>
            <w:vAlign w:val="center"/>
          </w:tcPr>
          <w:p>
            <w:pPr>
              <w:pStyle w:val="30"/>
              <w:spacing w:line="240" w:lineRule="auto"/>
              <w:jc w:val="center"/>
              <w:rPr>
                <w:rFonts w:hint="eastAsia" w:ascii="Times New Roman" w:hAnsi="Times New Roman" w:eastAsia="宋体" w:cs="Times New Roman"/>
                <w:b/>
                <w:bCs/>
                <w:kern w:val="2"/>
                <w:sz w:val="24"/>
                <w:szCs w:val="21"/>
                <w:lang w:val="en-US" w:eastAsia="zh-CN" w:bidi="ar-SA"/>
              </w:rPr>
            </w:pPr>
            <w:r>
              <w:rPr>
                <w:rFonts w:hint="eastAsia"/>
                <w:b/>
                <w:bCs/>
                <w:lang w:eastAsia="zh-CN"/>
              </w:rPr>
              <w:t>生猪</w:t>
            </w:r>
          </w:p>
        </w:tc>
        <w:tc>
          <w:tcPr>
            <w:tcW w:w="1227" w:type="pct"/>
            <w:noWrap w:val="0"/>
            <w:vAlign w:val="center"/>
          </w:tcPr>
          <w:p>
            <w:pPr>
              <w:pStyle w:val="30"/>
              <w:spacing w:line="240" w:lineRule="auto"/>
              <w:jc w:val="center"/>
              <w:rPr>
                <w:rFonts w:hint="eastAsia" w:ascii="Times New Roman" w:hAnsi="Times New Roman" w:eastAsia="宋体" w:cs="Times New Roman"/>
                <w:b/>
                <w:bCs/>
                <w:kern w:val="2"/>
                <w:sz w:val="24"/>
                <w:szCs w:val="21"/>
                <w:lang w:val="en-US" w:eastAsia="zh-CN" w:bidi="ar-SA"/>
              </w:rPr>
            </w:pPr>
            <w:r>
              <w:rPr>
                <w:rFonts w:hint="eastAsia"/>
                <w:b/>
                <w:bCs/>
                <w:lang w:eastAsia="zh-CN"/>
              </w:rPr>
              <w:t>牛羊</w:t>
            </w:r>
          </w:p>
        </w:tc>
        <w:tc>
          <w:tcPr>
            <w:tcW w:w="1432" w:type="pct"/>
            <w:noWrap w:val="0"/>
            <w:vAlign w:val="center"/>
          </w:tcPr>
          <w:p>
            <w:pPr>
              <w:pStyle w:val="30"/>
              <w:spacing w:line="240" w:lineRule="auto"/>
              <w:jc w:val="center"/>
              <w:rPr>
                <w:rFonts w:hint="eastAsia" w:ascii="Times New Roman" w:hAnsi="Times New Roman" w:eastAsia="宋体" w:cs="Times New Roman"/>
                <w:b/>
                <w:bCs/>
                <w:kern w:val="2"/>
                <w:sz w:val="24"/>
                <w:szCs w:val="21"/>
                <w:lang w:val="en-US" w:eastAsia="zh-CN" w:bidi="ar-SA"/>
              </w:rPr>
            </w:pPr>
            <w:r>
              <w:rPr>
                <w:rFonts w:hint="eastAsia"/>
                <w:b/>
                <w:bCs/>
                <w:lang w:eastAsia="zh-CN"/>
              </w:rPr>
              <w:t>禽类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20" w:type="pct"/>
            <w:noWrap/>
            <w:vAlign w:val="center"/>
          </w:tcPr>
          <w:p>
            <w:pPr>
              <w:pStyle w:val="30"/>
              <w:spacing w:line="240" w:lineRule="auto"/>
              <w:jc w:val="center"/>
            </w:pPr>
            <w:r>
              <w:rPr>
                <w:rFonts w:hint="eastAsia"/>
              </w:rPr>
              <w:t>蓬江区</w:t>
            </w:r>
          </w:p>
        </w:tc>
        <w:tc>
          <w:tcPr>
            <w:tcW w:w="1219"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w:t>
            </w:r>
          </w:p>
        </w:tc>
        <w:tc>
          <w:tcPr>
            <w:tcW w:w="1227"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w:t>
            </w:r>
          </w:p>
        </w:tc>
        <w:tc>
          <w:tcPr>
            <w:tcW w:w="1432" w:type="pct"/>
            <w:noWrap/>
            <w:vAlign w:val="center"/>
          </w:tcPr>
          <w:p>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20" w:type="pct"/>
            <w:noWrap/>
            <w:vAlign w:val="center"/>
          </w:tcPr>
          <w:p>
            <w:pPr>
              <w:pStyle w:val="30"/>
              <w:spacing w:line="240" w:lineRule="auto"/>
              <w:jc w:val="center"/>
            </w:pPr>
            <w:r>
              <w:rPr>
                <w:rFonts w:hint="eastAsia"/>
              </w:rPr>
              <w:t>江海区</w:t>
            </w:r>
          </w:p>
        </w:tc>
        <w:tc>
          <w:tcPr>
            <w:tcW w:w="1219" w:type="pct"/>
            <w:noWrap/>
            <w:vAlign w:val="center"/>
          </w:tcPr>
          <w:p>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w:t>
            </w:r>
          </w:p>
        </w:tc>
        <w:tc>
          <w:tcPr>
            <w:tcW w:w="1227"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w:t>
            </w:r>
          </w:p>
        </w:tc>
        <w:tc>
          <w:tcPr>
            <w:tcW w:w="1432"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20" w:type="pct"/>
            <w:noWrap/>
            <w:vAlign w:val="center"/>
          </w:tcPr>
          <w:p>
            <w:pPr>
              <w:pStyle w:val="30"/>
              <w:spacing w:line="240" w:lineRule="auto"/>
              <w:jc w:val="center"/>
            </w:pPr>
            <w:r>
              <w:rPr>
                <w:rFonts w:hint="eastAsia"/>
              </w:rPr>
              <w:t>新会区</w:t>
            </w:r>
          </w:p>
        </w:tc>
        <w:tc>
          <w:tcPr>
            <w:tcW w:w="1219"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31</w:t>
            </w:r>
          </w:p>
        </w:tc>
        <w:tc>
          <w:tcPr>
            <w:tcW w:w="1227"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0.</w:t>
            </w:r>
            <w:r>
              <w:rPr>
                <w:rFonts w:hint="eastAsia" w:eastAsia="宋体" w:cs="Times New Roman"/>
                <w:kern w:val="2"/>
                <w:sz w:val="24"/>
                <w:szCs w:val="21"/>
                <w:lang w:val="en-US" w:eastAsia="zh-CN" w:bidi="ar-SA"/>
              </w:rPr>
              <w:t>6</w:t>
            </w:r>
          </w:p>
        </w:tc>
        <w:tc>
          <w:tcPr>
            <w:tcW w:w="1432" w:type="pct"/>
            <w:noWrap/>
            <w:vAlign w:val="center"/>
          </w:tcPr>
          <w:p>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18</w:t>
            </w:r>
            <w:r>
              <w:rPr>
                <w:rFonts w:hint="eastAsia" w:eastAsia="宋体" w:cs="Times New Roman"/>
                <w:kern w:val="2"/>
                <w:sz w:val="24"/>
                <w:szCs w:val="21"/>
                <w:lang w:val="en-US" w:eastAsia="zh-CN" w:bidi="ar-SA"/>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20" w:type="pct"/>
            <w:noWrap/>
            <w:vAlign w:val="center"/>
          </w:tcPr>
          <w:p>
            <w:pPr>
              <w:pStyle w:val="30"/>
              <w:spacing w:line="240" w:lineRule="auto"/>
              <w:jc w:val="center"/>
            </w:pPr>
            <w:r>
              <w:rPr>
                <w:rFonts w:hint="eastAsia"/>
              </w:rPr>
              <w:t>台山市</w:t>
            </w:r>
          </w:p>
        </w:tc>
        <w:tc>
          <w:tcPr>
            <w:tcW w:w="1219"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63</w:t>
            </w:r>
          </w:p>
        </w:tc>
        <w:tc>
          <w:tcPr>
            <w:tcW w:w="1227" w:type="pct"/>
            <w:noWrap/>
            <w:vAlign w:val="center"/>
          </w:tcPr>
          <w:p>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2.5</w:t>
            </w:r>
          </w:p>
        </w:tc>
        <w:tc>
          <w:tcPr>
            <w:tcW w:w="1432" w:type="pct"/>
            <w:noWrap/>
            <w:vAlign w:val="center"/>
          </w:tcPr>
          <w:p>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20" w:type="pct"/>
            <w:noWrap/>
            <w:vAlign w:val="center"/>
          </w:tcPr>
          <w:p>
            <w:pPr>
              <w:pStyle w:val="30"/>
              <w:spacing w:line="240" w:lineRule="auto"/>
              <w:jc w:val="center"/>
            </w:pPr>
            <w:r>
              <w:rPr>
                <w:rFonts w:hint="eastAsia"/>
              </w:rPr>
              <w:t>开平市</w:t>
            </w:r>
          </w:p>
        </w:tc>
        <w:tc>
          <w:tcPr>
            <w:tcW w:w="1219"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49</w:t>
            </w:r>
          </w:p>
        </w:tc>
        <w:tc>
          <w:tcPr>
            <w:tcW w:w="1227"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1</w:t>
            </w:r>
          </w:p>
        </w:tc>
        <w:tc>
          <w:tcPr>
            <w:tcW w:w="1432" w:type="pct"/>
            <w:noWrap/>
            <w:vAlign w:val="center"/>
          </w:tcPr>
          <w:p>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20" w:type="pct"/>
            <w:noWrap/>
            <w:vAlign w:val="center"/>
          </w:tcPr>
          <w:p>
            <w:pPr>
              <w:pStyle w:val="30"/>
              <w:spacing w:line="240" w:lineRule="auto"/>
              <w:jc w:val="center"/>
            </w:pPr>
            <w:r>
              <w:rPr>
                <w:rFonts w:hint="eastAsia"/>
              </w:rPr>
              <w:t>鹤山市</w:t>
            </w:r>
          </w:p>
        </w:tc>
        <w:tc>
          <w:tcPr>
            <w:tcW w:w="1219"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50</w:t>
            </w:r>
          </w:p>
        </w:tc>
        <w:tc>
          <w:tcPr>
            <w:tcW w:w="1227"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1</w:t>
            </w:r>
          </w:p>
        </w:tc>
        <w:tc>
          <w:tcPr>
            <w:tcW w:w="1432" w:type="pct"/>
            <w:noWrap/>
            <w:vAlign w:val="center"/>
          </w:tcPr>
          <w:p>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20" w:type="pct"/>
            <w:noWrap/>
            <w:vAlign w:val="center"/>
          </w:tcPr>
          <w:p>
            <w:pPr>
              <w:pStyle w:val="30"/>
              <w:spacing w:line="240" w:lineRule="auto"/>
              <w:jc w:val="center"/>
            </w:pPr>
            <w:r>
              <w:rPr>
                <w:rFonts w:hint="eastAsia"/>
              </w:rPr>
              <w:t>恩平市</w:t>
            </w:r>
          </w:p>
        </w:tc>
        <w:tc>
          <w:tcPr>
            <w:tcW w:w="1219"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47</w:t>
            </w:r>
          </w:p>
        </w:tc>
        <w:tc>
          <w:tcPr>
            <w:tcW w:w="1227"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2</w:t>
            </w:r>
          </w:p>
        </w:tc>
        <w:tc>
          <w:tcPr>
            <w:tcW w:w="1432" w:type="pct"/>
            <w:noWrap/>
            <w:vAlign w:val="center"/>
          </w:tcPr>
          <w:p>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1550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20" w:type="pct"/>
            <w:noWrap/>
            <w:vAlign w:val="center"/>
          </w:tcPr>
          <w:p>
            <w:pPr>
              <w:pStyle w:val="30"/>
              <w:spacing w:line="240" w:lineRule="auto"/>
              <w:jc w:val="center"/>
              <w:rPr>
                <w:rFonts w:hint="eastAsia"/>
                <w:b/>
                <w:bCs/>
              </w:rPr>
            </w:pPr>
            <w:r>
              <w:rPr>
                <w:rFonts w:hint="eastAsia"/>
                <w:b/>
                <w:bCs/>
              </w:rPr>
              <w:t>江门市</w:t>
            </w:r>
          </w:p>
        </w:tc>
        <w:tc>
          <w:tcPr>
            <w:tcW w:w="1219" w:type="pct"/>
            <w:noWrap/>
            <w:vAlign w:val="center"/>
          </w:tcPr>
          <w:p>
            <w:pPr>
              <w:keepNext w:val="0"/>
              <w:keepLines w:val="0"/>
              <w:widowControl/>
              <w:suppressLineNumbers w:val="0"/>
              <w:spacing w:line="240" w:lineRule="auto"/>
              <w:ind w:left="0" w:leftChars="0" w:firstLine="0" w:firstLineChars="0"/>
              <w:jc w:val="center"/>
              <w:textAlignment w:val="center"/>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kern w:val="2"/>
                <w:sz w:val="24"/>
                <w:szCs w:val="21"/>
                <w:lang w:val="en-US" w:eastAsia="zh-CN" w:bidi="ar-SA"/>
              </w:rPr>
              <w:t>240</w:t>
            </w:r>
          </w:p>
        </w:tc>
        <w:tc>
          <w:tcPr>
            <w:tcW w:w="1227" w:type="pct"/>
            <w:noWrap/>
            <w:vAlign w:val="center"/>
          </w:tcPr>
          <w:p>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7.1</w:t>
            </w:r>
          </w:p>
        </w:tc>
        <w:tc>
          <w:tcPr>
            <w:tcW w:w="1432" w:type="pct"/>
            <w:noWrap/>
            <w:vAlign w:val="center"/>
          </w:tcPr>
          <w:p>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kern w:val="2"/>
                <w:sz w:val="24"/>
                <w:szCs w:val="21"/>
                <w:lang w:val="en-US" w:eastAsia="zh-CN" w:bidi="ar-SA"/>
              </w:rPr>
            </w:pPr>
            <w:r>
              <w:rPr>
                <w:rFonts w:hint="eastAsia" w:eastAsia="宋体" w:cs="Times New Roman"/>
                <w:kern w:val="2"/>
                <w:sz w:val="24"/>
                <w:szCs w:val="21"/>
                <w:lang w:val="en-US" w:eastAsia="zh-CN" w:bidi="ar-SA"/>
              </w:rPr>
              <w:t>20000</w:t>
            </w:r>
          </w:p>
        </w:tc>
      </w:tr>
    </w:tbl>
    <w:p>
      <w:pPr>
        <w:ind w:firstLine="0" w:firstLineChars="0"/>
        <w:rPr>
          <w:rFonts w:hint="eastAsia"/>
        </w:rPr>
      </w:pPr>
    </w:p>
    <w:p>
      <w:pPr>
        <w:ind w:firstLine="632"/>
        <w:rPr>
          <w:rFonts w:cs="Times New Roman"/>
          <w:szCs w:val="32"/>
        </w:rPr>
      </w:pPr>
      <w:r>
        <w:rPr>
          <w:rFonts w:hint="eastAsia" w:cs="Times New Roman"/>
          <w:szCs w:val="32"/>
        </w:rPr>
        <w:t>到2025年，畜禽养殖空间布局及结构进一步优化，畜禽养殖规模化率不低于83%；畜禽养殖污染防治和综合利用水平不断提升，畜禽规模养殖场粪污处理设施装备配套率达100%并确保正常运行，保留的生猪规模养殖场全面实现达标治理，畜禽粪污综合利用率达80%以上（不含达标治理部分）；畜禽养殖全链条环境监管体系不断完善，畜禽规模养殖场粪污资源化利用计划备案率、畜禽规模养殖场粪污资源化利用台账建立率均达90%以上，取得排污许可证的畜禽规模养殖场自行监测覆盖率达100%。</w:t>
      </w:r>
    </w:p>
    <w:p>
      <w:pPr>
        <w:ind w:firstLine="632"/>
      </w:pPr>
      <w:r>
        <w:rPr>
          <w:rFonts w:hint="eastAsia" w:cs="Times New Roman"/>
          <w:szCs w:val="32"/>
        </w:rPr>
        <w:t>到2030年，畜禽养殖规模化率不低于85%；畜禽规模养殖场粪污处理设施装备配套率保持100%并确保正常运行，畜禽粪污综合利用率提升至85%以上（不含达标治理部分）；畜禽规模养殖场粪污资源化利用计划备案率、畜禽规模养殖场粪污资源化利用台账建立率均提升至95%以上，取得排污许可证的畜禽规模养殖场自行监测覆盖率保持100%。</w:t>
      </w:r>
    </w:p>
    <w:p>
      <w:pPr>
        <w:pStyle w:val="31"/>
        <w:spacing w:line="560" w:lineRule="exact"/>
      </w:pPr>
      <w:r>
        <w:rPr>
          <w:rFonts w:hint="eastAsia"/>
        </w:rPr>
        <w:t>表2</w:t>
      </w:r>
      <w:r>
        <w:t>-</w:t>
      </w:r>
      <w:r>
        <w:rPr>
          <w:rFonts w:hint="eastAsia"/>
          <w:lang w:val="en-US" w:eastAsia="zh-CN"/>
        </w:rPr>
        <w:t>2</w:t>
      </w:r>
      <w:r>
        <w:t xml:space="preserve">  江门市畜禽养殖污染防治规划（202</w:t>
      </w:r>
      <w:r>
        <w:rPr>
          <w:rFonts w:hint="eastAsia"/>
        </w:rPr>
        <w:t>4</w:t>
      </w:r>
      <w:r>
        <w:t>-20</w:t>
      </w:r>
      <w:r>
        <w:rPr>
          <w:rFonts w:hint="eastAsia"/>
        </w:rPr>
        <w:t>30</w:t>
      </w:r>
      <w:r>
        <w:t>年）指标体系一览表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2912"/>
        <w:gridCol w:w="1356"/>
        <w:gridCol w:w="1356"/>
        <w:gridCol w:w="1357"/>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shd w:val="clear" w:color="auto" w:fill="auto"/>
            <w:vAlign w:val="center"/>
          </w:tcPr>
          <w:p>
            <w:pPr>
              <w:pStyle w:val="30"/>
              <w:rPr>
                <w:rFonts w:eastAsia="楷体_GB2312"/>
                <w:b/>
                <w:bCs/>
              </w:rPr>
            </w:pPr>
            <w:bookmarkStart w:id="68" w:name="_Hlk185281931"/>
            <w:r>
              <w:rPr>
                <w:rFonts w:eastAsia="楷体_GB2312"/>
                <w:b/>
                <w:bCs/>
              </w:rPr>
              <w:t>序号</w:t>
            </w:r>
          </w:p>
        </w:tc>
        <w:tc>
          <w:tcPr>
            <w:tcW w:w="1606" w:type="pct"/>
            <w:shd w:val="clear" w:color="auto" w:fill="auto"/>
            <w:vAlign w:val="center"/>
          </w:tcPr>
          <w:p>
            <w:pPr>
              <w:pStyle w:val="30"/>
              <w:rPr>
                <w:rFonts w:eastAsia="楷体_GB2312"/>
                <w:b/>
                <w:bCs/>
              </w:rPr>
            </w:pPr>
            <w:r>
              <w:rPr>
                <w:rFonts w:eastAsia="楷体_GB2312"/>
                <w:b/>
                <w:bCs/>
              </w:rPr>
              <w:t>指标</w:t>
            </w:r>
          </w:p>
        </w:tc>
        <w:tc>
          <w:tcPr>
            <w:tcW w:w="748" w:type="pct"/>
            <w:shd w:val="clear" w:color="auto" w:fill="auto"/>
            <w:vAlign w:val="center"/>
          </w:tcPr>
          <w:p>
            <w:pPr>
              <w:pStyle w:val="30"/>
              <w:rPr>
                <w:rFonts w:eastAsia="楷体_GB2312"/>
                <w:b/>
                <w:bCs/>
              </w:rPr>
            </w:pPr>
            <w:r>
              <w:rPr>
                <w:rFonts w:eastAsia="楷体_GB2312"/>
                <w:b/>
                <w:bCs/>
              </w:rPr>
              <w:t>2023年</w:t>
            </w:r>
          </w:p>
        </w:tc>
        <w:tc>
          <w:tcPr>
            <w:tcW w:w="748" w:type="pct"/>
            <w:shd w:val="clear" w:color="auto" w:fill="auto"/>
            <w:vAlign w:val="center"/>
          </w:tcPr>
          <w:p>
            <w:pPr>
              <w:pStyle w:val="30"/>
              <w:rPr>
                <w:rFonts w:eastAsia="楷体_GB2312"/>
                <w:b/>
                <w:bCs/>
              </w:rPr>
            </w:pPr>
            <w:r>
              <w:rPr>
                <w:rFonts w:eastAsia="楷体_GB2312"/>
                <w:b/>
                <w:bCs/>
              </w:rPr>
              <w:t>2025年</w:t>
            </w:r>
          </w:p>
        </w:tc>
        <w:tc>
          <w:tcPr>
            <w:tcW w:w="748" w:type="pct"/>
            <w:shd w:val="clear" w:color="auto" w:fill="auto"/>
            <w:vAlign w:val="center"/>
          </w:tcPr>
          <w:p>
            <w:pPr>
              <w:pStyle w:val="30"/>
              <w:rPr>
                <w:rFonts w:eastAsia="楷体_GB2312"/>
                <w:b/>
                <w:bCs/>
              </w:rPr>
            </w:pPr>
            <w:r>
              <w:rPr>
                <w:rFonts w:eastAsia="楷体_GB2312"/>
                <w:b/>
                <w:bCs/>
              </w:rPr>
              <w:t>2030年</w:t>
            </w:r>
          </w:p>
        </w:tc>
        <w:tc>
          <w:tcPr>
            <w:tcW w:w="750" w:type="pct"/>
            <w:shd w:val="clear" w:color="auto" w:fill="auto"/>
            <w:vAlign w:val="center"/>
          </w:tcPr>
          <w:p>
            <w:pPr>
              <w:pStyle w:val="30"/>
              <w:rPr>
                <w:rFonts w:eastAsia="楷体_GB2312"/>
                <w:b/>
                <w:bCs/>
              </w:rPr>
            </w:pPr>
            <w:r>
              <w:rPr>
                <w:rFonts w:eastAsia="楷体_GB2312"/>
                <w:b/>
                <w:bCs/>
              </w:rPr>
              <w:t>指标类型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shd w:val="clear" w:color="auto" w:fill="auto"/>
            <w:vAlign w:val="center"/>
          </w:tcPr>
          <w:p>
            <w:pPr>
              <w:pStyle w:val="30"/>
              <w:rPr>
                <w:rFonts w:eastAsia="宋体"/>
              </w:rPr>
            </w:pPr>
            <w:r>
              <w:rPr>
                <w:rFonts w:eastAsia="宋体"/>
              </w:rPr>
              <w:t>1</w:t>
            </w:r>
          </w:p>
        </w:tc>
        <w:tc>
          <w:tcPr>
            <w:tcW w:w="1606" w:type="pct"/>
            <w:shd w:val="clear" w:color="auto" w:fill="auto"/>
            <w:vAlign w:val="center"/>
          </w:tcPr>
          <w:p>
            <w:pPr>
              <w:pStyle w:val="30"/>
            </w:pPr>
            <w:r>
              <w:t>畜禽养殖规模化率</w:t>
            </w:r>
          </w:p>
        </w:tc>
        <w:tc>
          <w:tcPr>
            <w:tcW w:w="748" w:type="pct"/>
            <w:shd w:val="clear" w:color="auto" w:fill="auto"/>
            <w:vAlign w:val="center"/>
          </w:tcPr>
          <w:p>
            <w:pPr>
              <w:pStyle w:val="30"/>
            </w:pPr>
            <w:r>
              <w:t>/</w:t>
            </w:r>
          </w:p>
        </w:tc>
        <w:tc>
          <w:tcPr>
            <w:tcW w:w="748" w:type="pct"/>
            <w:shd w:val="clear" w:color="auto" w:fill="auto"/>
            <w:vAlign w:val="center"/>
          </w:tcPr>
          <w:p>
            <w:pPr>
              <w:pStyle w:val="30"/>
            </w:pPr>
            <w:r>
              <w:t>≥</w:t>
            </w:r>
            <w:r>
              <w:rPr>
                <w:rFonts w:hint="eastAsia"/>
              </w:rPr>
              <w:t>83</w:t>
            </w:r>
            <w:r>
              <w:t>%</w:t>
            </w:r>
          </w:p>
        </w:tc>
        <w:tc>
          <w:tcPr>
            <w:tcW w:w="748" w:type="pct"/>
            <w:shd w:val="clear" w:color="auto" w:fill="auto"/>
            <w:vAlign w:val="center"/>
          </w:tcPr>
          <w:p>
            <w:pPr>
              <w:pStyle w:val="30"/>
            </w:pPr>
            <w:r>
              <w:t>≥</w:t>
            </w:r>
            <w:r>
              <w:rPr>
                <w:rFonts w:hint="eastAsia"/>
              </w:rPr>
              <w:t>8</w:t>
            </w:r>
            <w:r>
              <w:t>5%</w:t>
            </w:r>
          </w:p>
        </w:tc>
        <w:tc>
          <w:tcPr>
            <w:tcW w:w="750" w:type="pct"/>
            <w:shd w:val="clear" w:color="auto" w:fill="auto"/>
            <w:vAlign w:val="center"/>
          </w:tcPr>
          <w:p>
            <w:pPr>
              <w:pStyle w:val="30"/>
            </w:pPr>
            <w: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shd w:val="clear" w:color="auto" w:fill="auto"/>
            <w:vAlign w:val="center"/>
          </w:tcPr>
          <w:p>
            <w:pPr>
              <w:pStyle w:val="30"/>
              <w:rPr>
                <w:rFonts w:eastAsia="宋体"/>
              </w:rPr>
            </w:pPr>
            <w:r>
              <w:rPr>
                <w:rFonts w:eastAsia="宋体"/>
              </w:rPr>
              <w:t>2</w:t>
            </w:r>
          </w:p>
        </w:tc>
        <w:tc>
          <w:tcPr>
            <w:tcW w:w="1606" w:type="pct"/>
            <w:shd w:val="clear" w:color="auto" w:fill="auto"/>
            <w:vAlign w:val="center"/>
          </w:tcPr>
          <w:p>
            <w:pPr>
              <w:pStyle w:val="30"/>
            </w:pPr>
            <w:r>
              <w:t>畜禽粪污综合利用率</w:t>
            </w:r>
          </w:p>
          <w:p>
            <w:pPr>
              <w:pStyle w:val="30"/>
            </w:pPr>
            <w:r>
              <w:rPr>
                <w:rFonts w:hint="eastAsia"/>
              </w:rPr>
              <w:t>（不含达标治理部分）</w:t>
            </w:r>
          </w:p>
        </w:tc>
        <w:tc>
          <w:tcPr>
            <w:tcW w:w="748" w:type="pct"/>
            <w:shd w:val="clear" w:color="auto" w:fill="auto"/>
            <w:vAlign w:val="center"/>
          </w:tcPr>
          <w:p>
            <w:pPr>
              <w:pStyle w:val="30"/>
              <w:rPr>
                <w:rFonts w:eastAsia="宋体"/>
              </w:rPr>
            </w:pPr>
            <w:r>
              <w:t>84.78%</w:t>
            </w:r>
          </w:p>
        </w:tc>
        <w:tc>
          <w:tcPr>
            <w:tcW w:w="748" w:type="pct"/>
            <w:shd w:val="clear" w:color="auto" w:fill="auto"/>
            <w:vAlign w:val="center"/>
          </w:tcPr>
          <w:p>
            <w:pPr>
              <w:pStyle w:val="30"/>
              <w:rPr>
                <w:rFonts w:eastAsia="宋体"/>
                <w:highlight w:val="none"/>
              </w:rPr>
            </w:pPr>
            <w:r>
              <w:rPr>
                <w:highlight w:val="none"/>
              </w:rPr>
              <w:t>≥80%</w:t>
            </w:r>
          </w:p>
        </w:tc>
        <w:tc>
          <w:tcPr>
            <w:tcW w:w="748" w:type="pct"/>
            <w:shd w:val="clear" w:color="auto" w:fill="auto"/>
            <w:vAlign w:val="center"/>
          </w:tcPr>
          <w:p>
            <w:pPr>
              <w:pStyle w:val="30"/>
              <w:rPr>
                <w:rFonts w:eastAsia="宋体"/>
                <w:highlight w:val="none"/>
              </w:rPr>
            </w:pPr>
            <w:r>
              <w:rPr>
                <w:highlight w:val="none"/>
              </w:rPr>
              <w:t>≥85%</w:t>
            </w:r>
          </w:p>
        </w:tc>
        <w:tc>
          <w:tcPr>
            <w:tcW w:w="750" w:type="pct"/>
            <w:shd w:val="clear" w:color="auto" w:fill="auto"/>
            <w:vAlign w:val="center"/>
          </w:tcPr>
          <w:p>
            <w:pPr>
              <w:pStyle w:val="30"/>
            </w:pPr>
            <w: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shd w:val="clear" w:color="auto" w:fill="auto"/>
            <w:vAlign w:val="center"/>
          </w:tcPr>
          <w:p>
            <w:pPr>
              <w:pStyle w:val="30"/>
              <w:rPr>
                <w:rFonts w:eastAsia="宋体"/>
              </w:rPr>
            </w:pPr>
            <w:r>
              <w:rPr>
                <w:rFonts w:eastAsia="宋体"/>
              </w:rPr>
              <w:t>3</w:t>
            </w:r>
          </w:p>
        </w:tc>
        <w:tc>
          <w:tcPr>
            <w:tcW w:w="1606" w:type="pct"/>
            <w:shd w:val="clear" w:color="auto" w:fill="auto"/>
            <w:vAlign w:val="center"/>
          </w:tcPr>
          <w:p>
            <w:pPr>
              <w:pStyle w:val="30"/>
            </w:pPr>
            <w:r>
              <w:t>畜禽规模养殖场粪污处理设施装备配套率</w:t>
            </w:r>
          </w:p>
        </w:tc>
        <w:tc>
          <w:tcPr>
            <w:tcW w:w="748" w:type="pct"/>
            <w:shd w:val="clear" w:color="auto" w:fill="auto"/>
            <w:vAlign w:val="center"/>
          </w:tcPr>
          <w:p>
            <w:pPr>
              <w:pStyle w:val="30"/>
              <w:rPr>
                <w:rFonts w:eastAsia="宋体"/>
              </w:rPr>
            </w:pPr>
            <w:r>
              <w:t>98.45%</w:t>
            </w:r>
          </w:p>
        </w:tc>
        <w:tc>
          <w:tcPr>
            <w:tcW w:w="748" w:type="pct"/>
            <w:shd w:val="clear" w:color="auto" w:fill="auto"/>
            <w:vAlign w:val="center"/>
          </w:tcPr>
          <w:p>
            <w:pPr>
              <w:pStyle w:val="30"/>
              <w:rPr>
                <w:rFonts w:eastAsia="宋体"/>
              </w:rPr>
            </w:pPr>
            <w:r>
              <w:t>100%</w:t>
            </w:r>
          </w:p>
        </w:tc>
        <w:tc>
          <w:tcPr>
            <w:tcW w:w="748" w:type="pct"/>
            <w:shd w:val="clear" w:color="auto" w:fill="auto"/>
            <w:vAlign w:val="center"/>
          </w:tcPr>
          <w:p>
            <w:pPr>
              <w:pStyle w:val="30"/>
              <w:rPr>
                <w:rFonts w:eastAsia="宋体"/>
              </w:rPr>
            </w:pPr>
            <w:r>
              <w:t>100%</w:t>
            </w:r>
          </w:p>
        </w:tc>
        <w:tc>
          <w:tcPr>
            <w:tcW w:w="750" w:type="pct"/>
            <w:shd w:val="clear" w:color="auto" w:fill="auto"/>
            <w:vAlign w:val="center"/>
          </w:tcPr>
          <w:p>
            <w:pPr>
              <w:pStyle w:val="30"/>
            </w:pPr>
            <w: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shd w:val="clear" w:color="auto" w:fill="auto"/>
            <w:vAlign w:val="center"/>
          </w:tcPr>
          <w:p>
            <w:pPr>
              <w:pStyle w:val="30"/>
              <w:rPr>
                <w:rFonts w:eastAsia="宋体"/>
              </w:rPr>
            </w:pPr>
            <w:r>
              <w:rPr>
                <w:rFonts w:eastAsia="宋体"/>
              </w:rPr>
              <w:t>4</w:t>
            </w:r>
          </w:p>
        </w:tc>
        <w:tc>
          <w:tcPr>
            <w:tcW w:w="1606" w:type="pct"/>
            <w:shd w:val="clear" w:color="auto" w:fill="auto"/>
            <w:vAlign w:val="center"/>
          </w:tcPr>
          <w:p>
            <w:pPr>
              <w:pStyle w:val="30"/>
            </w:pPr>
            <w:r>
              <w:t>畜禽规模养殖场粪污资源化利用计划备案率</w:t>
            </w:r>
          </w:p>
        </w:tc>
        <w:tc>
          <w:tcPr>
            <w:tcW w:w="748" w:type="pct"/>
            <w:shd w:val="clear" w:color="auto" w:fill="auto"/>
            <w:vAlign w:val="center"/>
          </w:tcPr>
          <w:p>
            <w:pPr>
              <w:pStyle w:val="30"/>
              <w:rPr>
                <w:rFonts w:eastAsia="宋体"/>
              </w:rPr>
            </w:pPr>
            <w:r>
              <w:t>——</w:t>
            </w:r>
          </w:p>
        </w:tc>
        <w:tc>
          <w:tcPr>
            <w:tcW w:w="748" w:type="pct"/>
            <w:shd w:val="clear" w:color="auto" w:fill="auto"/>
            <w:vAlign w:val="center"/>
          </w:tcPr>
          <w:p>
            <w:pPr>
              <w:pStyle w:val="30"/>
              <w:rPr>
                <w:rFonts w:eastAsia="宋体"/>
              </w:rPr>
            </w:pPr>
            <w:r>
              <w:t>≥9</w:t>
            </w:r>
            <w:r>
              <w:rPr>
                <w:rFonts w:hint="eastAsia"/>
              </w:rPr>
              <w:t>0</w:t>
            </w:r>
            <w:r>
              <w:t>%</w:t>
            </w:r>
          </w:p>
        </w:tc>
        <w:tc>
          <w:tcPr>
            <w:tcW w:w="748" w:type="pct"/>
            <w:shd w:val="clear" w:color="auto" w:fill="auto"/>
            <w:vAlign w:val="center"/>
          </w:tcPr>
          <w:p>
            <w:pPr>
              <w:pStyle w:val="30"/>
              <w:rPr>
                <w:rFonts w:eastAsia="宋体"/>
              </w:rPr>
            </w:pPr>
            <w:r>
              <w:t>≥</w:t>
            </w:r>
            <w:r>
              <w:rPr>
                <w:rFonts w:hint="eastAsia"/>
              </w:rPr>
              <w:t>95</w:t>
            </w:r>
            <w:r>
              <w:t>%</w:t>
            </w:r>
          </w:p>
        </w:tc>
        <w:tc>
          <w:tcPr>
            <w:tcW w:w="750" w:type="pct"/>
            <w:shd w:val="clear" w:color="auto" w:fill="auto"/>
            <w:vAlign w:val="center"/>
          </w:tcPr>
          <w:p>
            <w:pPr>
              <w:pStyle w:val="30"/>
            </w:pPr>
            <w: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shd w:val="clear" w:color="auto" w:fill="auto"/>
            <w:vAlign w:val="center"/>
          </w:tcPr>
          <w:p>
            <w:pPr>
              <w:pStyle w:val="30"/>
              <w:rPr>
                <w:rFonts w:eastAsia="宋体"/>
              </w:rPr>
            </w:pPr>
            <w:r>
              <w:rPr>
                <w:rFonts w:eastAsia="宋体"/>
              </w:rPr>
              <w:t>5</w:t>
            </w:r>
          </w:p>
        </w:tc>
        <w:tc>
          <w:tcPr>
            <w:tcW w:w="1606" w:type="pct"/>
            <w:shd w:val="clear" w:color="auto" w:fill="auto"/>
            <w:vAlign w:val="center"/>
          </w:tcPr>
          <w:p>
            <w:pPr>
              <w:pStyle w:val="30"/>
            </w:pPr>
            <w:r>
              <w:t>畜禽规模养殖场粪污资源化利用台账建立率</w:t>
            </w:r>
          </w:p>
        </w:tc>
        <w:tc>
          <w:tcPr>
            <w:tcW w:w="748" w:type="pct"/>
            <w:shd w:val="clear" w:color="auto" w:fill="auto"/>
            <w:vAlign w:val="center"/>
          </w:tcPr>
          <w:p>
            <w:pPr>
              <w:pStyle w:val="30"/>
              <w:rPr>
                <w:rFonts w:eastAsia="宋体"/>
              </w:rPr>
            </w:pPr>
            <w:r>
              <w:t>——</w:t>
            </w:r>
          </w:p>
        </w:tc>
        <w:tc>
          <w:tcPr>
            <w:tcW w:w="748" w:type="pct"/>
            <w:shd w:val="clear" w:color="auto" w:fill="auto"/>
            <w:vAlign w:val="center"/>
          </w:tcPr>
          <w:p>
            <w:pPr>
              <w:pStyle w:val="30"/>
              <w:rPr>
                <w:rFonts w:eastAsia="宋体"/>
              </w:rPr>
            </w:pPr>
            <w:r>
              <w:t>≥</w:t>
            </w:r>
            <w:r>
              <w:rPr>
                <w:rFonts w:hint="eastAsia"/>
              </w:rPr>
              <w:t>90</w:t>
            </w:r>
            <w:r>
              <w:t>%</w:t>
            </w:r>
          </w:p>
        </w:tc>
        <w:tc>
          <w:tcPr>
            <w:tcW w:w="748" w:type="pct"/>
            <w:shd w:val="clear" w:color="auto" w:fill="auto"/>
            <w:vAlign w:val="center"/>
          </w:tcPr>
          <w:p>
            <w:pPr>
              <w:pStyle w:val="30"/>
              <w:rPr>
                <w:rFonts w:eastAsia="宋体"/>
              </w:rPr>
            </w:pPr>
            <w:r>
              <w:t>≥</w:t>
            </w:r>
            <w:r>
              <w:rPr>
                <w:rFonts w:hint="eastAsia"/>
              </w:rPr>
              <w:t>95</w:t>
            </w:r>
            <w:r>
              <w:t>%</w:t>
            </w:r>
          </w:p>
        </w:tc>
        <w:tc>
          <w:tcPr>
            <w:tcW w:w="750" w:type="pct"/>
            <w:shd w:val="clear" w:color="auto" w:fill="auto"/>
            <w:vAlign w:val="center"/>
          </w:tcPr>
          <w:p>
            <w:pPr>
              <w:pStyle w:val="30"/>
            </w:pPr>
            <w: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shd w:val="clear" w:color="auto" w:fill="auto"/>
            <w:vAlign w:val="center"/>
          </w:tcPr>
          <w:p>
            <w:pPr>
              <w:pStyle w:val="30"/>
              <w:rPr>
                <w:rFonts w:eastAsia="宋体"/>
              </w:rPr>
            </w:pPr>
            <w:r>
              <w:rPr>
                <w:rFonts w:eastAsia="宋体"/>
              </w:rPr>
              <w:t>6</w:t>
            </w:r>
          </w:p>
        </w:tc>
        <w:tc>
          <w:tcPr>
            <w:tcW w:w="1606" w:type="pct"/>
            <w:shd w:val="clear" w:color="auto" w:fill="auto"/>
            <w:vAlign w:val="center"/>
          </w:tcPr>
          <w:p>
            <w:pPr>
              <w:pStyle w:val="30"/>
            </w:pPr>
            <w:bookmarkStart w:id="69" w:name="_Hlk185364752"/>
            <w:r>
              <w:t>取得排污许可证</w:t>
            </w:r>
            <w:bookmarkEnd w:id="69"/>
            <w:r>
              <w:t>的畜禽规模养殖场自行监测覆盖率</w:t>
            </w:r>
          </w:p>
        </w:tc>
        <w:tc>
          <w:tcPr>
            <w:tcW w:w="748" w:type="pct"/>
            <w:shd w:val="clear" w:color="auto" w:fill="auto"/>
            <w:vAlign w:val="center"/>
          </w:tcPr>
          <w:p>
            <w:pPr>
              <w:pStyle w:val="30"/>
            </w:pPr>
            <w:r>
              <w:t>——</w:t>
            </w:r>
          </w:p>
        </w:tc>
        <w:tc>
          <w:tcPr>
            <w:tcW w:w="748" w:type="pct"/>
            <w:shd w:val="clear" w:color="auto" w:fill="auto"/>
            <w:vAlign w:val="center"/>
          </w:tcPr>
          <w:p>
            <w:pPr>
              <w:pStyle w:val="30"/>
              <w:rPr>
                <w:rFonts w:eastAsia="宋体"/>
              </w:rPr>
            </w:pPr>
            <w:r>
              <w:t>100%</w:t>
            </w:r>
          </w:p>
        </w:tc>
        <w:tc>
          <w:tcPr>
            <w:tcW w:w="748" w:type="pct"/>
            <w:shd w:val="clear" w:color="auto" w:fill="auto"/>
            <w:vAlign w:val="center"/>
          </w:tcPr>
          <w:p>
            <w:pPr>
              <w:pStyle w:val="30"/>
              <w:rPr>
                <w:rFonts w:eastAsia="宋体"/>
              </w:rPr>
            </w:pPr>
            <w:r>
              <w:t>100%</w:t>
            </w:r>
          </w:p>
        </w:tc>
        <w:tc>
          <w:tcPr>
            <w:tcW w:w="750" w:type="pct"/>
            <w:shd w:val="clear" w:color="auto" w:fill="auto"/>
            <w:vAlign w:val="center"/>
          </w:tcPr>
          <w:p>
            <w:pPr>
              <w:pStyle w:val="30"/>
            </w:pPr>
            <w:r>
              <w:t>约束性</w:t>
            </w:r>
          </w:p>
        </w:tc>
      </w:tr>
      <w:bookmarkEnd w:id="68"/>
    </w:tbl>
    <w:p>
      <w:pPr>
        <w:spacing w:line="360" w:lineRule="exact"/>
        <w:ind w:firstLine="432"/>
        <w:rPr>
          <w:bCs/>
          <w:sz w:val="28"/>
          <w:szCs w:val="21"/>
        </w:rPr>
      </w:pPr>
      <w:bookmarkStart w:id="70" w:name="_Toc182410057"/>
      <w:bookmarkEnd w:id="70"/>
      <w:bookmarkStart w:id="71" w:name="_Toc180398823"/>
      <w:bookmarkStart w:id="72" w:name="_Toc7247"/>
      <w:bookmarkStart w:id="73" w:name="_Toc18227"/>
      <w:r>
        <w:rPr>
          <w:rFonts w:hint="eastAsia"/>
          <w:sz w:val="22"/>
          <w:szCs w:val="18"/>
        </w:rPr>
        <w:t>注：规划实施后，国家或省发布新的畜禽养殖污染防治指标或指标属性，从其新规定。</w:t>
      </w:r>
    </w:p>
    <w:p>
      <w:pPr>
        <w:pStyle w:val="29"/>
        <w:numPr>
          <w:ilvl w:val="0"/>
          <w:numId w:val="1"/>
        </w:numPr>
        <w:ind w:left="1350" w:firstLineChars="0"/>
        <w:outlineLvl w:val="0"/>
        <w:rPr>
          <w:rFonts w:eastAsia="黑体" w:cs="Times New Roman"/>
          <w:szCs w:val="32"/>
        </w:rPr>
      </w:pPr>
      <w:bookmarkStart w:id="74" w:name="_Toc28336"/>
      <w:r>
        <w:rPr>
          <w:rFonts w:eastAsia="黑体" w:cs="Times New Roman"/>
          <w:szCs w:val="32"/>
        </w:rPr>
        <w:t>主要任务</w:t>
      </w:r>
      <w:bookmarkEnd w:id="71"/>
      <w:bookmarkEnd w:id="72"/>
      <w:bookmarkEnd w:id="73"/>
      <w:bookmarkEnd w:id="74"/>
    </w:p>
    <w:p>
      <w:pPr>
        <w:pStyle w:val="3"/>
        <w:spacing w:before="0" w:beforeLines="0" w:after="0" w:afterLines="0"/>
        <w:ind w:left="632" w:firstLine="0" w:firstLineChars="0"/>
        <w:rPr>
          <w:rFonts w:cs="Times New Roman"/>
        </w:rPr>
      </w:pPr>
      <w:bookmarkStart w:id="75" w:name="_Toc180398824"/>
      <w:bookmarkStart w:id="76" w:name="_Toc6812"/>
      <w:r>
        <w:rPr>
          <w:rFonts w:hint="eastAsia" w:cs="Times New Roman"/>
        </w:rPr>
        <w:t>（一）</w:t>
      </w:r>
      <w:bookmarkEnd w:id="75"/>
      <w:r>
        <w:rPr>
          <w:rFonts w:hint="eastAsia" w:cs="Times New Roman"/>
        </w:rPr>
        <w:t>持续优化畜禽养殖空间布局</w:t>
      </w:r>
      <w:bookmarkEnd w:id="76"/>
    </w:p>
    <w:p>
      <w:pPr>
        <w:ind w:firstLine="632"/>
        <w:outlineLvl w:val="2"/>
        <w:rPr>
          <w:rFonts w:cs="Times New Roman"/>
          <w:szCs w:val="32"/>
        </w:rPr>
      </w:pPr>
      <w:bookmarkStart w:id="77" w:name="_Toc5434"/>
      <w:bookmarkStart w:id="78" w:name="_Toc1563203385"/>
      <w:r>
        <w:rPr>
          <w:rFonts w:cs="Times New Roman"/>
          <w:szCs w:val="32"/>
        </w:rPr>
        <w:t>1.</w:t>
      </w:r>
      <w:r>
        <w:rPr>
          <w:rFonts w:hint="eastAsia" w:cs="Times New Roman"/>
          <w:szCs w:val="32"/>
        </w:rPr>
        <w:t>优化畜禽养殖产业布局</w:t>
      </w:r>
      <w:bookmarkEnd w:id="77"/>
      <w:bookmarkEnd w:id="78"/>
    </w:p>
    <w:p>
      <w:pPr>
        <w:ind w:firstLine="632"/>
        <w:rPr>
          <w:rFonts w:eastAsia="方正楷体_GBK"/>
        </w:rPr>
      </w:pPr>
      <w:r>
        <w:rPr>
          <w:rFonts w:hint="eastAsia"/>
        </w:rPr>
        <w:t>根据“三线一单”生态环境分区管控要求，结合环境容量和土地承载能力，优化调整区域养殖数量、结构与资源环境匹配度，控制畜禽养殖总量，发展适度规模养殖，保持合理养殖密度，防范台城河公义、潭江牛湾等重点断面水质超标风险。统筹种养发展空间，推广“种养结合、生态循环”模式，鼓励畜禽规模养殖场发展规模种植基地，种养结合粪污定向消纳以各县（市、区）内部自我消纳为主，以种带养、以养促种，实现畜禽粪肥就近就地低成本还田利用。</w:t>
      </w:r>
    </w:p>
    <w:tbl>
      <w:tblPr>
        <w:tblStyle w:val="14"/>
        <w:tblW w:w="8960"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0" w:type="dxa"/>
          </w:tcPr>
          <w:p>
            <w:pPr>
              <w:ind w:firstLine="0" w:firstLineChars="0"/>
              <w:rPr>
                <w:rFonts w:eastAsia="黑体" w:cs="Times New Roman"/>
                <w:bCs/>
                <w:sz w:val="28"/>
                <w:szCs w:val="28"/>
              </w:rPr>
            </w:pPr>
            <w:bookmarkStart w:id="79" w:name="_Hlk182489227"/>
            <w:r>
              <w:rPr>
                <w:rFonts w:hint="eastAsia" w:eastAsia="黑体" w:cs="Times New Roman"/>
                <w:bCs/>
                <w:sz w:val="28"/>
                <w:szCs w:val="28"/>
              </w:rPr>
              <w:t>专栏</w:t>
            </w:r>
            <w:r>
              <w:rPr>
                <w:rFonts w:eastAsia="黑体" w:cs="Times New Roman"/>
                <w:bCs/>
                <w:sz w:val="28"/>
                <w:szCs w:val="28"/>
              </w:rPr>
              <w:t>1</w:t>
            </w:r>
            <w:r>
              <w:rPr>
                <w:rFonts w:hint="eastAsia" w:eastAsia="黑体" w:cs="Times New Roman"/>
                <w:bCs/>
                <w:sz w:val="28"/>
                <w:szCs w:val="28"/>
              </w:rPr>
              <w:t>：江门市畜牧业产业布局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0" w:type="dxa"/>
          </w:tcPr>
          <w:p>
            <w:pPr>
              <w:ind w:firstLine="552"/>
              <w:rPr>
                <w:rFonts w:cs="Times New Roman"/>
                <w:sz w:val="28"/>
                <w:szCs w:val="28"/>
              </w:rPr>
            </w:pPr>
            <w:r>
              <w:rPr>
                <w:rFonts w:hint="eastAsia" w:eastAsia="楷体_GB2312" w:cs="Times New Roman"/>
                <w:sz w:val="28"/>
                <w:szCs w:val="28"/>
              </w:rPr>
              <w:t>（一）生猪产业布局：</w:t>
            </w:r>
            <w:r>
              <w:rPr>
                <w:rFonts w:hint="eastAsia" w:cs="Times New Roman"/>
                <w:sz w:val="28"/>
                <w:szCs w:val="28"/>
              </w:rPr>
              <w:t>以新会区、台山市、开平市、鹤山市、恩平市为主发展生猪生态养殖，鼓励生猪规模养殖场</w:t>
            </w:r>
            <w:r>
              <w:rPr>
                <w:rFonts w:hint="eastAsia" w:cs="Times New Roman"/>
                <w:sz w:val="28"/>
                <w:szCs w:val="28"/>
                <w:lang w:eastAsia="zh-CN"/>
              </w:rPr>
              <w:t>提高绿色健康养殖水平</w:t>
            </w:r>
            <w:r>
              <w:rPr>
                <w:rFonts w:hint="eastAsia" w:cs="Times New Roman"/>
                <w:sz w:val="28"/>
                <w:szCs w:val="28"/>
              </w:rPr>
              <w:t>，引导基础条件差、技术水平低的养殖场（户）有序退出，新增生猪产能原则上以“楼房养殖”模式为主。</w:t>
            </w:r>
          </w:p>
          <w:p>
            <w:pPr>
              <w:ind w:firstLine="552"/>
              <w:rPr>
                <w:rFonts w:cs="Times New Roman"/>
                <w:sz w:val="28"/>
                <w:szCs w:val="28"/>
              </w:rPr>
            </w:pPr>
            <w:r>
              <w:rPr>
                <w:rFonts w:hint="eastAsia" w:eastAsia="楷体_GB2312" w:cs="Times New Roman"/>
                <w:sz w:val="28"/>
                <w:szCs w:val="28"/>
              </w:rPr>
              <w:t>（二）家禽产业布局：</w:t>
            </w:r>
            <w:r>
              <w:rPr>
                <w:rFonts w:hint="eastAsia" w:cs="Times New Roman"/>
                <w:sz w:val="28"/>
                <w:szCs w:val="28"/>
              </w:rPr>
              <w:t>台山市、开平市为主发展肉鸡产业，台山市、开平市为主发展肉鸭产业，新会区、开平市和台山市重点发展肉鹅产业，鼓励肉禽规模养殖场进行立体笼养和智能化养殖改造，推进标准化、规模化、生态化肉禽养殖基地建设。</w:t>
            </w:r>
          </w:p>
          <w:p>
            <w:pPr>
              <w:ind w:firstLine="552"/>
              <w:rPr>
                <w:rFonts w:eastAsia="楷体_GB2312" w:cs="Times New Roman"/>
                <w:sz w:val="28"/>
                <w:szCs w:val="28"/>
              </w:rPr>
            </w:pPr>
            <w:r>
              <w:rPr>
                <w:rFonts w:hint="eastAsia" w:eastAsia="楷体_GB2312" w:cs="Times New Roman"/>
                <w:sz w:val="28"/>
                <w:szCs w:val="28"/>
              </w:rPr>
              <w:t>（三）肉牛羊产业发展布局：</w:t>
            </w:r>
            <w:r>
              <w:rPr>
                <w:rFonts w:hint="eastAsia" w:cs="Times New Roman"/>
                <w:sz w:val="28"/>
                <w:szCs w:val="28"/>
              </w:rPr>
              <w:t>以鹤山市和恩平市为重点发展肉牛羊产业，支持适度规模养殖场进行标准化、智能化、信息化改造升级，引导规模以下养殖场（户）向专业化养殖场和种养结合家庭农场转变。</w:t>
            </w:r>
          </w:p>
        </w:tc>
      </w:tr>
      <w:bookmarkEnd w:id="79"/>
    </w:tbl>
    <w:p>
      <w:pPr>
        <w:ind w:firstLine="632"/>
        <w:outlineLvl w:val="2"/>
        <w:rPr>
          <w:rFonts w:cs="Times New Roman"/>
          <w:szCs w:val="32"/>
        </w:rPr>
      </w:pPr>
      <w:bookmarkStart w:id="80" w:name="_Toc1176795899"/>
      <w:bookmarkStart w:id="81" w:name="_Toc31836"/>
      <w:r>
        <w:rPr>
          <w:rFonts w:cs="Times New Roman"/>
          <w:szCs w:val="32"/>
        </w:rPr>
        <w:t>2.</w:t>
      </w:r>
      <w:r>
        <w:rPr>
          <w:rFonts w:hint="eastAsia" w:cs="Times New Roman"/>
          <w:szCs w:val="32"/>
        </w:rPr>
        <w:t>大力发展标准化规模养殖</w:t>
      </w:r>
    </w:p>
    <w:p>
      <w:pPr>
        <w:ind w:firstLine="632"/>
      </w:pPr>
      <w:r>
        <w:rPr>
          <w:rFonts w:hint="eastAsia"/>
        </w:rPr>
        <w:t>统筹合理利用现有土地资源，积极发展设施配套、管理先进、生产高效、产品安全、环境友好的生猪养殖，新增生猪产能原则上以“楼房养殖”模式为主，推动生猪养殖业向集约化、标准化、智能化方向发展。推动现有畜禽养殖场（户）加快转变养殖观念，持续优化养殖规模结构，深入开展畜禽养殖标准化示范创建，支持规模养殖场开展圈舍标准化改造、养殖工艺改进和设施设备升级。</w:t>
      </w:r>
      <w:bookmarkStart w:id="82" w:name="_Hlk186822437"/>
      <w:r>
        <w:rPr>
          <w:rFonts w:hint="eastAsia"/>
        </w:rPr>
        <w:t>到</w:t>
      </w:r>
      <w:r>
        <w:t>2025</w:t>
      </w:r>
      <w:r>
        <w:rPr>
          <w:rFonts w:hint="eastAsia"/>
        </w:rPr>
        <w:t>年，畜禽养殖规模化率不低于83</w:t>
      </w:r>
      <w:r>
        <w:t>%</w:t>
      </w:r>
      <w:r>
        <w:rPr>
          <w:rFonts w:hint="eastAsia"/>
        </w:rPr>
        <w:t>，到</w:t>
      </w:r>
      <w:r>
        <w:t>2030</w:t>
      </w:r>
      <w:r>
        <w:rPr>
          <w:rFonts w:hint="eastAsia"/>
        </w:rPr>
        <w:t>年提升至8</w:t>
      </w:r>
      <w:r>
        <w:t>5%</w:t>
      </w:r>
      <w:r>
        <w:rPr>
          <w:rFonts w:hint="eastAsia"/>
        </w:rPr>
        <w:t>以上。</w:t>
      </w:r>
      <w:bookmarkEnd w:id="82"/>
    </w:p>
    <w:p>
      <w:pPr>
        <w:ind w:firstLine="632"/>
        <w:outlineLvl w:val="2"/>
        <w:rPr>
          <w:rFonts w:cs="Times New Roman"/>
          <w:szCs w:val="32"/>
        </w:rPr>
      </w:pPr>
      <w:r>
        <w:rPr>
          <w:rFonts w:cs="Times New Roman"/>
          <w:szCs w:val="32"/>
        </w:rPr>
        <w:t>3.</w:t>
      </w:r>
      <w:r>
        <w:rPr>
          <w:rFonts w:hint="eastAsia" w:cs="Times New Roman"/>
          <w:szCs w:val="32"/>
        </w:rPr>
        <w:t>严格畜禽养殖禁养区管理</w:t>
      </w:r>
      <w:bookmarkEnd w:id="80"/>
    </w:p>
    <w:p>
      <w:pPr>
        <w:ind w:firstLine="632"/>
        <w:rPr>
          <w:rFonts w:eastAsia="方正楷体_GBK"/>
        </w:rPr>
      </w:pPr>
      <w:r>
        <w:rPr>
          <w:rFonts w:hint="eastAsia"/>
        </w:rPr>
        <w:t>严格落实畜禽养殖禁养区管理规定，依法规范畜禽禁养区划定和管理，禁止在饮用水水源保护区、风景名胜区、自然保护区的核心区和缓冲区、城镇居民区、文化教育科学研究区等人口集中区域和法律法规规定的其他禁止养殖区域等范围内建设畜禽养殖场（小区）。加强对禁养区内已关闭搬迁的畜禽养殖场（小区）的巡查和监管，组织</w:t>
      </w:r>
      <w:r>
        <w:rPr>
          <w:rFonts w:hint="eastAsia"/>
          <w:lang w:eastAsia="zh-CN"/>
        </w:rPr>
        <w:t>开展</w:t>
      </w:r>
      <w:r>
        <w:rPr>
          <w:rFonts w:hint="eastAsia"/>
        </w:rPr>
        <w:t>禁养区畜禽养殖排查整治专项行动，严防禁养区内畜禽养殖场（小区）“反弹”和“复养”现象发生。强化禁养区畜禽散养户监督管理，引导各村委会将畜禽散养管理纳入村规民约，保障农村人居环境干净、整洁、有序。</w:t>
      </w:r>
    </w:p>
    <w:p>
      <w:pPr>
        <w:ind w:firstLine="632"/>
        <w:outlineLvl w:val="2"/>
        <w:rPr>
          <w:rFonts w:cs="Times New Roman"/>
          <w:szCs w:val="32"/>
        </w:rPr>
      </w:pPr>
      <w:bookmarkStart w:id="83" w:name="_Toc600339217"/>
      <w:r>
        <w:rPr>
          <w:rFonts w:cs="Times New Roman"/>
          <w:szCs w:val="32"/>
        </w:rPr>
        <w:t>4.</w:t>
      </w:r>
      <w:r>
        <w:rPr>
          <w:rFonts w:hint="eastAsia" w:cs="Times New Roman"/>
          <w:szCs w:val="32"/>
        </w:rPr>
        <w:t>强化畜禽养殖分区管控</w:t>
      </w:r>
      <w:bookmarkEnd w:id="83"/>
      <w:r>
        <w:rPr>
          <w:rFonts w:cs="Times New Roman"/>
          <w:szCs w:val="32"/>
        </w:rPr>
        <w:tab/>
      </w:r>
    </w:p>
    <w:p>
      <w:pPr>
        <w:ind w:firstLine="632"/>
        <w:rPr>
          <w:rFonts w:eastAsia="方正楷体_GBK"/>
        </w:rPr>
      </w:pPr>
      <w:r>
        <w:rPr>
          <w:rFonts w:hint="eastAsia"/>
        </w:rPr>
        <w:t>根据</w:t>
      </w:r>
      <w:bookmarkStart w:id="84" w:name="_Hlk186732118"/>
      <w:r>
        <w:rPr>
          <w:rFonts w:hint="eastAsia"/>
        </w:rPr>
        <w:t>江门市畜禽养殖规模和密集程度、土地承载力和流域水质达标情况</w:t>
      </w:r>
      <w:bookmarkEnd w:id="84"/>
      <w:r>
        <w:rPr>
          <w:rFonts w:hint="eastAsia"/>
        </w:rPr>
        <w:t>等，将全市各县（市、区）分为重点防治类、一般管控类两种。</w:t>
      </w:r>
      <w:bookmarkStart w:id="85" w:name="_Hlk186823093"/>
      <w:bookmarkStart w:id="86" w:name="_Hlk185282889"/>
      <w:bookmarkStart w:id="87" w:name="_Hlk186876241"/>
      <w:r>
        <w:rPr>
          <w:rFonts w:hint="eastAsia"/>
        </w:rPr>
        <w:t>将</w:t>
      </w:r>
      <w:r>
        <w:t>实际养殖</w:t>
      </w:r>
      <w:r>
        <w:rPr>
          <w:rFonts w:hint="eastAsia"/>
        </w:rPr>
        <w:t>量（以猪当量计）高于畜禽粪污土地承载力（以N计）的地区（开平市）及年存栏</w:t>
      </w:r>
      <w:r>
        <w:t xml:space="preserve">40 </w:t>
      </w:r>
      <w:r>
        <w:rPr>
          <w:rFonts w:hint="eastAsia"/>
        </w:rPr>
        <w:t>万头以上（以猪当量计）的地区（台山市、恩平市、鹤山市、新会区）作为重点防治类，其他涉及畜牧业生产的地区（蓬江区、江海区）作为一般管控类。</w:t>
      </w:r>
      <w:bookmarkEnd w:id="85"/>
      <w:bookmarkEnd w:id="86"/>
      <w:bookmarkStart w:id="88" w:name="_Hlk186733183"/>
      <w:r>
        <w:rPr>
          <w:rFonts w:hint="eastAsia"/>
        </w:rPr>
        <w:t>重点防治类县（市、区）须于</w:t>
      </w:r>
      <w:r>
        <w:t>202</w:t>
      </w:r>
      <w:r>
        <w:rPr>
          <w:rFonts w:hint="eastAsia"/>
          <w:lang w:val="en-US" w:eastAsia="zh-CN"/>
        </w:rPr>
        <w:t>6</w:t>
      </w:r>
      <w:r>
        <w:rPr>
          <w:rFonts w:hint="eastAsia"/>
        </w:rPr>
        <w:t>年底前完成畜禽养殖污染防治规划编制，</w:t>
      </w:r>
      <w:bookmarkEnd w:id="81"/>
      <w:bookmarkEnd w:id="88"/>
      <w:r>
        <w:rPr>
          <w:rFonts w:hint="eastAsia"/>
        </w:rPr>
        <w:t>对于水环境容量不足、水质达标压力大的地区，应建立资源化利用与达标治理相结合的模式，其中生猪规模养殖场液体粪污经达标处理后宜排入山林等进一步消纳。</w:t>
      </w:r>
      <w:bookmarkStart w:id="89" w:name="_Hlk186823203"/>
      <w:bookmarkStart w:id="90" w:name="OLE_LINK7"/>
      <w:r>
        <w:t>一般管控类县（市、区）</w:t>
      </w:r>
      <w:r>
        <w:rPr>
          <w:rFonts w:hint="eastAsia"/>
        </w:rPr>
        <w:t>应</w:t>
      </w:r>
      <w:r>
        <w:t>严格推进畜禽养殖污染防治</w:t>
      </w:r>
      <w:r>
        <w:rPr>
          <w:rFonts w:hint="eastAsia"/>
        </w:rPr>
        <w:t>，</w:t>
      </w:r>
      <w:r>
        <w:t>加强粪肥还田管理，提高粪肥利用效率</w:t>
      </w:r>
      <w:bookmarkEnd w:id="89"/>
      <w:r>
        <w:rPr>
          <w:rFonts w:hint="eastAsia"/>
        </w:rPr>
        <w:t>。</w:t>
      </w:r>
      <w:bookmarkEnd w:id="87"/>
      <w:bookmarkEnd w:id="90"/>
    </w:p>
    <w:p>
      <w:pPr>
        <w:pStyle w:val="3"/>
        <w:spacing w:before="0" w:beforeLines="0" w:after="0" w:afterLines="0"/>
        <w:rPr>
          <w:rFonts w:cs="Times New Roman"/>
        </w:rPr>
      </w:pPr>
      <w:bookmarkStart w:id="91" w:name="_Toc3789"/>
      <w:bookmarkStart w:id="92" w:name="_Toc180398825"/>
      <w:bookmarkStart w:id="93" w:name="_Toc7794"/>
      <w:r>
        <w:rPr>
          <w:rFonts w:hint="eastAsia" w:cs="Times New Roman"/>
        </w:rPr>
        <w:t>（二）持续提升粪污资源化利用水平</w:t>
      </w:r>
      <w:bookmarkEnd w:id="91"/>
    </w:p>
    <w:p>
      <w:pPr>
        <w:ind w:firstLine="632"/>
        <w:outlineLvl w:val="2"/>
        <w:rPr>
          <w:rFonts w:cs="Times New Roman"/>
          <w:szCs w:val="32"/>
        </w:rPr>
      </w:pPr>
      <w:r>
        <w:rPr>
          <w:rFonts w:cs="Times New Roman"/>
          <w:szCs w:val="32"/>
        </w:rPr>
        <w:t>1.</w:t>
      </w:r>
      <w:r>
        <w:rPr>
          <w:rFonts w:hint="eastAsia" w:cs="Times New Roman"/>
          <w:szCs w:val="32"/>
        </w:rPr>
        <w:t>合理构建种养结合发展体系</w:t>
      </w:r>
    </w:p>
    <w:p>
      <w:pPr>
        <w:ind w:firstLine="632"/>
        <w:rPr>
          <w:rFonts w:cs="Times New Roman"/>
          <w:szCs w:val="32"/>
        </w:rPr>
      </w:pPr>
      <w:r>
        <w:rPr>
          <w:rFonts w:hint="eastAsia"/>
        </w:rPr>
        <w:t>坚持“就地消纳、综合利用、能量循环、变废为宝”原则，推进畜禽养殖业主、种植业主之间的有效联结，不断提升畜禽养殖与环境承载能力匹配度。在农业生产经营主体内部，积极推广“生猪</w:t>
      </w:r>
      <w:r>
        <w:t>-</w:t>
      </w:r>
      <w:r>
        <w:rPr>
          <w:rFonts w:hint="eastAsia"/>
        </w:rPr>
        <w:t>粪</w:t>
      </w:r>
      <w:r>
        <w:t>-</w:t>
      </w:r>
      <w:r>
        <w:rPr>
          <w:rFonts w:hint="eastAsia"/>
        </w:rPr>
        <w:t>作物”“牲禽（生猪除外）</w:t>
      </w:r>
      <w:r>
        <w:t>-</w:t>
      </w:r>
      <w:r>
        <w:rPr>
          <w:rFonts w:hint="eastAsia"/>
        </w:rPr>
        <w:t>沼</w:t>
      </w:r>
      <w:r>
        <w:t>-</w:t>
      </w:r>
      <w:r>
        <w:rPr>
          <w:rFonts w:hint="eastAsia"/>
        </w:rPr>
        <w:t>作物”</w:t>
      </w:r>
      <w:r>
        <w:t>自我消纳模式，实现种养配套、就地消纳；</w:t>
      </w:r>
      <w:r>
        <w:rPr>
          <w:rFonts w:hint="eastAsia"/>
        </w:rPr>
        <w:t>在镇街层面，通过完善畜禽粪污转运体系建设，打通粪污资源化利用渠道</w:t>
      </w:r>
      <w:r>
        <w:t>；立足</w:t>
      </w:r>
      <w:r>
        <w:rPr>
          <w:rFonts w:hint="eastAsia"/>
        </w:rPr>
        <w:t>县（市、区）</w:t>
      </w:r>
      <w:r>
        <w:t>域，</w:t>
      </w:r>
      <w:r>
        <w:rPr>
          <w:rFonts w:hint="eastAsia"/>
        </w:rPr>
        <w:t>鼓励采用“粪污收集</w:t>
      </w:r>
      <w:r>
        <w:t>-</w:t>
      </w:r>
      <w:r>
        <w:rPr>
          <w:rFonts w:hint="eastAsia"/>
        </w:rPr>
        <w:t>有机肥生产</w:t>
      </w:r>
      <w:r>
        <w:t>-</w:t>
      </w:r>
      <w:r>
        <w:rPr>
          <w:rFonts w:hint="eastAsia"/>
        </w:rPr>
        <w:t>种植业利用”模式，</w:t>
      </w:r>
      <w:r>
        <w:t>依托</w:t>
      </w:r>
      <w:r>
        <w:rPr>
          <w:rFonts w:hint="eastAsia"/>
        </w:rPr>
        <w:t>有机肥生产中心</w:t>
      </w:r>
      <w:r>
        <w:t>对</w:t>
      </w:r>
      <w:r>
        <w:rPr>
          <w:rFonts w:hint="eastAsia"/>
        </w:rPr>
        <w:t>本县（市、区）域规模养殖场实行畜禽粪污定期集中收集、处理，推动构建“县（市、区）域立体大循环、区域多向中循环和主体双向小循环”的种养结合生态循环体系。到</w:t>
      </w:r>
      <w:r>
        <w:t>2025</w:t>
      </w:r>
      <w:r>
        <w:rPr>
          <w:rFonts w:hint="eastAsia"/>
        </w:rPr>
        <w:t>年，全市畜禽粪污综合利用率达8</w:t>
      </w:r>
      <w:r>
        <w:t>0%</w:t>
      </w:r>
      <w:r>
        <w:rPr>
          <w:rFonts w:hint="eastAsia"/>
        </w:rPr>
        <w:t>以上</w:t>
      </w:r>
      <w:bookmarkStart w:id="94" w:name="_Hlk186203551"/>
      <w:r>
        <w:rPr>
          <w:rFonts w:hint="eastAsia"/>
        </w:rPr>
        <w:t>，到</w:t>
      </w:r>
      <w:r>
        <w:t>2030</w:t>
      </w:r>
      <w:r>
        <w:rPr>
          <w:rFonts w:hint="eastAsia"/>
        </w:rPr>
        <w:t>年提升至</w:t>
      </w:r>
      <w:r>
        <w:t>85%</w:t>
      </w:r>
      <w:r>
        <w:rPr>
          <w:rFonts w:hint="eastAsia"/>
        </w:rPr>
        <w:t>以上。</w:t>
      </w:r>
      <w:bookmarkEnd w:id="94"/>
    </w:p>
    <w:p>
      <w:pPr>
        <w:ind w:firstLine="632"/>
        <w:outlineLvl w:val="2"/>
        <w:rPr>
          <w:rFonts w:cs="Times New Roman"/>
          <w:szCs w:val="32"/>
        </w:rPr>
      </w:pPr>
      <w:r>
        <w:rPr>
          <w:rFonts w:cs="Times New Roman"/>
          <w:szCs w:val="32"/>
        </w:rPr>
        <w:t>2.</w:t>
      </w:r>
      <w:r>
        <w:t xml:space="preserve"> </w:t>
      </w:r>
      <w:r>
        <w:rPr>
          <w:rFonts w:hint="eastAsia" w:cs="Times New Roman"/>
          <w:szCs w:val="32"/>
        </w:rPr>
        <w:t>科学确定粪污资源化利用路径</w:t>
      </w:r>
    </w:p>
    <w:p>
      <w:pPr>
        <w:ind w:firstLine="632"/>
      </w:pPr>
      <w:r>
        <w:rPr>
          <w:rFonts w:hint="eastAsia"/>
        </w:rPr>
        <w:t>综合考虑江门市种养结合条件、畜禽养殖现状及发展趋势以及畜禽粪污土地承载力情况等，因地制宜、因场施策，科学确定粪污资源化利用路径。对于生猪规模养殖场，应配套液体粪污厌氧发酵和生化处理设施，经处理达到国家和省级最新排放标准后方可排放，固体粪污用于加工有机肥或经无害化处理达到《畜禽粪便无害化处理技术规范》要求后就近就地消纳利用，消纳土地应满足《畜禽粪污土地承载力测算技术指南》要求的最小面积。对于生猪除外的畜禽规模养殖场，鼓励粪污全量收集并通过堆沤肥、厌氧发酵等无害化处理后进行资源化利用，配套的消纳土地面积应满足《畜禽粪污土地承载力测算技术指南》要求，还田利用各环节应符合《畜禽粪便无害化处理技术规范》《畜禽粪便还田技术规范》《沼肥施用技术规范》等要求，如配套土地不足的，应委托第三方代为实现资源化利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4" w:type="dxa"/>
          </w:tcPr>
          <w:p>
            <w:pPr>
              <w:ind w:firstLine="0" w:firstLineChars="0"/>
              <w:rPr>
                <w:rFonts w:eastAsia="黑体" w:cs="Times New Roman"/>
                <w:bCs/>
                <w:sz w:val="28"/>
                <w:szCs w:val="28"/>
              </w:rPr>
            </w:pPr>
            <w:r>
              <w:rPr>
                <w:rFonts w:hint="eastAsia" w:eastAsia="黑体" w:cs="Times New Roman"/>
                <w:bCs/>
                <w:sz w:val="28"/>
                <w:szCs w:val="28"/>
              </w:rPr>
              <w:t>专栏</w:t>
            </w:r>
            <w:r>
              <w:rPr>
                <w:rFonts w:eastAsia="黑体" w:cs="Times New Roman"/>
                <w:bCs/>
                <w:sz w:val="28"/>
                <w:szCs w:val="28"/>
              </w:rPr>
              <w:t>2</w:t>
            </w:r>
            <w:r>
              <w:rPr>
                <w:rFonts w:hint="eastAsia" w:eastAsia="黑体" w:cs="Times New Roman"/>
                <w:bCs/>
                <w:sz w:val="28"/>
                <w:szCs w:val="28"/>
              </w:rPr>
              <w:t>：江门市畜禽粪污资源化利用主推模式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4" w:type="dxa"/>
          </w:tcPr>
          <w:p>
            <w:pPr>
              <w:pStyle w:val="30"/>
              <w:spacing w:line="360" w:lineRule="auto"/>
              <w:ind w:firstLine="472"/>
              <w:jc w:val="both"/>
              <w:rPr>
                <w:rFonts w:eastAsia="楷体_GB2312"/>
                <w:sz w:val="28"/>
                <w:szCs w:val="28"/>
              </w:rPr>
            </w:pPr>
            <w:r>
              <w:rPr>
                <w:rFonts w:hint="eastAsia" w:eastAsia="楷体_GB2312"/>
                <w:sz w:val="28"/>
                <w:szCs w:val="28"/>
              </w:rPr>
              <w:t>（</w:t>
            </w:r>
            <w:r>
              <w:rPr>
                <w:rFonts w:eastAsia="楷体_GB2312"/>
                <w:sz w:val="28"/>
                <w:szCs w:val="28"/>
              </w:rPr>
              <w:t>1</w:t>
            </w:r>
            <w:r>
              <w:rPr>
                <w:rFonts w:hint="eastAsia" w:eastAsia="楷体_GB2312"/>
                <w:sz w:val="28"/>
                <w:szCs w:val="28"/>
              </w:rPr>
              <w:t>）生猪</w:t>
            </w:r>
          </w:p>
          <w:p>
            <w:pPr>
              <w:pStyle w:val="30"/>
              <w:spacing w:line="360" w:lineRule="auto"/>
              <w:ind w:firstLine="472"/>
              <w:jc w:val="both"/>
              <w:rPr>
                <w:rFonts w:ascii="仿宋_GB2312"/>
                <w:sz w:val="28"/>
                <w:szCs w:val="28"/>
              </w:rPr>
            </w:pPr>
            <w:r>
              <mc:AlternateContent>
                <mc:Choice Requires="wps">
                  <w:drawing>
                    <wp:anchor distT="0" distB="0" distL="114300" distR="114300" simplePos="0" relativeHeight="251659264" behindDoc="0" locked="0" layoutInCell="1" allowOverlap="1">
                      <wp:simplePos x="0" y="0"/>
                      <wp:positionH relativeFrom="column">
                        <wp:posOffset>4650740</wp:posOffset>
                      </wp:positionH>
                      <wp:positionV relativeFrom="paragraph">
                        <wp:posOffset>627380</wp:posOffset>
                      </wp:positionV>
                      <wp:extent cx="805815" cy="201295"/>
                      <wp:effectExtent l="0" t="0" r="13970" b="27305"/>
                      <wp:wrapNone/>
                      <wp:docPr id="1154207736" name="矩形 5"/>
                      <wp:cNvGraphicFramePr/>
                      <a:graphic xmlns:a="http://schemas.openxmlformats.org/drawingml/2006/main">
                        <a:graphicData uri="http://schemas.microsoft.com/office/word/2010/wordprocessingShape">
                          <wps:wsp>
                            <wps:cNvSpPr/>
                            <wps:spPr>
                              <a:xfrm>
                                <a:off x="0" y="0"/>
                                <a:ext cx="805542" cy="2013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 o:spid="_x0000_s1026" o:spt="1" style="position:absolute;left:0pt;margin-left:366.2pt;margin-top:49.4pt;height:15.85pt;width:63.45pt;z-index:251659264;v-text-anchor:middle;mso-width-relative:page;mso-height-relative:page;" fillcolor="#FFFFFF [3212]" filled="t" stroked="t" coordsize="21600,21600" o:gfxdata="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">
                      <v:fill on="t" focussize="0,0"/>
                      <v:stroke weight="1pt" color="#FFFFFF [3212]" miterlimit="8" joinstyle="miter"/>
                      <v:imagedata o:title=""/>
                      <o:lock v:ext="edit" aspectratio="f"/>
                    </v:rect>
                  </w:pict>
                </mc:Fallback>
              </mc:AlternateContent>
            </w:r>
            <w:r>
              <w:drawing>
                <wp:inline distT="0" distB="0" distL="0" distR="0">
                  <wp:extent cx="5201285" cy="848995"/>
                  <wp:effectExtent l="0" t="0" r="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
                          <a:stretch>
                            <a:fillRect/>
                          </a:stretch>
                        </pic:blipFill>
                        <pic:spPr>
                          <a:xfrm>
                            <a:off x="0" y="0"/>
                            <a:ext cx="5242203" cy="855918"/>
                          </a:xfrm>
                          <a:prstGeom prst="rect">
                            <a:avLst/>
                          </a:prstGeom>
                        </pic:spPr>
                      </pic:pic>
                    </a:graphicData>
                  </a:graphic>
                </wp:inline>
              </w:drawing>
            </w:r>
          </w:p>
          <w:p>
            <w:pPr>
              <w:pStyle w:val="30"/>
              <w:spacing w:line="360" w:lineRule="auto"/>
              <w:ind w:firstLine="472"/>
              <w:jc w:val="both"/>
              <w:rPr>
                <w:rFonts w:ascii="仿宋_GB2312"/>
                <w:sz w:val="28"/>
                <w:szCs w:val="28"/>
              </w:rPr>
            </w:pPr>
            <w:r>
              <mc:AlternateContent>
                <mc:Choice Requires="wps">
                  <w:drawing>
                    <wp:anchor distT="0" distB="0" distL="114300" distR="114300" simplePos="0" relativeHeight="251660288" behindDoc="0" locked="0" layoutInCell="1" allowOverlap="1">
                      <wp:simplePos x="0" y="0"/>
                      <wp:positionH relativeFrom="column">
                        <wp:posOffset>4743450</wp:posOffset>
                      </wp:positionH>
                      <wp:positionV relativeFrom="paragraph">
                        <wp:posOffset>662305</wp:posOffset>
                      </wp:positionV>
                      <wp:extent cx="783590" cy="201295"/>
                      <wp:effectExtent l="0" t="0" r="17145" b="27305"/>
                      <wp:wrapNone/>
                      <wp:docPr id="1502418791" name="矩形 5"/>
                      <wp:cNvGraphicFramePr/>
                      <a:graphic xmlns:a="http://schemas.openxmlformats.org/drawingml/2006/main">
                        <a:graphicData uri="http://schemas.microsoft.com/office/word/2010/wordprocessingShape">
                          <wps:wsp>
                            <wps:cNvSpPr/>
                            <wps:spPr>
                              <a:xfrm>
                                <a:off x="0" y="0"/>
                                <a:ext cx="783409" cy="2013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 o:spid="_x0000_s1026" o:spt="1" style="position:absolute;left:0pt;margin-left:373.5pt;margin-top:52.15pt;height:15.85pt;width:61.7pt;z-index:251660288;v-text-anchor:middle;mso-width-relative:page;mso-height-relative:page;" fillcolor="#FFFFFF [3212]" filled="t" stroked="t" coordsize="21600,21600" o:gfxdata="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">
                      <v:fill on="t" focussize="0,0"/>
                      <v:stroke weight="1pt" color="#FFFFFF [3212]" miterlimit="8" joinstyle="miter"/>
                      <v:imagedata o:title=""/>
                      <o:lock v:ext="edit" aspectratio="f"/>
                    </v:rect>
                  </w:pict>
                </mc:Fallback>
              </mc:AlternateContent>
            </w:r>
            <w:r>
              <w:drawing>
                <wp:inline distT="0" distB="0" distL="0" distR="0">
                  <wp:extent cx="5201285" cy="86423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a:stretch>
                            <a:fillRect/>
                          </a:stretch>
                        </pic:blipFill>
                        <pic:spPr>
                          <a:xfrm>
                            <a:off x="0" y="0"/>
                            <a:ext cx="5224811" cy="868438"/>
                          </a:xfrm>
                          <a:prstGeom prst="rect">
                            <a:avLst/>
                          </a:prstGeom>
                        </pic:spPr>
                      </pic:pic>
                    </a:graphicData>
                  </a:graphic>
                </wp:inline>
              </w:drawing>
            </w:r>
          </w:p>
          <w:p>
            <w:pPr>
              <w:pStyle w:val="30"/>
              <w:spacing w:line="360" w:lineRule="auto"/>
              <w:ind w:firstLine="472"/>
              <w:jc w:val="both"/>
              <w:rPr>
                <w:rFonts w:eastAsia="楷体_GB2312"/>
                <w:sz w:val="28"/>
                <w:szCs w:val="28"/>
              </w:rPr>
            </w:pPr>
            <w:r>
              <w:rPr>
                <w:rFonts w:hint="eastAsia" w:eastAsia="楷体_GB2312"/>
                <w:sz w:val="28"/>
                <w:szCs w:val="28"/>
              </w:rPr>
              <w:t>（</w:t>
            </w:r>
            <w:r>
              <w:rPr>
                <w:rFonts w:eastAsia="楷体_GB2312"/>
                <w:sz w:val="28"/>
                <w:szCs w:val="28"/>
              </w:rPr>
              <w:t>2</w:t>
            </w:r>
            <w:r>
              <w:rPr>
                <w:rFonts w:hint="eastAsia" w:eastAsia="楷体_GB2312"/>
                <w:sz w:val="28"/>
                <w:szCs w:val="28"/>
              </w:rPr>
              <w:t>）肉牛和羊</w:t>
            </w:r>
          </w:p>
          <w:p>
            <w:pPr>
              <w:pStyle w:val="30"/>
              <w:spacing w:line="360" w:lineRule="auto"/>
              <w:ind w:firstLine="472"/>
              <w:jc w:val="both"/>
              <w:rPr>
                <w:rFonts w:hint="eastAsia" w:ascii="仿宋_GB2312"/>
                <w:sz w:val="28"/>
                <w:szCs w:val="28"/>
              </w:rPr>
            </w:pPr>
            <w:r>
              <w:rPr>
                <w:rFonts w:hint="eastAsia" w:ascii="仿宋_GB2312"/>
                <w:sz w:val="28"/>
                <w:szCs w:val="28"/>
              </w:rPr>
              <w:t>①干清粪→固体堆沤肥后还田利用或加工商品有机肥</w:t>
            </w:r>
            <w:r>
              <w:rPr>
                <w:rFonts w:ascii="仿宋_GB2312"/>
                <w:sz w:val="28"/>
                <w:szCs w:val="28"/>
              </w:rPr>
              <w:t>/</w:t>
            </w:r>
            <w:r>
              <w:rPr>
                <w:rFonts w:hint="eastAsia" w:ascii="仿宋_GB2312"/>
                <w:sz w:val="28"/>
                <w:szCs w:val="28"/>
              </w:rPr>
              <w:t>液体密闭贮存发酵后农田利用；</w:t>
            </w:r>
          </w:p>
          <w:p>
            <w:pPr>
              <w:pStyle w:val="30"/>
              <w:spacing w:line="360" w:lineRule="auto"/>
              <w:ind w:firstLine="0"/>
              <w:jc w:val="right"/>
              <w:rPr>
                <w:rFonts w:hint="eastAsia" w:ascii="仿宋_GB2312" w:eastAsia="仿宋_GB2312"/>
                <w:sz w:val="28"/>
                <w:szCs w:val="28"/>
                <w:lang w:eastAsia="zh-CN"/>
              </w:rPr>
            </w:pPr>
            <w:r>
              <w:rPr>
                <w:rFonts w:hint="eastAsia" w:ascii="仿宋_GB2312" w:eastAsia="仿宋_GB2312"/>
                <w:sz w:val="28"/>
                <w:szCs w:val="28"/>
                <w:lang w:eastAsia="zh-CN"/>
              </w:rPr>
              <w:drawing>
                <wp:inline distT="0" distB="0" distL="114300" distR="114300">
                  <wp:extent cx="5258435" cy="901700"/>
                  <wp:effectExtent l="0" t="0" r="18415" b="12700"/>
                  <wp:docPr id="13" name="图片 13" descr="微信图片_2025-09-02_171703_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25-09-02_171703_108"/>
                          <pic:cNvPicPr>
                            <a:picLocks noChangeAspect="1"/>
                          </pic:cNvPicPr>
                        </pic:nvPicPr>
                        <pic:blipFill>
                          <a:blip r:embed="rId13"/>
                          <a:stretch>
                            <a:fillRect/>
                          </a:stretch>
                        </pic:blipFill>
                        <pic:spPr>
                          <a:xfrm>
                            <a:off x="0" y="0"/>
                            <a:ext cx="5258435" cy="901700"/>
                          </a:xfrm>
                          <a:prstGeom prst="rect">
                            <a:avLst/>
                          </a:prstGeom>
                        </pic:spPr>
                      </pic:pic>
                    </a:graphicData>
                  </a:graphic>
                </wp:inline>
              </w:drawing>
            </w:r>
          </w:p>
          <w:p>
            <w:pPr>
              <w:pStyle w:val="30"/>
              <w:spacing w:line="360" w:lineRule="auto"/>
              <w:ind w:firstLine="472"/>
              <w:jc w:val="both"/>
              <w:rPr>
                <w:rFonts w:hint="eastAsia" w:ascii="仿宋_GB2312"/>
                <w:sz w:val="28"/>
                <w:szCs w:val="28"/>
              </w:rPr>
            </w:pPr>
            <w:r>
              <w:rPr>
                <w:rFonts w:hint="eastAsia" w:ascii="仿宋_GB2312"/>
                <w:sz w:val="28"/>
                <w:szCs w:val="28"/>
                <w:lang w:eastAsia="zh-CN"/>
              </w:rPr>
              <w:t>③</w:t>
            </w:r>
            <w:r>
              <w:rPr>
                <w:rFonts w:hint="eastAsia" w:ascii="仿宋_GB2312"/>
                <w:sz w:val="28"/>
                <w:szCs w:val="28"/>
              </w:rPr>
              <w:t>垫料养殖→堆沤肥后还田利用或加工商品有机肥。</w:t>
            </w:r>
          </w:p>
          <w:p>
            <w:pPr>
              <w:pStyle w:val="30"/>
              <w:spacing w:line="360" w:lineRule="auto"/>
              <w:ind w:firstLine="472"/>
              <w:jc w:val="both"/>
              <w:rPr>
                <w:rFonts w:eastAsia="楷体_GB2312"/>
                <w:sz w:val="28"/>
                <w:szCs w:val="28"/>
              </w:rPr>
            </w:pPr>
            <w:r>
              <w:rPr>
                <w:rFonts w:hint="eastAsia" w:eastAsia="楷体_GB2312"/>
                <w:sz w:val="28"/>
                <w:szCs w:val="28"/>
              </w:rPr>
              <w:t>（</w:t>
            </w:r>
            <w:r>
              <w:rPr>
                <w:rFonts w:eastAsia="楷体_GB2312"/>
                <w:sz w:val="28"/>
                <w:szCs w:val="28"/>
              </w:rPr>
              <w:t>3</w:t>
            </w:r>
            <w:r>
              <w:rPr>
                <w:rFonts w:hint="eastAsia" w:eastAsia="楷体_GB2312"/>
                <w:sz w:val="28"/>
                <w:szCs w:val="28"/>
              </w:rPr>
              <w:t>）蛋鸡和肉鸡</w:t>
            </w:r>
          </w:p>
          <w:p>
            <w:pPr>
              <w:pStyle w:val="30"/>
              <w:spacing w:line="360" w:lineRule="auto"/>
              <w:ind w:firstLine="472"/>
              <w:jc w:val="both"/>
              <w:rPr>
                <w:rFonts w:ascii="仿宋_GB2312"/>
                <w:sz w:val="28"/>
                <w:szCs w:val="28"/>
              </w:rPr>
            </w:pPr>
            <w:r>
              <w:rPr>
                <w:rFonts w:hint="eastAsia" w:ascii="仿宋_GB2312"/>
                <w:sz w:val="28"/>
                <w:szCs w:val="28"/>
              </w:rPr>
              <w:t>①传送带清粪→固体堆沤肥后还田利用或加工商品有机肥</w:t>
            </w:r>
            <w:r>
              <w:rPr>
                <w:rFonts w:ascii="仿宋_GB2312"/>
                <w:sz w:val="28"/>
                <w:szCs w:val="28"/>
              </w:rPr>
              <w:t>/</w:t>
            </w:r>
            <w:r>
              <w:rPr>
                <w:rFonts w:hint="eastAsia" w:ascii="仿宋_GB2312"/>
                <w:sz w:val="28"/>
                <w:szCs w:val="28"/>
              </w:rPr>
              <w:t>液体密闭贮存发酵后还田利用；</w:t>
            </w:r>
          </w:p>
          <w:p>
            <w:pPr>
              <w:pStyle w:val="30"/>
              <w:spacing w:line="360" w:lineRule="auto"/>
              <w:ind w:firstLine="472"/>
              <w:jc w:val="both"/>
              <w:rPr>
                <w:rFonts w:ascii="仿宋_GB2312"/>
                <w:sz w:val="28"/>
                <w:szCs w:val="28"/>
              </w:rPr>
            </w:pPr>
            <w:r>
              <w:rPr>
                <w:rFonts w:hint="eastAsia" w:ascii="仿宋_GB2312"/>
                <w:sz w:val="28"/>
                <w:szCs w:val="28"/>
              </w:rPr>
              <w:t>②刮粪板清粪→固体堆沤肥后还田利用或加工商品有机肥</w:t>
            </w:r>
            <w:r>
              <w:rPr>
                <w:rFonts w:ascii="仿宋_GB2312"/>
                <w:sz w:val="28"/>
                <w:szCs w:val="28"/>
              </w:rPr>
              <w:t>/</w:t>
            </w:r>
            <w:r>
              <w:rPr>
                <w:rFonts w:hint="eastAsia" w:ascii="仿宋_GB2312"/>
                <w:sz w:val="28"/>
                <w:szCs w:val="28"/>
              </w:rPr>
              <w:t>液体密闭贮存发酵后还田利用。</w:t>
            </w:r>
          </w:p>
          <w:p>
            <w:pPr>
              <w:pStyle w:val="30"/>
              <w:spacing w:line="360" w:lineRule="auto"/>
              <w:ind w:firstLine="472"/>
              <w:jc w:val="both"/>
              <w:rPr>
                <w:rFonts w:eastAsia="楷体_GB2312"/>
                <w:sz w:val="28"/>
                <w:szCs w:val="28"/>
              </w:rPr>
            </w:pPr>
            <w:r>
              <w:rPr>
                <w:rFonts w:hint="eastAsia" w:eastAsia="楷体_GB2312"/>
                <w:sz w:val="28"/>
                <w:szCs w:val="28"/>
              </w:rPr>
              <w:t>（</w:t>
            </w:r>
            <w:r>
              <w:rPr>
                <w:rFonts w:eastAsia="楷体_GB2312"/>
                <w:sz w:val="28"/>
                <w:szCs w:val="28"/>
              </w:rPr>
              <w:t>4</w:t>
            </w:r>
            <w:r>
              <w:rPr>
                <w:rFonts w:hint="eastAsia" w:eastAsia="楷体_GB2312"/>
                <w:sz w:val="28"/>
                <w:szCs w:val="28"/>
              </w:rPr>
              <w:t>）水禽</w:t>
            </w:r>
          </w:p>
          <w:p>
            <w:pPr>
              <w:pStyle w:val="30"/>
              <w:spacing w:line="360" w:lineRule="auto"/>
              <w:ind w:firstLine="552" w:firstLineChars="200"/>
              <w:jc w:val="left"/>
              <w:rPr>
                <w:rFonts w:ascii="仿宋_GB2312"/>
                <w:sz w:val="28"/>
                <w:szCs w:val="28"/>
              </w:rPr>
            </w:pPr>
            <w:r>
              <w:rPr>
                <w:rFonts w:hint="eastAsia" w:ascii="仿宋_GB2312"/>
                <w:sz w:val="28"/>
                <w:szCs w:val="28"/>
              </w:rPr>
              <w:t>①网床→出栏一次性清粪→固液分离→固体堆沤肥后还田利用</w:t>
            </w:r>
            <w:r>
              <w:rPr>
                <w:rFonts w:ascii="仿宋_GB2312"/>
                <w:sz w:val="28"/>
                <w:szCs w:val="28"/>
              </w:rPr>
              <w:t>/</w:t>
            </w:r>
            <w:r>
              <w:rPr>
                <w:rFonts w:hint="eastAsia" w:ascii="仿宋_GB2312"/>
                <w:sz w:val="28"/>
                <w:szCs w:val="28"/>
              </w:rPr>
              <w:t>液体密闭贮存发酵后还田利用；</w:t>
            </w:r>
          </w:p>
          <w:p>
            <w:pPr>
              <w:pStyle w:val="30"/>
              <w:spacing w:line="360" w:lineRule="auto"/>
              <w:ind w:firstLine="552" w:firstLineChars="200"/>
              <w:jc w:val="left"/>
              <w:rPr>
                <w:sz w:val="28"/>
                <w:szCs w:val="28"/>
              </w:rPr>
            </w:pPr>
            <w:r>
              <w:rPr>
                <w:rFonts w:hint="eastAsia" w:ascii="仿宋_GB2312"/>
                <w:sz w:val="28"/>
                <w:szCs w:val="28"/>
              </w:rPr>
              <w:t>②网床→固体堆沤肥后还田利用或一次性出售</w:t>
            </w:r>
            <w:r>
              <w:rPr>
                <w:rFonts w:ascii="仿宋_GB2312"/>
                <w:sz w:val="28"/>
                <w:szCs w:val="28"/>
              </w:rPr>
              <w:t>/</w:t>
            </w:r>
            <w:r>
              <w:rPr>
                <w:rFonts w:hint="eastAsia" w:ascii="仿宋_GB2312"/>
                <w:sz w:val="28"/>
                <w:szCs w:val="28"/>
              </w:rPr>
              <w:t>液体密闭贮存发酵后还田利用。</w:t>
            </w:r>
          </w:p>
        </w:tc>
      </w:tr>
    </w:tbl>
    <w:p>
      <w:pPr>
        <w:ind w:firstLine="632"/>
        <w:outlineLvl w:val="2"/>
        <w:rPr>
          <w:rFonts w:cs="Times New Roman"/>
          <w:szCs w:val="32"/>
        </w:rPr>
      </w:pPr>
      <w:r>
        <w:rPr>
          <w:rFonts w:cs="Times New Roman"/>
          <w:szCs w:val="32"/>
        </w:rPr>
        <w:t>3.</w:t>
      </w:r>
      <w:r>
        <w:rPr>
          <w:rFonts w:hint="eastAsia" w:cs="Times New Roman"/>
          <w:szCs w:val="32"/>
        </w:rPr>
        <w:t>拓宽粪污资源化利用渠道</w:t>
      </w:r>
    </w:p>
    <w:p>
      <w:pPr>
        <w:ind w:firstLine="634"/>
        <w:rPr>
          <w:rFonts w:eastAsia="方正楷体_GBK"/>
        </w:rPr>
      </w:pPr>
      <w:r>
        <w:rPr>
          <w:rFonts w:hint="eastAsia"/>
          <w:b/>
          <w:bCs/>
        </w:rPr>
        <w:t>一是</w:t>
      </w:r>
      <w:r>
        <w:rPr>
          <w:rFonts w:hint="eastAsia"/>
        </w:rPr>
        <w:t>巩固开平市、鹤山市畜禽粪污资源化利用整县推进项目成效，充分利用现有区域性粪污集中处理中心，积极培育扶持一批具有竞争力的企业、专业化服务组织等市场主体提供粪肥收集、处理、施用等全链条服务。鼓励建立“污染者付费</w:t>
      </w:r>
      <w:r>
        <w:t>+</w:t>
      </w:r>
      <w:r>
        <w:rPr>
          <w:rFonts w:hint="eastAsia"/>
        </w:rPr>
        <w:t>第三方治理”机制，保障第三方服务机构的合理收益。</w:t>
      </w:r>
      <w:r>
        <w:rPr>
          <w:rFonts w:hint="eastAsia"/>
          <w:b/>
          <w:bCs/>
        </w:rPr>
        <w:t>二是</w:t>
      </w:r>
      <w:r>
        <w:rPr>
          <w:rFonts w:hint="eastAsia"/>
        </w:rPr>
        <w:t>大力推广工厂化堆肥处理技术和商品化有机肥生产模式，鼓励大型规模养殖场进行畜禽粪便有机肥生产加工；推动恩平市完善畜禽粪污转运及有机肥生产中心建设，对本辖区内畜禽粪污进行集中收集、处理。</w:t>
      </w:r>
      <w:r>
        <w:rPr>
          <w:rFonts w:hint="eastAsia"/>
          <w:b/>
          <w:bCs/>
        </w:rPr>
        <w:t>三是</w:t>
      </w:r>
      <w:bookmarkStart w:id="95" w:name="_Hlk182490858"/>
      <w:r>
        <w:rPr>
          <w:rFonts w:hint="eastAsia"/>
        </w:rPr>
        <w:t>充分发挥陈皮、高端丝苗米、茶叶、马铃薯等特色品种和反季节蔬菜种植优势，积极推进种养结合农牧循环试点示范，鼓励种植大户、合作社、家庭农场配套建设田间贮存池、输送管网、喷灌滴灌等设施，推动江门市蔬菜瓜果等基地和养殖配套的有效衔接，实现种养结合发展。到</w:t>
      </w:r>
      <w:r>
        <w:t xml:space="preserve"> 2030</w:t>
      </w:r>
      <w:r>
        <w:rPr>
          <w:rFonts w:hint="eastAsia"/>
        </w:rPr>
        <w:t>年，全市建设4个以上种养结合农牧循环示范基地。</w:t>
      </w:r>
      <w:bookmarkEnd w:id="95"/>
    </w:p>
    <w:p>
      <w:pPr>
        <w:ind w:firstLine="632"/>
        <w:outlineLvl w:val="2"/>
        <w:rPr>
          <w:rFonts w:cs="Times New Roman"/>
          <w:szCs w:val="32"/>
        </w:rPr>
      </w:pPr>
      <w:r>
        <w:rPr>
          <w:rFonts w:hint="eastAsia" w:cs="Times New Roman"/>
          <w:szCs w:val="32"/>
        </w:rPr>
        <w:t>4</w:t>
      </w:r>
      <w:r>
        <w:rPr>
          <w:rFonts w:cs="Times New Roman"/>
          <w:szCs w:val="32"/>
        </w:rPr>
        <w:t>.</w:t>
      </w:r>
      <w:r>
        <w:rPr>
          <w:rFonts w:hint="eastAsia" w:cs="Times New Roman"/>
          <w:szCs w:val="32"/>
        </w:rPr>
        <w:t>加强粪污资源化利用过程管理</w:t>
      </w:r>
    </w:p>
    <w:p>
      <w:pPr>
        <w:ind w:firstLine="632"/>
      </w:pPr>
      <w:bookmarkStart w:id="96" w:name="_Hlk186823398"/>
      <w:r>
        <w:rPr>
          <w:rFonts w:hint="eastAsia"/>
        </w:rPr>
        <w:t>各畜禽规模养殖场应按照“一场一档”要求，建立完善粪污资源化利用台账制度，确保畜禽粪污去向可追溯、可核查；第三方服务机构须及时记录和更新有关信息，确保台账内容真实、准确、完整；配套土地面积不足、无法就近就地还田的畜禽规模养殖场，须委托第三方机构或外销给种植户、家庭农场等代为资源化利用，双方签订粪污委托处理（购销）协议或合同</w:t>
      </w:r>
      <w:r>
        <w:rPr>
          <w:rFonts w:hint="eastAsia"/>
          <w:lang w:eastAsia="zh-CN"/>
        </w:rPr>
        <w:t>为宜</w:t>
      </w:r>
      <w:r>
        <w:rPr>
          <w:rFonts w:hint="eastAsia"/>
        </w:rPr>
        <w:t>，并建立粪污转运台账；采用其他粪污处理方式的畜禽规模养殖场，需实时记录粪污利用情况，确保数据完整、准确。鼓励规模以下畜禽养殖场（户）建立畜禽粪污资源化利用计划和台账管理制度。加大对全市畜禽规模养殖场粪污资源化利用计划备案和台账建立情况的抽查检查力度，每年抽查比例不低于</w:t>
      </w:r>
      <w:r>
        <w:t>10%</w:t>
      </w:r>
      <w:r>
        <w:rPr>
          <w:rFonts w:hint="eastAsia"/>
        </w:rPr>
        <w:t>。</w:t>
      </w:r>
      <w:r>
        <w:t>鼓励规模养殖场实施畜禽粪污养分平衡管理，防范粪肥还田风险。</w:t>
      </w:r>
      <w:r>
        <w:rPr>
          <w:rFonts w:hint="eastAsia"/>
        </w:rPr>
        <w:t>到202</w:t>
      </w:r>
      <w:r>
        <w:t>5</w:t>
      </w:r>
      <w:r>
        <w:rPr>
          <w:rFonts w:hint="eastAsia"/>
        </w:rPr>
        <w:t>年全市畜禽规模养殖场粪污资源化利用计划备案率、畜禽规模养殖场粪污资源化利用台账建立率均达到</w:t>
      </w:r>
      <w:r>
        <w:t>9</w:t>
      </w:r>
      <w:r>
        <w:rPr>
          <w:rFonts w:hint="eastAsia"/>
        </w:rPr>
        <w:t>0%以上，到</w:t>
      </w:r>
      <w:r>
        <w:t>20</w:t>
      </w:r>
      <w:r>
        <w:rPr>
          <w:rFonts w:hint="eastAsia"/>
        </w:rPr>
        <w:t>30年均提升至95</w:t>
      </w:r>
      <w:r>
        <w:t>%</w:t>
      </w:r>
      <w:r>
        <w:rPr>
          <w:rFonts w:hint="eastAsia"/>
        </w:rPr>
        <w:t>以上。</w:t>
      </w:r>
      <w:bookmarkEnd w:id="96"/>
    </w:p>
    <w:p>
      <w:pPr>
        <w:pStyle w:val="3"/>
        <w:spacing w:before="0" w:beforeLines="0" w:after="0" w:afterLines="0"/>
        <w:ind w:firstLine="632"/>
        <w:rPr>
          <w:rFonts w:cs="Times New Roman"/>
        </w:rPr>
      </w:pPr>
      <w:bookmarkStart w:id="97" w:name="_Toc26127"/>
      <w:r>
        <w:rPr>
          <w:rFonts w:hint="eastAsia" w:cs="Times New Roman"/>
        </w:rPr>
        <w:t>（三）扎实推进畜禽养殖污染防治</w:t>
      </w:r>
      <w:bookmarkEnd w:id="97"/>
    </w:p>
    <w:p>
      <w:pPr>
        <w:ind w:firstLine="632"/>
        <w:outlineLvl w:val="2"/>
        <w:rPr>
          <w:rFonts w:cs="Times New Roman"/>
          <w:szCs w:val="32"/>
        </w:rPr>
      </w:pPr>
      <w:r>
        <w:rPr>
          <w:rFonts w:cs="Times New Roman"/>
          <w:szCs w:val="32"/>
        </w:rPr>
        <w:t>1.</w:t>
      </w:r>
      <w:r>
        <w:rPr>
          <w:rFonts w:hint="eastAsia" w:cs="Times New Roman"/>
          <w:szCs w:val="32"/>
        </w:rPr>
        <w:t>加强畜禽粪污源头减量管理</w:t>
      </w:r>
    </w:p>
    <w:p>
      <w:pPr>
        <w:ind w:firstLine="634"/>
      </w:pPr>
      <w:r>
        <w:rPr>
          <w:rFonts w:hint="eastAsia"/>
          <w:b/>
          <w:bCs/>
        </w:rPr>
        <w:t>一是</w:t>
      </w:r>
      <w:r>
        <w:rPr>
          <w:rFonts w:hint="eastAsia"/>
        </w:rPr>
        <w:t>加强畜禽投入品管理。严格执行《饲料添加剂安全使用规范》等国家和地方有关规定，科学、规范使用饲料添加剂，加大饲料中药物监测力度，严厉打击违法添加行为。大力推广使用微生物制剂、酶制剂等绿色、安全、高效新型饲料添加剂，提升饲料转化效率。</w:t>
      </w:r>
      <w:r>
        <w:t>推广畜禽养殖科学配置低蛋白日粮技术，</w:t>
      </w:r>
      <w:r>
        <w:rPr>
          <w:rFonts w:hint="eastAsia"/>
        </w:rPr>
        <w:t>降低畜禽养殖氮磷排泄量。</w:t>
      </w:r>
    </w:p>
    <w:p>
      <w:pPr>
        <w:ind w:firstLine="634"/>
      </w:pPr>
      <w:r>
        <w:rPr>
          <w:rFonts w:hint="eastAsia"/>
          <w:b/>
          <w:bCs/>
        </w:rPr>
        <w:t>二是</w:t>
      </w:r>
      <w:r>
        <w:rPr>
          <w:rFonts w:hint="eastAsia"/>
        </w:rPr>
        <w:t>强化畜禽生产管理。</w:t>
      </w:r>
      <w:bookmarkStart w:id="98" w:name="_Hlk182490943"/>
      <w:r>
        <w:t>加强用水管理，需要取用水的畜禽规模养殖场，应依法办理取水许可手续。</w:t>
      </w:r>
      <w:r>
        <w:rPr>
          <w:rFonts w:hint="eastAsia"/>
        </w:rPr>
        <w:t>推进节水控水设施设备升级改造，鼓励采用碗式或液位控制等防溢漏饮水设备。优化清粪方式，</w:t>
      </w:r>
      <w:r>
        <w:rPr>
          <w:rFonts w:hint="eastAsia"/>
          <w:lang w:val="en-US" w:eastAsia="zh-CN"/>
        </w:rPr>
        <w:t>鼓励生猪规模养殖场全面推行干清粪</w:t>
      </w:r>
      <w:r>
        <w:rPr>
          <w:rFonts w:hint="eastAsia"/>
        </w:rPr>
        <w:t>，淘汰水冲粪，其余畜禽养殖场（户）推广采用干清粪，逐步淘汰水冲粪工艺。鼓励生猪规模养殖场改人工干清粪为漏缝地板下机械干清粪，保持合理的清粪频次，及时收集圈舍和运动场的粪污，冲洗圈舍时鼓励使用高压清洗机代替普通水管。持续推进雨污分流改造，液体粪污采用暗沟或管道输送，鼓励饮污分流、溅洒水回用和养殖废水净化水回用，切实从源头减少粪污产生量。</w:t>
      </w:r>
      <w:bookmarkEnd w:id="98"/>
    </w:p>
    <w:p>
      <w:pPr>
        <w:ind w:firstLine="632"/>
        <w:outlineLvl w:val="2"/>
        <w:rPr>
          <w:rFonts w:cs="Times New Roman"/>
          <w:szCs w:val="32"/>
        </w:rPr>
      </w:pPr>
      <w:r>
        <w:rPr>
          <w:rFonts w:cs="Times New Roman"/>
          <w:szCs w:val="32"/>
        </w:rPr>
        <w:t>2.</w:t>
      </w:r>
      <w:r>
        <w:rPr>
          <w:rFonts w:hint="eastAsia" w:cs="Times New Roman"/>
          <w:szCs w:val="32"/>
        </w:rPr>
        <w:t>持续提升粪污处理利用水平</w:t>
      </w:r>
    </w:p>
    <w:p>
      <w:pPr>
        <w:ind w:firstLine="634"/>
      </w:pPr>
      <w:bookmarkStart w:id="99" w:name="_Hlk182490970"/>
      <w:r>
        <w:rPr>
          <w:rFonts w:hint="eastAsia"/>
          <w:b/>
          <w:bCs/>
        </w:rPr>
        <w:t>一是</w:t>
      </w:r>
      <w:r>
        <w:rPr>
          <w:rFonts w:hint="eastAsia"/>
        </w:rPr>
        <w:t>全面提升畜禽粪污处理设施装备配套和整体建设水平。督促畜禽规模养殖场严格按照《畜禽养殖场（户）粪污处理设施建设技术指南》有关要求完成</w:t>
      </w:r>
      <w:bookmarkStart w:id="100" w:name="_Hlk183614183"/>
      <w:r>
        <w:rPr>
          <w:rFonts w:hint="eastAsia"/>
        </w:rPr>
        <w:t>粪污收集、处理、利用设施提档升级</w:t>
      </w:r>
      <w:bookmarkEnd w:id="100"/>
      <w:r>
        <w:rPr>
          <w:rFonts w:hint="eastAsia"/>
        </w:rPr>
        <w:t>，生猪规模养殖场应配备液体粪污厌氧发酵和生化处理系统，全面实现达标治理，固体粪污进行堆沤肥处理后就近就地还田或委托第三方代为实现资源化利用，鼓励配套建设以猪粪为原料的有机肥生产设施</w:t>
      </w:r>
      <w:bookmarkStart w:id="101" w:name="_Hlk184134778"/>
      <w:r>
        <w:rPr>
          <w:rFonts w:hint="eastAsia"/>
        </w:rPr>
        <w:t>；其余畜禽规模养殖场逐步完成粪污处理利用设施改造升级</w:t>
      </w:r>
      <w:bookmarkEnd w:id="101"/>
      <w:r>
        <w:rPr>
          <w:rFonts w:hint="eastAsia"/>
        </w:rPr>
        <w:t>。加强畜禽粪污处理设施运行维护，支持规模养殖场建立健全设施运行维护制度，设置设施标识牌，规范设施运行记录，鼓励配备排放口在线监控设施和场区视频监控设施，确保粪污处理设施装备正常运行，防止粪污偷运偷排。</w:t>
      </w:r>
      <w:bookmarkEnd w:id="99"/>
      <w:r>
        <w:rPr>
          <w:rFonts w:hint="eastAsia"/>
        </w:rPr>
        <w:t>到202</w:t>
      </w:r>
      <w:r>
        <w:t>5</w:t>
      </w:r>
      <w:r>
        <w:rPr>
          <w:rFonts w:hint="eastAsia"/>
        </w:rPr>
        <w:t>年，畜禽规模养殖场粪污处理设施装备配套率达到100%，到2030年保持不降低。</w:t>
      </w:r>
    </w:p>
    <w:p>
      <w:pPr>
        <w:ind w:firstLine="634"/>
      </w:pPr>
      <w:r>
        <w:rPr>
          <w:rFonts w:hint="eastAsia"/>
          <w:b/>
          <w:bCs/>
        </w:rPr>
        <w:t>二是</w:t>
      </w:r>
      <w:r>
        <w:rPr>
          <w:rFonts w:hint="eastAsia"/>
        </w:rPr>
        <w:t>持续完善畜禽养殖专业户粪污处理设施建设。各县（市、区）加大指导力度，推动已配备粪污处理设施的养殖专业户根据实际需要进行设施升级改造。积极引导未配备粪污处理设施的养殖专业户合理建设粪污收集、贮存、处理等设施。支持和引导养殖专业户合理选择粪污处理技术，粪污无害化处理后优先就近就地还田，减少粪污运输过程中的环境风险。养殖专业户需配套与养殖规模和处理工艺相适应的粪污消纳用地，对于消纳土地不足或无法就近还田的，可委托第三方机构进行粪污运输、处理和利用，</w:t>
      </w:r>
      <w:r>
        <w:rPr>
          <w:rFonts w:hint="eastAsia"/>
          <w:lang w:eastAsia="zh-CN"/>
        </w:rPr>
        <w:t>鼓励</w:t>
      </w:r>
      <w:r>
        <w:rPr>
          <w:rFonts w:hint="eastAsia"/>
        </w:rPr>
        <w:t>双方签订正式的委托协议或合同，确保粪污处理和利用过程的规范化和可追溯性。</w:t>
      </w:r>
    </w:p>
    <w:p>
      <w:pPr>
        <w:ind w:firstLine="634"/>
      </w:pPr>
      <w:r>
        <w:rPr>
          <w:rFonts w:hint="eastAsia"/>
          <w:b/>
          <w:bCs/>
        </w:rPr>
        <w:t>三是</w:t>
      </w:r>
      <w:r>
        <w:rPr>
          <w:rFonts w:hint="eastAsia"/>
        </w:rPr>
        <w:t>合理引导畜禽养殖散户开展治理管控。充分利用村规民约规范散养户行为，做好人畜分离和日常环境卫生保持，对散养家禽实施圈养，及时清理粪污，避免出现粪污散落、污水横流等脏乱差现象，合理采用覆土、覆膜、覆盖稻草或锯末等方式，做好畜禽粪污物理隔绝，通过堆沤腐熟等方式达到无害化处理要求，就近就地低成本还田。</w:t>
      </w:r>
    </w:p>
    <w:p>
      <w:pPr>
        <w:ind w:firstLine="634"/>
      </w:pPr>
      <w:r>
        <w:rPr>
          <w:rFonts w:hint="eastAsia"/>
          <w:b/>
          <w:bCs/>
        </w:rPr>
        <w:t>四是</w:t>
      </w:r>
      <w:r>
        <w:rPr>
          <w:rFonts w:hint="eastAsia"/>
        </w:rPr>
        <w:t>强化水禽养殖污染治理和规范化管理。加大水禽养殖污染防治力度，适时组织开展水禽养殖污染治理和规范化管理专项整治，强化污染防治设施装备运行监管和技术指导，不断提升水禽养殖污染治理水平。根据养殖模式优先选择经济适用的污染治理措施，对于采用水养模式的，鼓励鱼鸭（鹅）混合立体养殖，养殖池塘须</w:t>
      </w:r>
      <w:r>
        <w:rPr>
          <w:rFonts w:hint="eastAsia"/>
          <w:lang w:eastAsia="zh-CN"/>
        </w:rPr>
        <w:t>进行尾水处理后才能排放</w:t>
      </w:r>
      <w:r>
        <w:rPr>
          <w:rFonts w:hint="eastAsia"/>
        </w:rPr>
        <w:t>；采用地养和棚养模式的，须做好粪污收集、贮存措施，固体粪污经过堆沤肥处理后还田利用或一次性出售，液体粪污通过密闭发酵贮存后还田利用，杜绝将未经处理的畜禽粪污直接排入环境。</w:t>
      </w:r>
    </w:p>
    <w:p>
      <w:pPr>
        <w:ind w:firstLine="632"/>
        <w:outlineLvl w:val="2"/>
        <w:rPr>
          <w:rFonts w:cs="Times New Roman"/>
          <w:szCs w:val="32"/>
        </w:rPr>
      </w:pPr>
      <w:r>
        <w:rPr>
          <w:rFonts w:cs="Times New Roman"/>
          <w:szCs w:val="32"/>
        </w:rPr>
        <w:t>3.</w:t>
      </w:r>
      <w:r>
        <w:rPr>
          <w:rFonts w:hint="eastAsia" w:cs="Times New Roman"/>
          <w:szCs w:val="32"/>
        </w:rPr>
        <w:t>强化病死畜禽无害化处理</w:t>
      </w:r>
    </w:p>
    <w:p>
      <w:pPr>
        <w:ind w:firstLine="632"/>
      </w:pPr>
      <w:r>
        <w:rPr>
          <w:rFonts w:hint="eastAsia"/>
        </w:rPr>
        <w:t>进一步完善病死畜禽无害化收集处理体系建设，完善畜禽养殖与保险理赔、无害化处理、财政补助等环节联动机制，确保病死畜禽得到及时、有效处置。鼓励大型规模养殖场自行建设病死畜禽无害化处理设施。畜禽饲养户须严格履行病死畜禽的处置责任，及时报告畜禽死亡情况，按照相关规定进行无害化处理，严禁将病死畜禽随意丢弃或随意处理。</w:t>
      </w:r>
    </w:p>
    <w:p>
      <w:pPr>
        <w:ind w:firstLine="632"/>
        <w:outlineLvl w:val="2"/>
        <w:rPr>
          <w:rFonts w:cs="Times New Roman"/>
          <w:szCs w:val="32"/>
        </w:rPr>
      </w:pPr>
      <w:r>
        <w:rPr>
          <w:rFonts w:cs="Times New Roman"/>
          <w:szCs w:val="32"/>
        </w:rPr>
        <w:t>4.</w:t>
      </w:r>
      <w:r>
        <w:rPr>
          <w:rFonts w:hint="eastAsia" w:cs="Times New Roman"/>
          <w:szCs w:val="32"/>
        </w:rPr>
        <w:t>推进畜禽养殖臭气污染治理</w:t>
      </w:r>
    </w:p>
    <w:p>
      <w:pPr>
        <w:ind w:firstLine="632"/>
      </w:pPr>
      <w:r>
        <w:rPr>
          <w:rFonts w:hint="eastAsia"/>
        </w:rPr>
        <w:t>引导规模养殖场从畜禽圈舍</w:t>
      </w:r>
      <w:r>
        <w:t>-</w:t>
      </w:r>
      <w:r>
        <w:rPr>
          <w:rFonts w:hint="eastAsia"/>
        </w:rPr>
        <w:t>存储</w:t>
      </w:r>
      <w:r>
        <w:t>-</w:t>
      </w:r>
      <w:r>
        <w:rPr>
          <w:rFonts w:hint="eastAsia"/>
        </w:rPr>
        <w:t>还田利用等全过程完善臭气减排设施建设与管理，减少臭气排放。</w:t>
      </w:r>
      <w:r>
        <w:t>支持新建生猪、家禽等畜禽规模养殖场采用全封闭、自动化、信息化饲养模式，以大型畜禽规模养殖场为重点，采取酸化抑氨、密闭控氨、深耕固氨等方式，提升臭气收集治理水平</w:t>
      </w:r>
      <w:r>
        <w:rPr>
          <w:rFonts w:hint="eastAsia"/>
        </w:rPr>
        <w:t>。规模化养殖场圈舍、粪污贮存与处理设施应参照《规模化畜禽养殖场氨气排放量核算计算指南（试行）》，选用适宜、高效的氨减排技术，尽可能减少氨气排放。倡导养殖户采用多种控臭技术，通过喷洒微生物菌剂、增设水帘降温设备、物理吸附等方式控制臭气的产生。</w:t>
      </w:r>
    </w:p>
    <w:bookmarkEnd w:id="92"/>
    <w:bookmarkEnd w:id="93"/>
    <w:p>
      <w:pPr>
        <w:pStyle w:val="3"/>
        <w:spacing w:before="0" w:beforeLines="0" w:after="0" w:afterLines="0"/>
        <w:ind w:firstLine="632"/>
        <w:rPr>
          <w:rFonts w:cs="Times New Roman"/>
        </w:rPr>
      </w:pPr>
      <w:bookmarkStart w:id="102" w:name="_Toc180398827"/>
      <w:bookmarkStart w:id="103" w:name="_Toc12727"/>
      <w:bookmarkStart w:id="104" w:name="_Toc19674"/>
      <w:bookmarkStart w:id="105" w:name="_Toc11325"/>
      <w:r>
        <w:rPr>
          <w:rFonts w:hint="eastAsia" w:cs="Times New Roman"/>
        </w:rPr>
        <w:t>（四）深入强化畜禽养殖环境监管</w:t>
      </w:r>
      <w:bookmarkEnd w:id="102"/>
      <w:bookmarkEnd w:id="103"/>
      <w:bookmarkEnd w:id="104"/>
    </w:p>
    <w:p>
      <w:pPr>
        <w:ind w:firstLine="632"/>
        <w:outlineLvl w:val="2"/>
        <w:rPr>
          <w:rFonts w:cs="Times New Roman"/>
          <w:szCs w:val="32"/>
        </w:rPr>
      </w:pPr>
      <w:r>
        <w:rPr>
          <w:rFonts w:cs="Times New Roman"/>
          <w:szCs w:val="32"/>
        </w:rPr>
        <w:t>1.</w:t>
      </w:r>
      <w:r>
        <w:rPr>
          <w:rFonts w:hint="eastAsia" w:cs="Times New Roman"/>
          <w:szCs w:val="32"/>
        </w:rPr>
        <w:t>严格落实环境影响评价与排污许可制度</w:t>
      </w:r>
    </w:p>
    <w:p>
      <w:pPr>
        <w:ind w:firstLine="632"/>
        <w:rPr>
          <w:b/>
          <w:bCs/>
        </w:rPr>
      </w:pPr>
      <w:r>
        <w:rPr>
          <w:rFonts w:hint="eastAsia" w:cs="Times New Roman"/>
          <w:szCs w:val="32"/>
        </w:rPr>
        <w:t>严格执行环境影响评价制度，</w:t>
      </w:r>
      <w:r>
        <w:rPr>
          <w:rFonts w:hint="eastAsia"/>
        </w:rPr>
        <w:t>按照《建设项目环境影响评价分类管理名录》依法开展环境影响评价。督促指导畜禽规模养殖场依法持证排污、按证排污及进行排污登记，遵守排污许可证管理规定。每年开展一次全市畜禽规模养殖场水质抽查监测，</w:t>
      </w:r>
      <w:r>
        <w:rPr>
          <w:rFonts w:hint="eastAsia"/>
          <w:szCs w:val="32"/>
        </w:rPr>
        <w:t>及时发现潜在的环境风险</w:t>
      </w:r>
      <w:r>
        <w:rPr>
          <w:rFonts w:hint="eastAsia"/>
        </w:rPr>
        <w:t>。督促设有排污口的畜禽规模养殖场按排污许可证规定和有关标准规范开展自行监测，2</w:t>
      </w:r>
      <w:r>
        <w:t>025</w:t>
      </w:r>
      <w:r>
        <w:rPr>
          <w:rFonts w:hint="eastAsia"/>
        </w:rPr>
        <w:t>年底前</w:t>
      </w:r>
      <w:r>
        <w:t>取得排污许可证</w:t>
      </w:r>
      <w:r>
        <w:rPr>
          <w:rFonts w:hint="eastAsia"/>
        </w:rPr>
        <w:t>的畜禽规模养殖场自行监测率达到 100%。</w:t>
      </w:r>
    </w:p>
    <w:p>
      <w:pPr>
        <w:ind w:firstLine="632"/>
        <w:outlineLvl w:val="2"/>
        <w:rPr>
          <w:rFonts w:cs="Times New Roman"/>
          <w:szCs w:val="32"/>
        </w:rPr>
      </w:pPr>
      <w:r>
        <w:rPr>
          <w:rFonts w:cs="Times New Roman"/>
          <w:szCs w:val="32"/>
        </w:rPr>
        <w:t>2.</w:t>
      </w:r>
      <w:r>
        <w:rPr>
          <w:rFonts w:hint="eastAsia" w:cs="Times New Roman"/>
          <w:szCs w:val="32"/>
        </w:rPr>
        <w:t>着力提升畜禽养殖执法效能</w:t>
      </w:r>
    </w:p>
    <w:p>
      <w:pPr>
        <w:ind w:firstLine="632"/>
      </w:pPr>
      <w:r>
        <w:rPr>
          <w:rFonts w:hint="eastAsia"/>
        </w:rPr>
        <w:t>开展多部门联合执法，于</w:t>
      </w:r>
      <w:r>
        <w:t>2024</w:t>
      </w:r>
      <w:r>
        <w:rPr>
          <w:rFonts w:hint="eastAsia"/>
        </w:rPr>
        <w:t>年底前完成全市生猪养殖场污染排查防治工作，依法查处动物防疫条件不达标、违法排污、非法取水、违法用地等行为，建立问题清单和责任清单，明确整改目标和整改时限，针对拒绝监督检查、检查不合格、整改不达标的养殖场，根据《畜禽规模养殖污染防治条例》有关规定有计划实施暂停养殖、搬迁或关闭等措施。将畜禽规模养殖场纳入“双随机、一公开”执法监管系统，重点围绕畜禽养殖场是否落实环评手续和环保“三同时”制度、是否存在偷排直排、污染治理设施或无害化处理设施是否正常运行、废弃物综合利用等情况开展全面检查，对各类环境违法行为依法依规严厉打击。</w:t>
      </w:r>
      <w:bookmarkStart w:id="106" w:name="OLE_LINK28"/>
      <w:r>
        <w:t>强化粪污还田利用过程监管，</w:t>
      </w:r>
      <w:bookmarkEnd w:id="106"/>
      <w:bookmarkStart w:id="107" w:name="OLE_LINK27"/>
      <w:r>
        <w:t>依法查处</w:t>
      </w:r>
      <w:bookmarkEnd w:id="107"/>
      <w:r>
        <w:t>粪</w:t>
      </w:r>
      <w:r>
        <w:rPr>
          <w:rFonts w:hint="eastAsia"/>
        </w:rPr>
        <w:t>肥</w:t>
      </w:r>
      <w:r>
        <w:t>超量</w:t>
      </w:r>
      <w:r>
        <w:rPr>
          <w:rFonts w:hint="eastAsia"/>
        </w:rPr>
        <w:t>施用</w:t>
      </w:r>
      <w:r>
        <w:t>等污染环境的违法行为。</w:t>
      </w:r>
    </w:p>
    <w:p>
      <w:pPr>
        <w:ind w:firstLine="632"/>
        <w:outlineLvl w:val="2"/>
        <w:rPr>
          <w:rFonts w:cs="Times New Roman"/>
          <w:szCs w:val="32"/>
        </w:rPr>
      </w:pPr>
      <w:bookmarkStart w:id="108" w:name="_Toc27426"/>
      <w:bookmarkStart w:id="109" w:name="_Toc1905904350"/>
      <w:r>
        <w:rPr>
          <w:rFonts w:hint="eastAsia" w:cs="Times New Roman"/>
          <w:szCs w:val="32"/>
        </w:rPr>
        <w:t>3</w:t>
      </w:r>
      <w:r>
        <w:rPr>
          <w:rFonts w:cs="Times New Roman"/>
          <w:szCs w:val="32"/>
        </w:rPr>
        <w:t>.</w:t>
      </w:r>
      <w:r>
        <w:rPr>
          <w:rFonts w:hint="eastAsia" w:cs="Times New Roman"/>
          <w:szCs w:val="32"/>
        </w:rPr>
        <w:t>推动畜禽养殖业智慧化监管建设</w:t>
      </w:r>
      <w:bookmarkEnd w:id="108"/>
      <w:bookmarkEnd w:id="109"/>
    </w:p>
    <w:p>
      <w:pPr>
        <w:ind w:firstLine="632"/>
        <w:rPr>
          <w:rFonts w:eastAsia="方正楷体_GBK"/>
        </w:rPr>
      </w:pPr>
      <w:r>
        <w:rPr>
          <w:rFonts w:hint="eastAsia"/>
        </w:rPr>
        <w:t>借助互联网、物联网、大数据技术，准确获取现有及规划畜禽养殖项目空间布局情况，实现空间信息可视化，力求解决规划边界不精准、选址争议等问题。</w:t>
      </w:r>
      <w:bookmarkStart w:id="110" w:name="_Hlk185364858"/>
      <w:r>
        <w:rPr>
          <w:rFonts w:hint="eastAsia"/>
        </w:rPr>
        <w:t>以年出栏万头以上生猪养殖场为重点，逐步推行畜禽规模养殖场配备视频监控设施，记录粪污处理、运输和资源化利用等情况，促进污染防治设施规范运行，防止粪污偷运偷排。</w:t>
      </w:r>
      <w:bookmarkEnd w:id="110"/>
      <w:r>
        <w:rPr>
          <w:rFonts w:hint="eastAsia"/>
        </w:rPr>
        <w:t>探索养殖业生产管理数据与行政管理平台的数字化对接，动态掌握全市规模畜禽养殖场、病死畜禽无害化处置厂、畜禽定点屠宰企业的变化，以及养殖规模、废弃物综合利用、污染防治设施建设等情况，力争实现畜禽养殖监管的数字化和智能化。</w:t>
      </w:r>
    </w:p>
    <w:p>
      <w:pPr>
        <w:pStyle w:val="29"/>
        <w:numPr>
          <w:ilvl w:val="0"/>
          <w:numId w:val="1"/>
        </w:numPr>
        <w:ind w:left="1350" w:firstLineChars="0"/>
        <w:outlineLvl w:val="0"/>
        <w:rPr>
          <w:rFonts w:eastAsia="黑体" w:cs="Times New Roman"/>
          <w:szCs w:val="32"/>
        </w:rPr>
      </w:pPr>
      <w:bookmarkStart w:id="111" w:name="_Toc180398828"/>
      <w:bookmarkStart w:id="112" w:name="_Toc21417"/>
      <w:bookmarkStart w:id="113" w:name="_Toc5365"/>
      <w:r>
        <w:rPr>
          <w:rFonts w:hint="eastAsia" w:eastAsia="黑体" w:cs="Times New Roman"/>
          <w:szCs w:val="32"/>
        </w:rPr>
        <w:t>重点工程及资金筹措</w:t>
      </w:r>
      <w:bookmarkEnd w:id="105"/>
      <w:bookmarkEnd w:id="111"/>
      <w:bookmarkEnd w:id="112"/>
      <w:bookmarkEnd w:id="113"/>
    </w:p>
    <w:p>
      <w:pPr>
        <w:pStyle w:val="3"/>
        <w:spacing w:before="0" w:beforeLines="0" w:after="0" w:afterLines="0"/>
        <w:ind w:firstLine="632"/>
        <w:rPr>
          <w:rFonts w:cs="Times New Roman"/>
        </w:rPr>
      </w:pPr>
      <w:bookmarkStart w:id="114" w:name="_Toc180398829"/>
      <w:bookmarkStart w:id="115" w:name="_Toc120630407"/>
      <w:bookmarkStart w:id="116" w:name="_Toc13188"/>
      <w:bookmarkStart w:id="117" w:name="_Toc120630505"/>
      <w:bookmarkStart w:id="118" w:name="_Toc120630615"/>
      <w:bookmarkStart w:id="119" w:name="_Toc22966"/>
      <w:r>
        <w:rPr>
          <w:rFonts w:hint="eastAsia" w:cs="Times New Roman"/>
        </w:rPr>
        <w:t>（一）重点工程</w:t>
      </w:r>
      <w:bookmarkEnd w:id="114"/>
      <w:bookmarkEnd w:id="115"/>
      <w:bookmarkEnd w:id="116"/>
      <w:bookmarkEnd w:id="117"/>
      <w:bookmarkEnd w:id="118"/>
      <w:bookmarkEnd w:id="119"/>
    </w:p>
    <w:p>
      <w:pPr>
        <w:ind w:firstLine="632"/>
      </w:pPr>
      <w:bookmarkStart w:id="120" w:name="_Hlk182843093"/>
      <w:r>
        <w:rPr>
          <w:rFonts w:hint="eastAsia"/>
        </w:rPr>
        <w:t>江门市畜禽养殖污染防治工程主要围绕优化畜禽养殖空间布局、粪污资源化利用设施提升、畜禽养殖污染防治以及环境监管体系建设进行谋划。具体工程内容见附表二。</w:t>
      </w:r>
      <w:bookmarkEnd w:id="120"/>
    </w:p>
    <w:p>
      <w:pPr>
        <w:pStyle w:val="3"/>
        <w:spacing w:before="0" w:beforeLines="0" w:after="0" w:afterLines="0"/>
        <w:ind w:firstLine="632"/>
        <w:rPr>
          <w:rFonts w:cs="Times New Roman"/>
        </w:rPr>
      </w:pPr>
      <w:bookmarkStart w:id="121" w:name="_Toc1424"/>
      <w:bookmarkStart w:id="122" w:name="_Toc120630408"/>
      <w:bookmarkStart w:id="123" w:name="_Toc15477"/>
      <w:bookmarkStart w:id="124" w:name="_Toc120630616"/>
      <w:bookmarkStart w:id="125" w:name="_Toc180398830"/>
      <w:bookmarkStart w:id="126" w:name="_Toc120630506"/>
      <w:r>
        <w:rPr>
          <w:rFonts w:hint="eastAsia" w:cs="Times New Roman"/>
        </w:rPr>
        <w:t>（二）资金筹措</w:t>
      </w:r>
      <w:bookmarkEnd w:id="121"/>
      <w:bookmarkEnd w:id="122"/>
      <w:bookmarkEnd w:id="123"/>
      <w:bookmarkEnd w:id="124"/>
      <w:bookmarkEnd w:id="125"/>
      <w:bookmarkEnd w:id="126"/>
    </w:p>
    <w:p>
      <w:pPr>
        <w:ind w:firstLine="632"/>
        <w:rPr>
          <w:rFonts w:hint="eastAsia" w:ascii="Times New Roman" w:hAnsi="Times New Roman"/>
          <w:color w:val="auto"/>
        </w:rPr>
      </w:pPr>
      <w:r>
        <w:rPr>
          <w:rFonts w:hint="eastAsia" w:ascii="Times New Roman" w:hAnsi="Times New Roman"/>
          <w:color w:val="auto"/>
        </w:rPr>
        <w:t>养殖场搬迁、改造投资以企业自筹</w:t>
      </w:r>
      <w:r>
        <w:rPr>
          <w:rFonts w:hint="eastAsia" w:ascii="Times New Roman" w:hAnsi="Times New Roman"/>
          <w:color w:val="auto"/>
          <w:lang w:eastAsia="zh-CN"/>
        </w:rPr>
        <w:t>、企业市场化运营机制为主，同时</w:t>
      </w:r>
      <w:r>
        <w:rPr>
          <w:rFonts w:hint="eastAsia" w:ascii="Times New Roman" w:hAnsi="Times New Roman"/>
          <w:color w:val="auto"/>
        </w:rPr>
        <w:t>结合</w:t>
      </w:r>
      <w:r>
        <w:rPr>
          <w:rFonts w:hint="eastAsia" w:ascii="Times New Roman" w:hAnsi="Times New Roman"/>
          <w:color w:val="auto"/>
          <w:lang w:eastAsia="zh-CN"/>
        </w:rPr>
        <w:t>现有政策规定，积极争取各级各类相关财政</w:t>
      </w:r>
      <w:r>
        <w:rPr>
          <w:rFonts w:hint="eastAsia" w:ascii="Times New Roman" w:hAnsi="Times New Roman"/>
          <w:color w:val="auto"/>
        </w:rPr>
        <w:t>专项资金，</w:t>
      </w:r>
      <w:r>
        <w:rPr>
          <w:rFonts w:hint="eastAsia" w:ascii="Times New Roman" w:hAnsi="Times New Roman"/>
          <w:color w:val="auto"/>
          <w:lang w:eastAsia="zh-CN"/>
        </w:rPr>
        <w:t>引导撬动社会资本和金融资本投入，构建多元化投入机制</w:t>
      </w:r>
      <w:r>
        <w:rPr>
          <w:rFonts w:hint="eastAsia" w:ascii="Times New Roman" w:hAnsi="Times New Roman"/>
          <w:color w:val="auto"/>
        </w:rPr>
        <w:t>。鼓励培育壮大专业化粪污处理服务组织，建立受益者付费机制，保障第三方合理收益，实现环境与经济效益双赢。</w:t>
      </w:r>
    </w:p>
    <w:p>
      <w:pPr>
        <w:pStyle w:val="29"/>
        <w:numPr>
          <w:ilvl w:val="0"/>
          <w:numId w:val="1"/>
        </w:numPr>
        <w:ind w:left="1350" w:firstLineChars="0"/>
        <w:outlineLvl w:val="0"/>
        <w:rPr>
          <w:rFonts w:eastAsia="黑体" w:cs="Times New Roman"/>
          <w:szCs w:val="32"/>
        </w:rPr>
      </w:pPr>
      <w:bookmarkStart w:id="127" w:name="_Toc180398831"/>
      <w:bookmarkStart w:id="128" w:name="_Toc12931"/>
      <w:bookmarkStart w:id="129" w:name="_Toc8626"/>
      <w:bookmarkStart w:id="130" w:name="_Toc23077"/>
      <w:r>
        <w:rPr>
          <w:rFonts w:hint="eastAsia" w:eastAsia="黑体" w:cs="Times New Roman"/>
          <w:szCs w:val="32"/>
        </w:rPr>
        <w:t>效益分析</w:t>
      </w:r>
      <w:bookmarkEnd w:id="127"/>
      <w:bookmarkEnd w:id="128"/>
      <w:bookmarkEnd w:id="129"/>
      <w:bookmarkEnd w:id="130"/>
    </w:p>
    <w:p>
      <w:pPr>
        <w:pStyle w:val="3"/>
        <w:spacing w:before="0" w:beforeLines="0" w:after="0" w:afterLines="0"/>
        <w:ind w:firstLine="632"/>
        <w:rPr>
          <w:rFonts w:cs="Times New Roman"/>
        </w:rPr>
      </w:pPr>
      <w:bookmarkStart w:id="131" w:name="_Toc6801"/>
      <w:bookmarkStart w:id="132" w:name="_Toc180398832"/>
      <w:bookmarkStart w:id="133" w:name="_Toc25730"/>
      <w:r>
        <w:rPr>
          <w:rFonts w:hint="eastAsia" w:cs="Times New Roman"/>
        </w:rPr>
        <w:t>（一）经济效益</w:t>
      </w:r>
      <w:bookmarkEnd w:id="131"/>
      <w:bookmarkEnd w:id="132"/>
      <w:bookmarkEnd w:id="133"/>
    </w:p>
    <w:p>
      <w:pPr>
        <w:ind w:firstLine="632"/>
      </w:pPr>
      <w:r>
        <w:rPr>
          <w:rFonts w:hint="eastAsia"/>
        </w:rPr>
        <w:t>通过优化畜禽养殖的空间布局和生产结构，完善粪污处理和利用设施，推行清洁生产，能有效推动全市畜禽养殖场标准化、规模化建设，引导养殖业转型升级，增强可持续发展能力。积极扩宽粪污资源化利用途径，加快完善资源化利用设施设备配套建设，能促进养殖业产业链有效延伸，扩宽创收渠道，提升产业综合效益，增加地方财政收入，带动农民致富。推动养殖业绿色发展，发展生态养殖技术，将推进种养循环、农牧结合，使养殖业和种植业废弃物得到有效利用，降低种养业生产成本，有利于增强农业产业竞争力。</w:t>
      </w:r>
    </w:p>
    <w:p>
      <w:pPr>
        <w:pStyle w:val="3"/>
        <w:spacing w:before="0" w:beforeLines="0" w:after="0" w:afterLines="0"/>
        <w:ind w:firstLine="632"/>
        <w:rPr>
          <w:rFonts w:cs="Times New Roman"/>
        </w:rPr>
      </w:pPr>
      <w:bookmarkStart w:id="134" w:name="_Toc180398833"/>
      <w:bookmarkStart w:id="135" w:name="_Toc15249"/>
      <w:bookmarkStart w:id="136" w:name="_Toc19745"/>
      <w:r>
        <w:rPr>
          <w:rFonts w:hint="eastAsia" w:cs="Times New Roman"/>
        </w:rPr>
        <w:t>（二）社会效益</w:t>
      </w:r>
      <w:bookmarkEnd w:id="134"/>
      <w:bookmarkEnd w:id="135"/>
      <w:bookmarkEnd w:id="136"/>
    </w:p>
    <w:p>
      <w:pPr>
        <w:ind w:firstLine="632"/>
      </w:pPr>
      <w:r>
        <w:rPr>
          <w:rFonts w:hint="eastAsia"/>
        </w:rPr>
        <w:t>通过规划实施，养殖业可持续发展能力和农业产业竞争力能得到增强，对全市经济发展和农业农村发展具有积极作用；能促进粪污还田利用，减少化肥施用量，有助于深入落实化肥减量增效行动；养殖</w:t>
      </w:r>
      <w:r>
        <w:t>-</w:t>
      </w:r>
      <w:r>
        <w:rPr>
          <w:rFonts w:hint="eastAsia"/>
        </w:rPr>
        <w:t>沼液沼渣</w:t>
      </w:r>
      <w:r>
        <w:t>-</w:t>
      </w:r>
      <w:r>
        <w:rPr>
          <w:rFonts w:hint="eastAsia"/>
        </w:rPr>
        <w:t>有机肥</w:t>
      </w:r>
      <w:r>
        <w:t>-</w:t>
      </w:r>
      <w:r>
        <w:rPr>
          <w:rFonts w:hint="eastAsia"/>
        </w:rPr>
        <w:t>农田</w:t>
      </w:r>
      <w:r>
        <w:t>-</w:t>
      </w:r>
      <w:r>
        <w:rPr>
          <w:rFonts w:hint="eastAsia"/>
        </w:rPr>
        <w:t>养殖等循环利用各领域，可为周边养殖业、种植业等提供种养结合循环农业相关的示范和推动，从而带动周边产业的高质量发展，改善农村产业发展质量；严格落实分区分类管理，能有效提升农村饮用水安全保障水平和农村居民健康保障水平。</w:t>
      </w:r>
    </w:p>
    <w:p>
      <w:pPr>
        <w:pStyle w:val="3"/>
        <w:spacing w:before="0" w:beforeLines="0" w:after="0" w:afterLines="0"/>
        <w:ind w:firstLine="632"/>
        <w:rPr>
          <w:rFonts w:cs="Times New Roman"/>
        </w:rPr>
      </w:pPr>
      <w:bookmarkStart w:id="137" w:name="_Toc180398834"/>
      <w:bookmarkStart w:id="138" w:name="_Toc12957"/>
      <w:bookmarkStart w:id="139" w:name="_Toc3825"/>
      <w:r>
        <w:rPr>
          <w:rFonts w:hint="eastAsia" w:cs="Times New Roman"/>
        </w:rPr>
        <w:t>（三）环境效益</w:t>
      </w:r>
      <w:bookmarkEnd w:id="137"/>
      <w:bookmarkEnd w:id="138"/>
      <w:bookmarkEnd w:id="139"/>
    </w:p>
    <w:p>
      <w:pPr>
        <w:ind w:firstLine="632"/>
        <w:rPr>
          <w:rFonts w:eastAsia="黑体"/>
          <w:szCs w:val="32"/>
        </w:rPr>
      </w:pPr>
      <w:r>
        <w:rPr>
          <w:rFonts w:hint="eastAsia"/>
        </w:rPr>
        <w:t>重点工程的实施，对提升畜禽养殖污染防治和资源化利用水平，持续改善江门市生态环境具有重要意义。养殖污染物通过有效治理和综合利用，不仅实现污染物总量减排，还可促进畜禽养殖产生的氮、磷等物质转化及吸收利用，可有效减少养殖粪污排放量，能够在全市水污染防治重点流域和区域有效缓解农业面源污染，进而改善水环境质量和农村人居环境质量。</w:t>
      </w:r>
    </w:p>
    <w:p>
      <w:pPr>
        <w:pStyle w:val="29"/>
        <w:numPr>
          <w:ilvl w:val="0"/>
          <w:numId w:val="1"/>
        </w:numPr>
        <w:ind w:left="1350" w:firstLineChars="0"/>
        <w:outlineLvl w:val="0"/>
        <w:rPr>
          <w:rFonts w:eastAsia="黑体" w:cs="Times New Roman"/>
          <w:szCs w:val="32"/>
        </w:rPr>
      </w:pPr>
      <w:bookmarkStart w:id="140" w:name="_Toc4165"/>
      <w:bookmarkStart w:id="141" w:name="_Toc31937"/>
      <w:bookmarkStart w:id="142" w:name="_Toc180398835"/>
      <w:bookmarkStart w:id="143" w:name="_Toc12274"/>
      <w:r>
        <w:rPr>
          <w:rFonts w:hint="eastAsia" w:eastAsia="黑体" w:cs="Times New Roman"/>
          <w:szCs w:val="32"/>
        </w:rPr>
        <w:t>保障措施</w:t>
      </w:r>
      <w:bookmarkEnd w:id="140"/>
      <w:bookmarkEnd w:id="141"/>
      <w:bookmarkEnd w:id="142"/>
      <w:bookmarkEnd w:id="143"/>
    </w:p>
    <w:p>
      <w:pPr>
        <w:pStyle w:val="3"/>
        <w:spacing w:before="0" w:beforeLines="0" w:after="0" w:afterLines="0"/>
        <w:ind w:firstLine="632"/>
        <w:rPr>
          <w:rFonts w:cs="Times New Roman"/>
        </w:rPr>
      </w:pPr>
      <w:bookmarkStart w:id="144" w:name="_Toc180398836"/>
      <w:bookmarkStart w:id="145" w:name="_Toc25774"/>
      <w:bookmarkStart w:id="146" w:name="_Toc1290792665"/>
      <w:bookmarkStart w:id="147" w:name="_Toc208"/>
      <w:r>
        <w:rPr>
          <w:rFonts w:hint="eastAsia" w:cs="Times New Roman"/>
        </w:rPr>
        <w:t>（一）加强组织领导</w:t>
      </w:r>
      <w:bookmarkEnd w:id="144"/>
      <w:bookmarkEnd w:id="145"/>
      <w:bookmarkEnd w:id="146"/>
      <w:r>
        <w:rPr>
          <w:rFonts w:hint="eastAsia" w:cs="Times New Roman"/>
        </w:rPr>
        <w:t>，理清职责分工</w:t>
      </w:r>
      <w:bookmarkEnd w:id="147"/>
    </w:p>
    <w:p>
      <w:pPr>
        <w:ind w:firstLine="632"/>
      </w:pPr>
      <w:r>
        <w:rPr>
          <w:rFonts w:hint="eastAsia"/>
        </w:rPr>
        <w:t>相关部门按照职责分工，加强信息共享、定期会商、督导检查，齐抓共管形成工作合力。生态环境部门负责畜禽养殖污染防治统一监督管理，负责畜禽养殖建设项目环境影响评价审批、排污许可管理，加强环境监测和</w:t>
      </w:r>
      <w:r>
        <w:rPr>
          <w:rFonts w:hint="eastAsia"/>
          <w:szCs w:val="20"/>
        </w:rPr>
        <w:t>监管执法检查</w:t>
      </w:r>
      <w:r>
        <w:rPr>
          <w:rFonts w:hint="eastAsia"/>
        </w:rPr>
        <w:t>；农业农村部门负责畜禽粪污资源化利用和病死畜禽无害化处理的指导和服务，指导标准化畜禽养殖场建设，督促畜禽养殖场落实治理主体责任，加强畜禽粪污资源化利用整县推进项目管理；发展与改革部门负责支持沼气发电项目建设；自然资源部门负责指导各地区将畜禽规模养殖用地纳入国土空间规划等；县（市、区）、镇级人民政府落实属地管理责任，加强畜禽养殖污染治理。</w:t>
      </w:r>
    </w:p>
    <w:p>
      <w:pPr>
        <w:pStyle w:val="3"/>
        <w:spacing w:before="0" w:beforeLines="0" w:after="0" w:afterLines="0"/>
        <w:ind w:firstLine="632"/>
        <w:rPr>
          <w:rFonts w:cs="Times New Roman"/>
        </w:rPr>
      </w:pPr>
      <w:bookmarkStart w:id="148" w:name="_Toc180398837"/>
      <w:bookmarkStart w:id="149" w:name="_Toc1952321754"/>
      <w:bookmarkStart w:id="150" w:name="_Toc7496"/>
      <w:bookmarkStart w:id="151" w:name="_Toc32005"/>
      <w:r>
        <w:rPr>
          <w:rFonts w:hint="eastAsia" w:cs="Times New Roman"/>
        </w:rPr>
        <w:t>（二）严格监督考核</w:t>
      </w:r>
      <w:bookmarkEnd w:id="148"/>
      <w:bookmarkEnd w:id="149"/>
      <w:bookmarkEnd w:id="150"/>
      <w:r>
        <w:rPr>
          <w:rFonts w:hint="eastAsia" w:cs="Times New Roman"/>
        </w:rPr>
        <w:t>，压实主体责任</w:t>
      </w:r>
      <w:bookmarkEnd w:id="151"/>
    </w:p>
    <w:p>
      <w:pPr>
        <w:ind w:firstLine="632"/>
      </w:pPr>
      <w:r>
        <w:rPr>
          <w:rFonts w:hint="eastAsia"/>
        </w:rPr>
        <w:t>开展畜禽规模养殖场污染治理设施运行情况抽查，对治理设施不正常运行、未制定粪污资源化利用计划和建立台账、粪肥还田超量施用污染环境的行为进行督促整改。将突出问题纳入省级生态环境保护督察范畴，督促地方政府和有关部门落实治污责任，加快问题整改，对污染问题严重、治理工作推进不力的地区严肃追责问责。将畜禽养殖污染防治纳入全市农业农村污染治理攻坚战考核、推进乡村振兴战略实绩考核</w:t>
      </w:r>
      <w:r>
        <w:t>重要内容，强化考核结果运用。</w:t>
      </w:r>
    </w:p>
    <w:p>
      <w:pPr>
        <w:pStyle w:val="3"/>
        <w:spacing w:before="0" w:beforeLines="0" w:after="0" w:afterLines="0"/>
        <w:ind w:firstLine="632"/>
        <w:rPr>
          <w:rFonts w:cs="Times New Roman"/>
        </w:rPr>
      </w:pPr>
      <w:bookmarkStart w:id="152" w:name="_Toc180398838"/>
      <w:bookmarkStart w:id="153" w:name="_Toc657258824"/>
      <w:bookmarkStart w:id="154" w:name="_Toc6151"/>
      <w:bookmarkStart w:id="155" w:name="_Toc23719"/>
      <w:r>
        <w:rPr>
          <w:rFonts w:hint="eastAsia" w:cs="Times New Roman"/>
        </w:rPr>
        <w:t>（三）</w:t>
      </w:r>
      <w:bookmarkEnd w:id="152"/>
      <w:bookmarkEnd w:id="153"/>
      <w:bookmarkEnd w:id="154"/>
      <w:r>
        <w:rPr>
          <w:rFonts w:hint="eastAsia" w:cs="Times New Roman"/>
        </w:rPr>
        <w:t>强化政策扶持，加大科技支撑</w:t>
      </w:r>
      <w:bookmarkEnd w:id="155"/>
    </w:p>
    <w:p>
      <w:pPr>
        <w:ind w:firstLine="632"/>
      </w:pPr>
      <w:r>
        <w:rPr>
          <w:rFonts w:hint="eastAsia"/>
        </w:rPr>
        <w:t>积极争取上级政策和资金支持，充分利用金融支持政策和绿色信贷、绿色债券筹措资金，强化各级财政资金保障，支持畜禽规模养殖场、第三方处理企业、社会化服务组织粪污处理设施建设和畜禽养殖密集区集中整治。</w:t>
      </w:r>
      <w:bookmarkStart w:id="156" w:name="_Hlk192146963"/>
      <w:r>
        <w:rPr>
          <w:rFonts w:hint="eastAsia"/>
        </w:rPr>
        <w:t>鼓励采用生态环境导向的开发模式（EOD），整市、县推进畜禽养殖污染治理。</w:t>
      </w:r>
      <w:bookmarkEnd w:id="156"/>
      <w:r>
        <w:rPr>
          <w:rFonts w:hint="eastAsia"/>
        </w:rPr>
        <w:t>鼓励养殖企业与高校、科研院所合作，以降低治理成本和提高安全利用水平为重点开展技术研发和生产实践，推广经济高效的畜禽废弃物治理和利用方式。支持对采用清洁生产技术、减排成效明显、废弃物资源化利用水平高的畜禽规模养殖场给予用地、税收等方面的优惠政策。</w:t>
      </w:r>
    </w:p>
    <w:p>
      <w:pPr>
        <w:pStyle w:val="3"/>
        <w:spacing w:before="0" w:beforeLines="0" w:after="0" w:afterLines="0"/>
        <w:ind w:firstLine="632"/>
        <w:rPr>
          <w:rFonts w:cs="Times New Roman"/>
        </w:rPr>
      </w:pPr>
      <w:bookmarkStart w:id="157" w:name="_Toc180398839"/>
      <w:bookmarkStart w:id="158" w:name="_Toc1700166404"/>
      <w:bookmarkStart w:id="159" w:name="_Toc6425"/>
      <w:bookmarkStart w:id="160" w:name="_Toc7924"/>
      <w:r>
        <w:rPr>
          <w:rFonts w:hint="eastAsia" w:cs="Times New Roman"/>
        </w:rPr>
        <w:t>（四）加强宣传引导，深化指导</w:t>
      </w:r>
      <w:bookmarkEnd w:id="157"/>
      <w:bookmarkEnd w:id="158"/>
      <w:bookmarkEnd w:id="159"/>
      <w:r>
        <w:rPr>
          <w:rFonts w:hint="eastAsia" w:cs="Times New Roman"/>
        </w:rPr>
        <w:t>服务</w:t>
      </w:r>
      <w:bookmarkEnd w:id="160"/>
    </w:p>
    <w:p>
      <w:pPr>
        <w:ind w:firstLine="632"/>
        <w:rPr>
          <w:rFonts w:cs="Times New Roman"/>
        </w:rPr>
      </w:pPr>
      <w:r>
        <w:rPr>
          <w:rFonts w:hint="eastAsia"/>
        </w:rPr>
        <w:t>积极开展畜禽养殖污染防治工作的宣传引导，通过广播、电视、报刊、网络、微博、微信等不同媒介，开展畜禽养殖污染防治的舆论宣传，切实提高畜禽养殖场（户）和广大群众的环保意识。及时总结畜禽养殖污染防治典型案例、典型模式，加快推广应用。加强对畜禽养殖场（户）污染防治技术指导和资源化利用技术培训，定期组织开展技术交流和培训，提高从业人员污染治理技术水平和农民污染防治意识。</w:t>
      </w:r>
    </w:p>
    <w:p>
      <w:pPr>
        <w:pStyle w:val="29"/>
        <w:ind w:firstLine="632"/>
        <w:rPr>
          <w:rFonts w:cs="Times New Roman"/>
        </w:rPr>
        <w:sectPr>
          <w:footerReference r:id="rId9" w:type="default"/>
          <w:pgSz w:w="11906" w:h="16838"/>
          <w:pgMar w:top="2098" w:right="1474" w:bottom="1985" w:left="1588" w:header="851" w:footer="992" w:gutter="0"/>
          <w:pgNumType w:start="1"/>
          <w:cols w:space="425" w:num="1"/>
          <w:docGrid w:type="linesAndChars" w:linePitch="579" w:charSpace="-849"/>
        </w:sectPr>
      </w:pPr>
    </w:p>
    <w:p>
      <w:pPr>
        <w:pStyle w:val="3"/>
        <w:spacing w:before="0" w:beforeLines="0" w:after="289"/>
        <w:ind w:firstLine="0" w:firstLineChars="0"/>
        <w:jc w:val="left"/>
        <w:rPr>
          <w:rFonts w:cs="Times New Roman"/>
        </w:rPr>
      </w:pPr>
      <w:bookmarkStart w:id="161" w:name="_Toc23201"/>
      <w:bookmarkStart w:id="162" w:name="_Toc180398841"/>
      <w:bookmarkStart w:id="163" w:name="_Toc119965704"/>
      <w:bookmarkStart w:id="164" w:name="_Toc25894"/>
      <w:bookmarkStart w:id="165" w:name="_Toc121207271"/>
      <w:bookmarkStart w:id="166" w:name="_Toc1052056981"/>
      <w:bookmarkStart w:id="167" w:name="_Toc120630418"/>
      <w:bookmarkStart w:id="168" w:name="_Toc120630516"/>
      <w:r>
        <w:rPr>
          <w:rFonts w:hint="eastAsia" w:cs="Times New Roman"/>
        </w:rPr>
        <w:t>附表一：</w:t>
      </w:r>
      <w:bookmarkStart w:id="169" w:name="_Hlk181112244"/>
      <w:r>
        <w:rPr>
          <w:rFonts w:hint="eastAsia"/>
        </w:rPr>
        <w:t>江门市及各县（市、区）</w:t>
      </w:r>
      <w:r>
        <w:t>2023</w:t>
      </w:r>
      <w:r>
        <w:rPr>
          <w:rFonts w:hint="eastAsia"/>
        </w:rPr>
        <w:t>年各畜种生猪当量一览表</w:t>
      </w:r>
      <w:bookmarkEnd w:id="161"/>
      <w:bookmarkEnd w:id="162"/>
      <w:bookmarkEnd w:id="169"/>
    </w:p>
    <w:tbl>
      <w:tblPr>
        <w:tblStyle w:val="14"/>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Layout w:type="autofit"/>
        <w:tblCellMar>
          <w:top w:w="0" w:type="dxa"/>
          <w:left w:w="108" w:type="dxa"/>
          <w:bottom w:w="0" w:type="dxa"/>
          <w:right w:w="108" w:type="dxa"/>
        </w:tblCellMar>
      </w:tblPr>
      <w:tblGrid>
        <w:gridCol w:w="1632"/>
        <w:gridCol w:w="1177"/>
        <w:gridCol w:w="907"/>
        <w:gridCol w:w="907"/>
        <w:gridCol w:w="1039"/>
        <w:gridCol w:w="1178"/>
        <w:gridCol w:w="905"/>
        <w:gridCol w:w="1040"/>
        <w:gridCol w:w="1040"/>
        <w:gridCol w:w="905"/>
        <w:gridCol w:w="1175"/>
        <w:gridCol w:w="10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312" w:hRule="atLeast"/>
        </w:trPr>
        <w:tc>
          <w:tcPr>
            <w:tcW w:w="420" w:type="pct"/>
            <w:tcBorders>
              <w:tl2br w:val="nil"/>
              <w:tr2bl w:val="nil"/>
            </w:tcBorders>
            <w:shd w:val="clear" w:color="auto" w:fill="FFFFFF" w:themeFill="background1"/>
            <w:noWrap/>
            <w:vAlign w:val="center"/>
          </w:tcPr>
          <w:p>
            <w:pPr>
              <w:pStyle w:val="30"/>
              <w:rPr>
                <w:rFonts w:ascii="黑体" w:hAnsi="黑体" w:eastAsia="黑体"/>
                <w:szCs w:val="24"/>
              </w:rPr>
            </w:pPr>
            <w:bookmarkStart w:id="170" w:name="_Hlk182414355"/>
            <w:r>
              <w:rPr>
                <w:rFonts w:hint="eastAsia" w:ascii="黑体" w:hAnsi="黑体" w:eastAsia="黑体"/>
                <w:szCs w:val="24"/>
              </w:rPr>
              <w:t>县（市、区）</w:t>
            </w:r>
          </w:p>
        </w:tc>
        <w:tc>
          <w:tcPr>
            <w:tcW w:w="473" w:type="pct"/>
            <w:tcBorders>
              <w:tl2br w:val="nil"/>
              <w:tr2bl w:val="nil"/>
            </w:tcBorders>
            <w:shd w:val="clear" w:color="auto" w:fill="FFFFFF" w:themeFill="background1"/>
            <w:noWrap/>
            <w:vAlign w:val="center"/>
          </w:tcPr>
          <w:p>
            <w:pPr>
              <w:pStyle w:val="30"/>
              <w:textAlignment w:val="center"/>
              <w:rPr>
                <w:rFonts w:ascii="黑体" w:hAnsi="黑体" w:eastAsia="黑体"/>
                <w:szCs w:val="24"/>
              </w:rPr>
            </w:pPr>
            <w:r>
              <w:rPr>
                <w:rFonts w:hint="eastAsia" w:ascii="黑体" w:hAnsi="黑体" w:eastAsia="黑体"/>
                <w:szCs w:val="24"/>
              </w:rPr>
              <w:t>生猪</w:t>
            </w:r>
          </w:p>
        </w:tc>
        <w:tc>
          <w:tcPr>
            <w:tcW w:w="369" w:type="pct"/>
            <w:tcBorders>
              <w:tl2br w:val="nil"/>
              <w:tr2bl w:val="nil"/>
            </w:tcBorders>
            <w:shd w:val="clear" w:color="auto" w:fill="FFFFFF" w:themeFill="background1"/>
            <w:noWrap/>
            <w:vAlign w:val="center"/>
          </w:tcPr>
          <w:p>
            <w:pPr>
              <w:pStyle w:val="30"/>
              <w:textAlignment w:val="center"/>
              <w:rPr>
                <w:rFonts w:ascii="黑体" w:hAnsi="黑体" w:eastAsia="黑体"/>
                <w:szCs w:val="24"/>
              </w:rPr>
            </w:pPr>
            <w:r>
              <w:rPr>
                <w:rFonts w:hint="eastAsia" w:ascii="黑体" w:hAnsi="黑体" w:eastAsia="黑体"/>
                <w:szCs w:val="24"/>
              </w:rPr>
              <w:t>奶牛</w:t>
            </w:r>
          </w:p>
        </w:tc>
        <w:tc>
          <w:tcPr>
            <w:tcW w:w="369" w:type="pct"/>
            <w:tcBorders>
              <w:tl2br w:val="nil"/>
              <w:tr2bl w:val="nil"/>
            </w:tcBorders>
            <w:shd w:val="clear" w:color="auto" w:fill="FFFFFF" w:themeFill="background1"/>
            <w:noWrap/>
            <w:vAlign w:val="center"/>
          </w:tcPr>
          <w:p>
            <w:pPr>
              <w:pStyle w:val="30"/>
              <w:textAlignment w:val="center"/>
              <w:rPr>
                <w:rFonts w:ascii="黑体" w:hAnsi="黑体" w:eastAsia="黑体"/>
                <w:szCs w:val="24"/>
              </w:rPr>
            </w:pPr>
            <w:r>
              <w:rPr>
                <w:rFonts w:hint="eastAsia" w:ascii="黑体" w:hAnsi="黑体" w:eastAsia="黑体"/>
                <w:szCs w:val="24"/>
              </w:rPr>
              <w:t>肉牛</w:t>
            </w:r>
          </w:p>
        </w:tc>
        <w:tc>
          <w:tcPr>
            <w:tcW w:w="420" w:type="pct"/>
            <w:tcBorders>
              <w:tl2br w:val="nil"/>
              <w:tr2bl w:val="nil"/>
            </w:tcBorders>
            <w:shd w:val="clear" w:color="auto" w:fill="FFFFFF" w:themeFill="background1"/>
            <w:noWrap/>
            <w:vAlign w:val="center"/>
          </w:tcPr>
          <w:p>
            <w:pPr>
              <w:pStyle w:val="30"/>
              <w:textAlignment w:val="center"/>
              <w:rPr>
                <w:rFonts w:ascii="黑体" w:hAnsi="黑体" w:eastAsia="黑体"/>
                <w:szCs w:val="24"/>
              </w:rPr>
            </w:pPr>
            <w:r>
              <w:rPr>
                <w:rFonts w:hint="eastAsia" w:ascii="黑体" w:hAnsi="黑体" w:eastAsia="黑体"/>
                <w:szCs w:val="24"/>
              </w:rPr>
              <w:t>蛋鸡</w:t>
            </w:r>
          </w:p>
        </w:tc>
        <w:tc>
          <w:tcPr>
            <w:tcW w:w="473" w:type="pct"/>
            <w:tcBorders>
              <w:tl2br w:val="nil"/>
              <w:tr2bl w:val="nil"/>
            </w:tcBorders>
            <w:shd w:val="clear" w:color="auto" w:fill="FFFFFF" w:themeFill="background1"/>
            <w:noWrap/>
            <w:vAlign w:val="center"/>
          </w:tcPr>
          <w:p>
            <w:pPr>
              <w:pStyle w:val="30"/>
              <w:textAlignment w:val="center"/>
              <w:rPr>
                <w:rFonts w:ascii="黑体" w:hAnsi="黑体" w:eastAsia="黑体"/>
                <w:szCs w:val="24"/>
              </w:rPr>
            </w:pPr>
            <w:r>
              <w:rPr>
                <w:rFonts w:hint="eastAsia" w:ascii="黑体" w:hAnsi="黑体" w:eastAsia="黑体"/>
                <w:szCs w:val="24"/>
              </w:rPr>
              <w:t>肉鸡</w:t>
            </w:r>
          </w:p>
        </w:tc>
        <w:tc>
          <w:tcPr>
            <w:tcW w:w="368" w:type="pct"/>
            <w:tcBorders>
              <w:tl2br w:val="nil"/>
              <w:tr2bl w:val="nil"/>
            </w:tcBorders>
            <w:shd w:val="clear" w:color="auto" w:fill="FFFFFF" w:themeFill="background1"/>
            <w:vAlign w:val="center"/>
          </w:tcPr>
          <w:p>
            <w:pPr>
              <w:pStyle w:val="30"/>
              <w:textAlignment w:val="center"/>
              <w:rPr>
                <w:rFonts w:ascii="黑体" w:hAnsi="黑体" w:eastAsia="黑体"/>
                <w:szCs w:val="24"/>
              </w:rPr>
            </w:pPr>
            <w:r>
              <w:rPr>
                <w:rFonts w:hint="eastAsia" w:ascii="黑体" w:hAnsi="黑体" w:eastAsia="黑体"/>
                <w:szCs w:val="24"/>
              </w:rPr>
              <w:t>山羊</w:t>
            </w:r>
          </w:p>
        </w:tc>
        <w:tc>
          <w:tcPr>
            <w:tcW w:w="420" w:type="pct"/>
            <w:tcBorders>
              <w:tl2br w:val="nil"/>
              <w:tr2bl w:val="nil"/>
            </w:tcBorders>
            <w:shd w:val="clear" w:color="auto" w:fill="FFFFFF" w:themeFill="background1"/>
            <w:vAlign w:val="center"/>
          </w:tcPr>
          <w:p>
            <w:pPr>
              <w:pStyle w:val="30"/>
              <w:textAlignment w:val="center"/>
              <w:rPr>
                <w:rFonts w:ascii="黑体" w:hAnsi="黑体" w:eastAsia="黑体"/>
                <w:szCs w:val="24"/>
              </w:rPr>
            </w:pPr>
            <w:r>
              <w:rPr>
                <w:rFonts w:hint="eastAsia" w:ascii="黑体" w:hAnsi="黑体" w:eastAsia="黑体"/>
                <w:szCs w:val="24"/>
              </w:rPr>
              <w:t>肉鸭</w:t>
            </w:r>
          </w:p>
        </w:tc>
        <w:tc>
          <w:tcPr>
            <w:tcW w:w="420" w:type="pct"/>
            <w:tcBorders>
              <w:tl2br w:val="nil"/>
              <w:tr2bl w:val="nil"/>
            </w:tcBorders>
            <w:shd w:val="clear" w:color="auto" w:fill="FFFFFF" w:themeFill="background1"/>
            <w:vAlign w:val="center"/>
          </w:tcPr>
          <w:p>
            <w:pPr>
              <w:pStyle w:val="30"/>
              <w:textAlignment w:val="center"/>
              <w:rPr>
                <w:rFonts w:ascii="黑体" w:hAnsi="黑体" w:eastAsia="黑体"/>
                <w:szCs w:val="24"/>
              </w:rPr>
            </w:pPr>
            <w:r>
              <w:rPr>
                <w:rFonts w:hint="eastAsia" w:ascii="黑体" w:hAnsi="黑体" w:eastAsia="黑体"/>
                <w:szCs w:val="24"/>
              </w:rPr>
              <w:t>肉鹅</w:t>
            </w:r>
          </w:p>
        </w:tc>
        <w:tc>
          <w:tcPr>
            <w:tcW w:w="368" w:type="pct"/>
            <w:tcBorders>
              <w:tl2br w:val="nil"/>
              <w:tr2bl w:val="nil"/>
            </w:tcBorders>
            <w:shd w:val="clear" w:color="auto" w:fill="FFFFFF" w:themeFill="background1"/>
            <w:vAlign w:val="center"/>
          </w:tcPr>
          <w:p>
            <w:pPr>
              <w:pStyle w:val="30"/>
              <w:textAlignment w:val="center"/>
              <w:rPr>
                <w:rFonts w:ascii="黑体" w:hAnsi="黑体" w:eastAsia="黑体"/>
                <w:szCs w:val="24"/>
              </w:rPr>
            </w:pPr>
            <w:r>
              <w:rPr>
                <w:rFonts w:hint="eastAsia" w:ascii="黑体" w:hAnsi="黑体" w:eastAsia="黑体"/>
                <w:szCs w:val="24"/>
              </w:rPr>
              <w:t>肉鸽</w:t>
            </w:r>
          </w:p>
        </w:tc>
        <w:tc>
          <w:tcPr>
            <w:tcW w:w="472" w:type="pct"/>
            <w:tcBorders>
              <w:tl2br w:val="nil"/>
              <w:tr2bl w:val="nil"/>
            </w:tcBorders>
            <w:shd w:val="clear" w:color="auto" w:fill="FFFFFF" w:themeFill="background1"/>
            <w:vAlign w:val="center"/>
          </w:tcPr>
          <w:p>
            <w:pPr>
              <w:pStyle w:val="30"/>
              <w:textAlignment w:val="center"/>
              <w:rPr>
                <w:rFonts w:ascii="黑体" w:hAnsi="黑体" w:eastAsia="黑体"/>
                <w:szCs w:val="24"/>
              </w:rPr>
            </w:pPr>
            <w:r>
              <w:rPr>
                <w:rFonts w:hint="eastAsia" w:ascii="黑体" w:hAnsi="黑体" w:eastAsia="黑体"/>
                <w:szCs w:val="24"/>
              </w:rPr>
              <w:t>合计</w:t>
            </w:r>
          </w:p>
        </w:tc>
        <w:tc>
          <w:tcPr>
            <w:tcW w:w="429" w:type="pct"/>
            <w:tcBorders>
              <w:tl2br w:val="nil"/>
              <w:tr2bl w:val="nil"/>
            </w:tcBorders>
            <w:shd w:val="clear" w:color="auto" w:fill="FFFFFF" w:themeFill="background1"/>
            <w:vAlign w:val="center"/>
          </w:tcPr>
          <w:p>
            <w:pPr>
              <w:pStyle w:val="30"/>
              <w:textAlignment w:val="center"/>
              <w:rPr>
                <w:rFonts w:ascii="黑体" w:hAnsi="黑体" w:eastAsia="黑体"/>
                <w:szCs w:val="24"/>
              </w:rPr>
            </w:pPr>
            <w:r>
              <w:rPr>
                <w:rFonts w:hint="eastAsia" w:ascii="黑体" w:hAnsi="黑体" w:eastAsia="黑体"/>
                <w:szCs w:val="24"/>
              </w:rPr>
              <w:t>占全市比重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312" w:hRule="atLeast"/>
        </w:trPr>
        <w:tc>
          <w:tcPr>
            <w:tcW w:w="420" w:type="pct"/>
            <w:tcBorders>
              <w:tl2br w:val="nil"/>
              <w:tr2bl w:val="nil"/>
            </w:tcBorders>
            <w:shd w:val="clear" w:color="auto" w:fill="FFFFFF" w:themeFill="background1"/>
            <w:noWrap/>
            <w:vAlign w:val="center"/>
          </w:tcPr>
          <w:p>
            <w:pPr>
              <w:pStyle w:val="30"/>
              <w:textAlignment w:val="center"/>
              <w:rPr>
                <w:szCs w:val="24"/>
              </w:rPr>
            </w:pPr>
            <w:r>
              <w:rPr>
                <w:rFonts w:hint="eastAsia"/>
                <w:szCs w:val="24"/>
              </w:rPr>
              <w:t>江门市</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1258049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14820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52357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182075 </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1003867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10279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327493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332784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97058 </w:t>
            </w:r>
          </w:p>
        </w:tc>
        <w:tc>
          <w:tcPr>
            <w:tcW w:w="472" w:type="pct"/>
            <w:tcBorders>
              <w:tl2br w:val="nil"/>
              <w:tr2bl w:val="nil"/>
            </w:tcBorders>
            <w:shd w:val="clear" w:color="auto" w:fill="FFFFFF" w:themeFill="background1"/>
            <w:noWrap/>
            <w:vAlign w:val="center"/>
          </w:tcPr>
          <w:p>
            <w:pPr>
              <w:pStyle w:val="30"/>
              <w:textAlignment w:val="center"/>
              <w:rPr>
                <w:szCs w:val="24"/>
              </w:rPr>
            </w:pPr>
            <w:r>
              <w:rPr>
                <w:szCs w:val="24"/>
              </w:rPr>
              <w:t xml:space="preserve">3278781 </w:t>
            </w:r>
          </w:p>
        </w:tc>
        <w:tc>
          <w:tcPr>
            <w:tcW w:w="429" w:type="pct"/>
            <w:tcBorders>
              <w:tl2br w:val="nil"/>
              <w:tr2bl w:val="nil"/>
            </w:tcBorders>
            <w:shd w:val="clear" w:color="auto" w:fill="FFFFFF" w:themeFill="background1"/>
            <w:noWrap/>
            <w:vAlign w:val="center"/>
          </w:tcPr>
          <w:p>
            <w:pPr>
              <w:pStyle w:val="30"/>
              <w:textAlignment w:val="center"/>
              <w:rPr>
                <w:szCs w:val="24"/>
              </w:rPr>
            </w:pPr>
            <w:r>
              <w:rPr>
                <w:szCs w:val="24"/>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312" w:hRule="atLeast"/>
        </w:trPr>
        <w:tc>
          <w:tcPr>
            <w:tcW w:w="420" w:type="pct"/>
            <w:tcBorders>
              <w:tl2br w:val="nil"/>
              <w:tr2bl w:val="nil"/>
            </w:tcBorders>
            <w:shd w:val="clear" w:color="auto" w:fill="FFFFFF" w:themeFill="background1"/>
            <w:noWrap/>
            <w:vAlign w:val="center"/>
          </w:tcPr>
          <w:p>
            <w:pPr>
              <w:pStyle w:val="30"/>
              <w:textAlignment w:val="center"/>
              <w:rPr>
                <w:szCs w:val="24"/>
              </w:rPr>
            </w:pPr>
            <w:r>
              <w:rPr>
                <w:rFonts w:hint="eastAsia"/>
                <w:szCs w:val="24"/>
              </w:rPr>
              <w:t>蓬江区</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0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0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87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0 </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2678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37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0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240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10043 </w:t>
            </w:r>
          </w:p>
        </w:tc>
        <w:tc>
          <w:tcPr>
            <w:tcW w:w="472" w:type="pct"/>
            <w:tcBorders>
              <w:tl2br w:val="nil"/>
              <w:tr2bl w:val="nil"/>
            </w:tcBorders>
            <w:shd w:val="clear" w:color="auto" w:fill="FFFFFF" w:themeFill="background1"/>
            <w:noWrap/>
            <w:vAlign w:val="center"/>
          </w:tcPr>
          <w:p>
            <w:pPr>
              <w:pStyle w:val="30"/>
              <w:textAlignment w:val="center"/>
              <w:rPr>
                <w:szCs w:val="24"/>
              </w:rPr>
            </w:pPr>
            <w:r>
              <w:rPr>
                <w:szCs w:val="24"/>
              </w:rPr>
              <w:t xml:space="preserve">13085 </w:t>
            </w:r>
          </w:p>
        </w:tc>
        <w:tc>
          <w:tcPr>
            <w:tcW w:w="429" w:type="pct"/>
            <w:tcBorders>
              <w:tl2br w:val="nil"/>
              <w:tr2bl w:val="nil"/>
            </w:tcBorders>
            <w:shd w:val="clear" w:color="auto" w:fill="FFFFFF" w:themeFill="background1"/>
            <w:noWrap/>
            <w:vAlign w:val="center"/>
          </w:tcPr>
          <w:p>
            <w:pPr>
              <w:pStyle w:val="30"/>
              <w:textAlignment w:val="center"/>
              <w:rPr>
                <w:szCs w:val="24"/>
              </w:rPr>
            </w:pPr>
            <w:r>
              <w:rPr>
                <w:szCs w:val="24"/>
              </w:rPr>
              <w:t>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PrEx>
        <w:trPr>
          <w:trHeight w:val="312" w:hRule="atLeast"/>
        </w:trPr>
        <w:tc>
          <w:tcPr>
            <w:tcW w:w="420" w:type="pct"/>
            <w:tcBorders>
              <w:tl2br w:val="nil"/>
              <w:tr2bl w:val="nil"/>
            </w:tcBorders>
            <w:shd w:val="clear" w:color="auto" w:fill="FFFFFF" w:themeFill="background1"/>
            <w:noWrap/>
            <w:vAlign w:val="center"/>
          </w:tcPr>
          <w:p>
            <w:pPr>
              <w:pStyle w:val="30"/>
              <w:textAlignment w:val="center"/>
              <w:rPr>
                <w:szCs w:val="24"/>
              </w:rPr>
            </w:pPr>
            <w:r>
              <w:rPr>
                <w:rFonts w:hint="eastAsia"/>
                <w:szCs w:val="24"/>
              </w:rPr>
              <w:t>江海区</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0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0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0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12 </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59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0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0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0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1415 </w:t>
            </w:r>
          </w:p>
        </w:tc>
        <w:tc>
          <w:tcPr>
            <w:tcW w:w="472" w:type="pct"/>
            <w:tcBorders>
              <w:tl2br w:val="nil"/>
              <w:tr2bl w:val="nil"/>
            </w:tcBorders>
            <w:shd w:val="clear" w:color="auto" w:fill="FFFFFF" w:themeFill="background1"/>
            <w:noWrap/>
            <w:vAlign w:val="center"/>
          </w:tcPr>
          <w:p>
            <w:pPr>
              <w:pStyle w:val="30"/>
              <w:textAlignment w:val="center"/>
              <w:rPr>
                <w:szCs w:val="24"/>
              </w:rPr>
            </w:pPr>
            <w:r>
              <w:rPr>
                <w:szCs w:val="24"/>
              </w:rPr>
              <w:t xml:space="preserve">1485 </w:t>
            </w:r>
          </w:p>
        </w:tc>
        <w:tc>
          <w:tcPr>
            <w:tcW w:w="429" w:type="pct"/>
            <w:tcBorders>
              <w:tl2br w:val="nil"/>
              <w:tr2bl w:val="nil"/>
            </w:tcBorders>
            <w:shd w:val="clear" w:color="auto" w:fill="FFFFFF" w:themeFill="background1"/>
            <w:noWrap/>
            <w:vAlign w:val="center"/>
          </w:tcPr>
          <w:p>
            <w:pPr>
              <w:pStyle w:val="30"/>
              <w:textAlignment w:val="center"/>
              <w:rPr>
                <w:szCs w:val="24"/>
              </w:rPr>
            </w:pPr>
            <w:r>
              <w:rPr>
                <w:szCs w:val="24"/>
              </w:rPr>
              <w:t>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312" w:hRule="atLeast"/>
        </w:trPr>
        <w:tc>
          <w:tcPr>
            <w:tcW w:w="420" w:type="pct"/>
            <w:tcBorders>
              <w:tl2br w:val="nil"/>
              <w:tr2bl w:val="nil"/>
            </w:tcBorders>
            <w:shd w:val="clear" w:color="auto" w:fill="FFFFFF" w:themeFill="background1"/>
            <w:noWrap/>
            <w:vAlign w:val="center"/>
          </w:tcPr>
          <w:p>
            <w:pPr>
              <w:pStyle w:val="30"/>
              <w:textAlignment w:val="center"/>
              <w:rPr>
                <w:szCs w:val="24"/>
              </w:rPr>
            </w:pPr>
            <w:r>
              <w:rPr>
                <w:rFonts w:hint="eastAsia"/>
                <w:szCs w:val="24"/>
              </w:rPr>
              <w:t>新会区</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135720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8013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0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14669 </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79042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1822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87846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72583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22433 </w:t>
            </w:r>
          </w:p>
        </w:tc>
        <w:tc>
          <w:tcPr>
            <w:tcW w:w="472" w:type="pct"/>
            <w:tcBorders>
              <w:tl2br w:val="nil"/>
              <w:tr2bl w:val="nil"/>
            </w:tcBorders>
            <w:shd w:val="clear" w:color="auto" w:fill="FFFFFF" w:themeFill="background1"/>
            <w:noWrap/>
            <w:vAlign w:val="center"/>
          </w:tcPr>
          <w:p>
            <w:pPr>
              <w:pStyle w:val="30"/>
              <w:textAlignment w:val="center"/>
              <w:rPr>
                <w:szCs w:val="24"/>
              </w:rPr>
            </w:pPr>
            <w:r>
              <w:rPr>
                <w:szCs w:val="24"/>
              </w:rPr>
              <w:t xml:space="preserve">422129 </w:t>
            </w:r>
          </w:p>
        </w:tc>
        <w:tc>
          <w:tcPr>
            <w:tcW w:w="429" w:type="pct"/>
            <w:tcBorders>
              <w:tl2br w:val="nil"/>
              <w:tr2bl w:val="nil"/>
            </w:tcBorders>
            <w:shd w:val="clear" w:color="auto" w:fill="FFFFFF" w:themeFill="background1"/>
            <w:noWrap/>
            <w:vAlign w:val="center"/>
          </w:tcPr>
          <w:p>
            <w:pPr>
              <w:pStyle w:val="30"/>
              <w:textAlignment w:val="center"/>
              <w:rPr>
                <w:szCs w:val="24"/>
              </w:rPr>
            </w:pPr>
            <w:r>
              <w:rPr>
                <w:szCs w:val="24"/>
              </w:rPr>
              <w:t>12.9%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312" w:hRule="atLeast"/>
        </w:trPr>
        <w:tc>
          <w:tcPr>
            <w:tcW w:w="420" w:type="pct"/>
            <w:tcBorders>
              <w:tl2br w:val="nil"/>
              <w:tr2bl w:val="nil"/>
            </w:tcBorders>
            <w:shd w:val="clear" w:color="auto" w:fill="FFFFFF" w:themeFill="background1"/>
            <w:noWrap/>
            <w:vAlign w:val="center"/>
          </w:tcPr>
          <w:p>
            <w:pPr>
              <w:pStyle w:val="30"/>
              <w:textAlignment w:val="center"/>
              <w:rPr>
                <w:szCs w:val="24"/>
              </w:rPr>
            </w:pPr>
            <w:r>
              <w:rPr>
                <w:rFonts w:hint="eastAsia"/>
                <w:szCs w:val="24"/>
              </w:rPr>
              <w:t>台山市</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220608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807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22027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36235 </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380199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4456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68090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68010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6249 </w:t>
            </w:r>
          </w:p>
        </w:tc>
        <w:tc>
          <w:tcPr>
            <w:tcW w:w="472" w:type="pct"/>
            <w:tcBorders>
              <w:tl2br w:val="nil"/>
              <w:tr2bl w:val="nil"/>
            </w:tcBorders>
            <w:shd w:val="clear" w:color="auto" w:fill="FFFFFF" w:themeFill="background1"/>
            <w:noWrap/>
            <w:vAlign w:val="center"/>
          </w:tcPr>
          <w:p>
            <w:pPr>
              <w:pStyle w:val="30"/>
              <w:textAlignment w:val="center"/>
              <w:rPr>
                <w:szCs w:val="24"/>
              </w:rPr>
            </w:pPr>
            <w:r>
              <w:rPr>
                <w:szCs w:val="24"/>
              </w:rPr>
              <w:t xml:space="preserve">806681 </w:t>
            </w:r>
          </w:p>
        </w:tc>
        <w:tc>
          <w:tcPr>
            <w:tcW w:w="429" w:type="pct"/>
            <w:tcBorders>
              <w:tl2br w:val="nil"/>
              <w:tr2bl w:val="nil"/>
            </w:tcBorders>
            <w:shd w:val="clear" w:color="auto" w:fill="FFFFFF" w:themeFill="background1"/>
            <w:noWrap/>
            <w:vAlign w:val="center"/>
          </w:tcPr>
          <w:p>
            <w:pPr>
              <w:pStyle w:val="30"/>
              <w:textAlignment w:val="center"/>
              <w:rPr>
                <w:szCs w:val="24"/>
              </w:rPr>
            </w:pPr>
            <w:r>
              <w:rPr>
                <w:szCs w:val="24"/>
              </w:rPr>
              <w:t>24.6%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312" w:hRule="atLeast"/>
        </w:trPr>
        <w:tc>
          <w:tcPr>
            <w:tcW w:w="420" w:type="pct"/>
            <w:tcBorders>
              <w:tl2br w:val="nil"/>
              <w:tr2bl w:val="nil"/>
            </w:tcBorders>
            <w:shd w:val="clear" w:color="auto" w:fill="FFFFFF" w:themeFill="background1"/>
            <w:noWrap/>
            <w:vAlign w:val="center"/>
          </w:tcPr>
          <w:p>
            <w:pPr>
              <w:pStyle w:val="30"/>
              <w:textAlignment w:val="center"/>
              <w:rPr>
                <w:szCs w:val="24"/>
              </w:rPr>
            </w:pPr>
            <w:r>
              <w:rPr>
                <w:rFonts w:hint="eastAsia"/>
                <w:szCs w:val="24"/>
              </w:rPr>
              <w:t>开平市</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308874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6000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5897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96868 </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350646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1791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111980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153915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19260 </w:t>
            </w:r>
          </w:p>
        </w:tc>
        <w:tc>
          <w:tcPr>
            <w:tcW w:w="472" w:type="pct"/>
            <w:tcBorders>
              <w:tl2br w:val="nil"/>
              <w:tr2bl w:val="nil"/>
            </w:tcBorders>
            <w:shd w:val="clear" w:color="auto" w:fill="FFFFFF" w:themeFill="background1"/>
            <w:noWrap/>
            <w:vAlign w:val="center"/>
          </w:tcPr>
          <w:p>
            <w:pPr>
              <w:pStyle w:val="30"/>
              <w:textAlignment w:val="center"/>
              <w:rPr>
                <w:szCs w:val="24"/>
              </w:rPr>
            </w:pPr>
            <w:r>
              <w:rPr>
                <w:szCs w:val="24"/>
              </w:rPr>
              <w:t xml:space="preserve">1055231 </w:t>
            </w:r>
          </w:p>
        </w:tc>
        <w:tc>
          <w:tcPr>
            <w:tcW w:w="429" w:type="pct"/>
            <w:tcBorders>
              <w:tl2br w:val="nil"/>
              <w:tr2bl w:val="nil"/>
            </w:tcBorders>
            <w:shd w:val="clear" w:color="auto" w:fill="FFFFFF" w:themeFill="background1"/>
            <w:noWrap/>
            <w:vAlign w:val="center"/>
          </w:tcPr>
          <w:p>
            <w:pPr>
              <w:pStyle w:val="30"/>
              <w:textAlignment w:val="center"/>
              <w:rPr>
                <w:szCs w:val="24"/>
              </w:rPr>
            </w:pPr>
            <w:r>
              <w:rPr>
                <w:szCs w:val="24"/>
              </w:rPr>
              <w:t>32.2%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PrEx>
        <w:trPr>
          <w:trHeight w:val="312" w:hRule="atLeast"/>
        </w:trPr>
        <w:tc>
          <w:tcPr>
            <w:tcW w:w="420" w:type="pct"/>
            <w:tcBorders>
              <w:tl2br w:val="nil"/>
              <w:tr2bl w:val="nil"/>
            </w:tcBorders>
            <w:shd w:val="clear" w:color="auto" w:fill="FFFFFF" w:themeFill="background1"/>
            <w:noWrap/>
            <w:vAlign w:val="center"/>
          </w:tcPr>
          <w:p>
            <w:pPr>
              <w:pStyle w:val="30"/>
              <w:textAlignment w:val="center"/>
              <w:rPr>
                <w:szCs w:val="24"/>
              </w:rPr>
            </w:pPr>
            <w:r>
              <w:rPr>
                <w:rFonts w:hint="eastAsia"/>
                <w:szCs w:val="24"/>
              </w:rPr>
              <w:t>鹤山市</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234660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0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5033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31091 </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117930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1281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6969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3497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28154 </w:t>
            </w:r>
          </w:p>
        </w:tc>
        <w:tc>
          <w:tcPr>
            <w:tcW w:w="472" w:type="pct"/>
            <w:tcBorders>
              <w:tl2br w:val="nil"/>
              <w:tr2bl w:val="nil"/>
            </w:tcBorders>
            <w:shd w:val="clear" w:color="auto" w:fill="FFFFFF" w:themeFill="background1"/>
            <w:noWrap/>
            <w:vAlign w:val="center"/>
          </w:tcPr>
          <w:p>
            <w:pPr>
              <w:pStyle w:val="30"/>
              <w:textAlignment w:val="center"/>
              <w:rPr>
                <w:szCs w:val="24"/>
              </w:rPr>
            </w:pPr>
            <w:r>
              <w:rPr>
                <w:szCs w:val="24"/>
              </w:rPr>
              <w:t xml:space="preserve">428614 </w:t>
            </w:r>
          </w:p>
        </w:tc>
        <w:tc>
          <w:tcPr>
            <w:tcW w:w="429" w:type="pct"/>
            <w:tcBorders>
              <w:tl2br w:val="nil"/>
              <w:tr2bl w:val="nil"/>
            </w:tcBorders>
            <w:shd w:val="clear" w:color="auto" w:fill="FFFFFF" w:themeFill="background1"/>
            <w:noWrap/>
            <w:vAlign w:val="center"/>
          </w:tcPr>
          <w:p>
            <w:pPr>
              <w:pStyle w:val="30"/>
              <w:textAlignment w:val="center"/>
              <w:rPr>
                <w:szCs w:val="24"/>
              </w:rPr>
            </w:pPr>
            <w:r>
              <w:rPr>
                <w:szCs w:val="24"/>
              </w:rPr>
              <w:t>13.1%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hemeFill="background1"/>
          <w:tblCellMar>
            <w:top w:w="0" w:type="dxa"/>
            <w:left w:w="108" w:type="dxa"/>
            <w:bottom w:w="0" w:type="dxa"/>
            <w:right w:w="108" w:type="dxa"/>
          </w:tblCellMar>
        </w:tblPrEx>
        <w:trPr>
          <w:trHeight w:val="312" w:hRule="atLeast"/>
        </w:trPr>
        <w:tc>
          <w:tcPr>
            <w:tcW w:w="420" w:type="pct"/>
            <w:tcBorders>
              <w:tl2br w:val="nil"/>
              <w:tr2bl w:val="nil"/>
            </w:tcBorders>
            <w:shd w:val="clear" w:color="auto" w:fill="FFFFFF" w:themeFill="background1"/>
            <w:noWrap/>
            <w:vAlign w:val="center"/>
          </w:tcPr>
          <w:p>
            <w:pPr>
              <w:pStyle w:val="30"/>
              <w:textAlignment w:val="center"/>
              <w:rPr>
                <w:szCs w:val="24"/>
              </w:rPr>
            </w:pPr>
            <w:r>
              <w:rPr>
                <w:rFonts w:hint="eastAsia"/>
                <w:szCs w:val="24"/>
              </w:rPr>
              <w:t>恩平市</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358187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0 </w:t>
            </w:r>
          </w:p>
        </w:tc>
        <w:tc>
          <w:tcPr>
            <w:tcW w:w="369" w:type="pct"/>
            <w:tcBorders>
              <w:tl2br w:val="nil"/>
              <w:tr2bl w:val="nil"/>
            </w:tcBorders>
            <w:shd w:val="clear" w:color="auto" w:fill="FFFFFF" w:themeFill="background1"/>
            <w:noWrap/>
            <w:vAlign w:val="center"/>
          </w:tcPr>
          <w:p>
            <w:pPr>
              <w:pStyle w:val="30"/>
              <w:textAlignment w:val="center"/>
              <w:rPr>
                <w:szCs w:val="24"/>
              </w:rPr>
            </w:pPr>
            <w:r>
              <w:rPr>
                <w:szCs w:val="24"/>
              </w:rPr>
              <w:t xml:space="preserve">19313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3200 </w:t>
            </w:r>
          </w:p>
        </w:tc>
        <w:tc>
          <w:tcPr>
            <w:tcW w:w="473" w:type="pct"/>
            <w:tcBorders>
              <w:tl2br w:val="nil"/>
              <w:tr2bl w:val="nil"/>
            </w:tcBorders>
            <w:shd w:val="clear" w:color="auto" w:fill="FFFFFF" w:themeFill="background1"/>
            <w:noWrap/>
            <w:vAlign w:val="center"/>
          </w:tcPr>
          <w:p>
            <w:pPr>
              <w:pStyle w:val="30"/>
              <w:textAlignment w:val="center"/>
              <w:rPr>
                <w:szCs w:val="24"/>
              </w:rPr>
            </w:pPr>
            <w:r>
              <w:rPr>
                <w:szCs w:val="24"/>
              </w:rPr>
              <w:t xml:space="preserve">73314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891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52608 </w:t>
            </w:r>
          </w:p>
        </w:tc>
        <w:tc>
          <w:tcPr>
            <w:tcW w:w="420" w:type="pct"/>
            <w:tcBorders>
              <w:tl2br w:val="nil"/>
              <w:tr2bl w:val="nil"/>
            </w:tcBorders>
            <w:shd w:val="clear" w:color="auto" w:fill="FFFFFF" w:themeFill="background1"/>
            <w:noWrap/>
            <w:vAlign w:val="center"/>
          </w:tcPr>
          <w:p>
            <w:pPr>
              <w:pStyle w:val="30"/>
              <w:textAlignment w:val="center"/>
              <w:rPr>
                <w:szCs w:val="24"/>
              </w:rPr>
            </w:pPr>
            <w:r>
              <w:rPr>
                <w:szCs w:val="24"/>
              </w:rPr>
              <w:t xml:space="preserve">34539 </w:t>
            </w:r>
          </w:p>
        </w:tc>
        <w:tc>
          <w:tcPr>
            <w:tcW w:w="368" w:type="pct"/>
            <w:tcBorders>
              <w:tl2br w:val="nil"/>
              <w:tr2bl w:val="nil"/>
            </w:tcBorders>
            <w:shd w:val="clear" w:color="auto" w:fill="FFFFFF" w:themeFill="background1"/>
            <w:noWrap/>
            <w:vAlign w:val="center"/>
          </w:tcPr>
          <w:p>
            <w:pPr>
              <w:pStyle w:val="30"/>
              <w:textAlignment w:val="center"/>
              <w:rPr>
                <w:szCs w:val="24"/>
              </w:rPr>
            </w:pPr>
            <w:r>
              <w:rPr>
                <w:szCs w:val="24"/>
              </w:rPr>
              <w:t xml:space="preserve">9504 </w:t>
            </w:r>
          </w:p>
        </w:tc>
        <w:tc>
          <w:tcPr>
            <w:tcW w:w="472" w:type="pct"/>
            <w:tcBorders>
              <w:tl2br w:val="nil"/>
              <w:tr2bl w:val="nil"/>
            </w:tcBorders>
            <w:shd w:val="clear" w:color="auto" w:fill="FFFFFF" w:themeFill="background1"/>
            <w:noWrap/>
            <w:vAlign w:val="center"/>
          </w:tcPr>
          <w:p>
            <w:pPr>
              <w:pStyle w:val="30"/>
              <w:textAlignment w:val="center"/>
              <w:rPr>
                <w:szCs w:val="24"/>
              </w:rPr>
            </w:pPr>
            <w:r>
              <w:rPr>
                <w:szCs w:val="24"/>
              </w:rPr>
              <w:t xml:space="preserve">551556 </w:t>
            </w:r>
          </w:p>
        </w:tc>
        <w:tc>
          <w:tcPr>
            <w:tcW w:w="429" w:type="pct"/>
            <w:tcBorders>
              <w:tl2br w:val="nil"/>
              <w:tr2bl w:val="nil"/>
            </w:tcBorders>
            <w:shd w:val="clear" w:color="auto" w:fill="FFFFFF" w:themeFill="background1"/>
            <w:noWrap/>
            <w:vAlign w:val="center"/>
          </w:tcPr>
          <w:p>
            <w:pPr>
              <w:pStyle w:val="30"/>
              <w:textAlignment w:val="center"/>
              <w:rPr>
                <w:szCs w:val="24"/>
              </w:rPr>
            </w:pPr>
            <w:r>
              <w:rPr>
                <w:szCs w:val="24"/>
              </w:rPr>
              <w:t>16.8%</w:t>
            </w:r>
          </w:p>
        </w:tc>
      </w:tr>
      <w:bookmarkEnd w:id="170"/>
    </w:tbl>
    <w:p>
      <w:pPr>
        <w:spacing w:after="289" w:line="360" w:lineRule="exact"/>
        <w:ind w:firstLine="629" w:firstLineChars="0"/>
        <w:jc w:val="left"/>
        <w:sectPr>
          <w:pgSz w:w="16838" w:h="11906" w:orient="landscape"/>
          <w:pgMar w:top="1588" w:right="2098" w:bottom="1474" w:left="1985" w:header="851" w:footer="992" w:gutter="0"/>
          <w:cols w:space="425" w:num="1"/>
          <w:docGrid w:type="linesAndChars" w:linePitch="579" w:charSpace="-849"/>
        </w:sectPr>
      </w:pPr>
      <w:r>
        <w:rPr>
          <w:rFonts w:hint="eastAsia"/>
          <w:sz w:val="24"/>
          <w:szCs w:val="24"/>
        </w:rPr>
        <w:t>注：各畜种生猪当量按照</w:t>
      </w:r>
      <w:r>
        <w:rPr>
          <w:sz w:val="24"/>
          <w:szCs w:val="24"/>
        </w:rPr>
        <w:t>2023</w:t>
      </w:r>
      <w:r>
        <w:rPr>
          <w:rFonts w:hint="eastAsia"/>
          <w:sz w:val="24"/>
          <w:szCs w:val="24"/>
        </w:rPr>
        <w:t>年末存栏量核算。</w:t>
      </w:r>
    </w:p>
    <w:bookmarkEnd w:id="163"/>
    <w:bookmarkEnd w:id="164"/>
    <w:bookmarkEnd w:id="165"/>
    <w:bookmarkEnd w:id="166"/>
    <w:bookmarkEnd w:id="167"/>
    <w:bookmarkEnd w:id="168"/>
    <w:p>
      <w:pPr>
        <w:pStyle w:val="3"/>
        <w:spacing w:before="0" w:beforeLines="0" w:after="289"/>
        <w:ind w:left="177" w:firstLine="0" w:firstLineChars="0"/>
        <w:jc w:val="left"/>
        <w:rPr>
          <w:rFonts w:cs="Times New Roman"/>
        </w:rPr>
      </w:pPr>
      <w:bookmarkStart w:id="171" w:name="_Toc23465"/>
      <w:bookmarkStart w:id="172" w:name="_Toc119965707"/>
      <w:bookmarkStart w:id="173" w:name="_Toc120630629"/>
      <w:bookmarkStart w:id="174" w:name="_Toc180398843"/>
      <w:bookmarkStart w:id="175" w:name="_Toc27979"/>
      <w:bookmarkStart w:id="176" w:name="_Toc120630421"/>
      <w:bookmarkStart w:id="177" w:name="_Toc120630519"/>
      <w:bookmarkStart w:id="178" w:name="_Toc1115886141"/>
      <w:bookmarkStart w:id="179" w:name="_Toc27046"/>
      <w:r>
        <w:rPr>
          <w:rFonts w:hint="eastAsia" w:cs="Times New Roman"/>
        </w:rPr>
        <w:t>附表二：江门市畜禽养殖污染防治重点工程支持主体清单</w:t>
      </w:r>
      <w:bookmarkEnd w:id="171"/>
      <w:bookmarkEnd w:id="172"/>
      <w:bookmarkEnd w:id="173"/>
      <w:bookmarkEnd w:id="174"/>
      <w:bookmarkEnd w:id="175"/>
      <w:bookmarkEnd w:id="176"/>
      <w:bookmarkEnd w:id="177"/>
      <w:bookmarkEnd w:id="178"/>
      <w:bookmarkEnd w:id="179"/>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514"/>
        <w:gridCol w:w="6574"/>
        <w:gridCol w:w="1300"/>
        <w:gridCol w:w="1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28" w:type="pct"/>
            <w:shd w:val="clear" w:color="auto" w:fill="auto"/>
            <w:vAlign w:val="center"/>
          </w:tcPr>
          <w:p>
            <w:pPr>
              <w:widowControl/>
              <w:adjustRightInd/>
              <w:snapToGrid/>
              <w:spacing w:line="240" w:lineRule="auto"/>
              <w:ind w:firstLine="0" w:firstLineChars="0"/>
              <w:jc w:val="center"/>
              <w:rPr>
                <w:rFonts w:ascii="黑体" w:hAnsi="黑体" w:eastAsia="黑体" w:cs="Times New Roman"/>
                <w:kern w:val="0"/>
                <w:sz w:val="24"/>
                <w:szCs w:val="24"/>
              </w:rPr>
            </w:pPr>
            <w:r>
              <w:rPr>
                <w:rFonts w:hint="eastAsia" w:ascii="黑体" w:hAnsi="黑体" w:eastAsia="黑体" w:cs="Times New Roman"/>
                <w:kern w:val="0"/>
                <w:sz w:val="24"/>
                <w:szCs w:val="24"/>
              </w:rPr>
              <w:t>序号</w:t>
            </w:r>
          </w:p>
        </w:tc>
        <w:tc>
          <w:tcPr>
            <w:tcW w:w="969" w:type="pct"/>
            <w:shd w:val="clear" w:color="auto" w:fill="auto"/>
            <w:vAlign w:val="center"/>
          </w:tcPr>
          <w:p>
            <w:pPr>
              <w:widowControl/>
              <w:adjustRightInd/>
              <w:snapToGrid/>
              <w:spacing w:line="240" w:lineRule="auto"/>
              <w:ind w:firstLine="0" w:firstLineChars="0"/>
              <w:jc w:val="center"/>
              <w:rPr>
                <w:rFonts w:ascii="黑体" w:hAnsi="黑体" w:eastAsia="黑体" w:cs="Times New Roman"/>
                <w:kern w:val="0"/>
                <w:sz w:val="24"/>
                <w:szCs w:val="24"/>
              </w:rPr>
            </w:pPr>
            <w:r>
              <w:rPr>
                <w:rFonts w:hint="eastAsia" w:ascii="黑体" w:hAnsi="黑体" w:eastAsia="黑体" w:cs="Times New Roman"/>
                <w:kern w:val="0"/>
                <w:sz w:val="24"/>
                <w:szCs w:val="24"/>
              </w:rPr>
              <w:t>措施名称</w:t>
            </w:r>
          </w:p>
        </w:tc>
        <w:tc>
          <w:tcPr>
            <w:tcW w:w="2534" w:type="pct"/>
            <w:shd w:val="clear" w:color="auto" w:fill="auto"/>
            <w:vAlign w:val="center"/>
          </w:tcPr>
          <w:p>
            <w:pPr>
              <w:widowControl/>
              <w:adjustRightInd/>
              <w:snapToGrid/>
              <w:spacing w:line="240" w:lineRule="auto"/>
              <w:ind w:firstLine="0" w:firstLineChars="0"/>
              <w:jc w:val="center"/>
              <w:rPr>
                <w:rFonts w:ascii="黑体" w:hAnsi="黑体" w:eastAsia="黑体" w:cs="Times New Roman"/>
                <w:kern w:val="0"/>
                <w:sz w:val="24"/>
                <w:szCs w:val="24"/>
              </w:rPr>
            </w:pPr>
            <w:r>
              <w:rPr>
                <w:rFonts w:hint="eastAsia" w:ascii="黑体" w:hAnsi="黑体" w:eastAsia="黑体" w:cs="Times New Roman"/>
                <w:kern w:val="0"/>
                <w:sz w:val="24"/>
                <w:szCs w:val="24"/>
              </w:rPr>
              <w:t>实施内容</w:t>
            </w:r>
          </w:p>
        </w:tc>
        <w:tc>
          <w:tcPr>
            <w:tcW w:w="501" w:type="pct"/>
            <w:shd w:val="clear" w:color="auto" w:fill="auto"/>
            <w:vAlign w:val="center"/>
          </w:tcPr>
          <w:p>
            <w:pPr>
              <w:widowControl/>
              <w:adjustRightInd/>
              <w:snapToGrid/>
              <w:spacing w:line="240" w:lineRule="auto"/>
              <w:ind w:firstLine="0" w:firstLineChars="0"/>
              <w:jc w:val="center"/>
              <w:rPr>
                <w:rFonts w:ascii="黑体" w:hAnsi="黑体" w:eastAsia="黑体" w:cs="Times New Roman"/>
                <w:kern w:val="0"/>
                <w:sz w:val="24"/>
                <w:szCs w:val="24"/>
              </w:rPr>
            </w:pPr>
            <w:r>
              <w:rPr>
                <w:rFonts w:hint="eastAsia" w:ascii="黑体" w:hAnsi="黑体" w:eastAsia="黑体" w:cs="Times New Roman"/>
                <w:kern w:val="0"/>
                <w:sz w:val="24"/>
                <w:szCs w:val="24"/>
              </w:rPr>
              <w:t>牵头部门</w:t>
            </w:r>
          </w:p>
        </w:tc>
        <w:tc>
          <w:tcPr>
            <w:tcW w:w="666" w:type="pct"/>
            <w:shd w:val="clear" w:color="auto" w:fill="auto"/>
            <w:vAlign w:val="center"/>
          </w:tcPr>
          <w:p>
            <w:pPr>
              <w:widowControl/>
              <w:adjustRightInd/>
              <w:snapToGrid/>
              <w:spacing w:line="240" w:lineRule="auto"/>
              <w:ind w:firstLine="0" w:firstLineChars="0"/>
              <w:jc w:val="center"/>
              <w:rPr>
                <w:rFonts w:ascii="黑体" w:hAnsi="黑体" w:eastAsia="黑体" w:cs="Times New Roman"/>
                <w:kern w:val="0"/>
                <w:sz w:val="24"/>
                <w:szCs w:val="24"/>
              </w:rPr>
            </w:pPr>
            <w:r>
              <w:rPr>
                <w:rFonts w:hint="eastAsia" w:ascii="黑体" w:hAnsi="黑体" w:eastAsia="黑体" w:cs="Times New Roman"/>
                <w:kern w:val="0"/>
                <w:sz w:val="24"/>
                <w:szCs w:val="24"/>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5000" w:type="pct"/>
            <w:gridSpan w:val="5"/>
            <w:shd w:val="clear" w:color="auto" w:fill="auto"/>
            <w:vAlign w:val="center"/>
          </w:tcPr>
          <w:p>
            <w:pPr>
              <w:widowControl/>
              <w:adjustRightInd/>
              <w:snapToGrid/>
              <w:spacing w:line="240" w:lineRule="auto"/>
              <w:ind w:firstLine="0" w:firstLineChars="0"/>
              <w:jc w:val="left"/>
              <w:rPr>
                <w:rFonts w:cs="Times New Roman"/>
                <w:b/>
                <w:bCs/>
                <w:kern w:val="0"/>
                <w:sz w:val="24"/>
                <w:szCs w:val="24"/>
              </w:rPr>
            </w:pPr>
            <w:r>
              <w:rPr>
                <w:rFonts w:hint="eastAsia" w:cs="Times New Roman"/>
                <w:b/>
                <w:bCs/>
                <w:kern w:val="0"/>
                <w:sz w:val="24"/>
                <w:szCs w:val="24"/>
              </w:rPr>
              <w:t>（一）畜禽养殖业空间布局优化工程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28" w:type="pct"/>
            <w:shd w:val="clear" w:color="auto" w:fill="auto"/>
            <w:vAlign w:val="center"/>
          </w:tcPr>
          <w:p>
            <w:pPr>
              <w:widowControl/>
              <w:adjustRightInd/>
              <w:snapToGrid/>
              <w:spacing w:line="240" w:lineRule="auto"/>
              <w:ind w:firstLine="0" w:firstLineChars="0"/>
              <w:jc w:val="center"/>
              <w:rPr>
                <w:rFonts w:hint="eastAsia" w:eastAsia="仿宋_GB2312" w:cs="Times New Roman"/>
                <w:kern w:val="0"/>
                <w:sz w:val="24"/>
                <w:szCs w:val="24"/>
                <w:lang w:eastAsia="zh-CN"/>
              </w:rPr>
            </w:pPr>
            <w:r>
              <w:rPr>
                <w:rFonts w:hint="eastAsia" w:cs="Times New Roman"/>
                <w:kern w:val="0"/>
                <w:sz w:val="24"/>
                <w:szCs w:val="24"/>
                <w:lang w:val="en-US" w:eastAsia="zh-CN"/>
              </w:rPr>
              <w:t>1</w:t>
            </w:r>
          </w:p>
        </w:tc>
        <w:tc>
          <w:tcPr>
            <w:tcW w:w="969"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畜禽养殖分区管控</w:t>
            </w:r>
          </w:p>
        </w:tc>
        <w:tc>
          <w:tcPr>
            <w:tcW w:w="2534"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推动开平市、台山市、恩平市、鹤山市、新会区等县（市、区）完成畜禽养殖污染防治规划编制。</w:t>
            </w:r>
          </w:p>
        </w:tc>
        <w:tc>
          <w:tcPr>
            <w:tcW w:w="501"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生态环境部门</w:t>
            </w:r>
          </w:p>
        </w:tc>
        <w:tc>
          <w:tcPr>
            <w:tcW w:w="666"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cs="Times New Roman"/>
                <w:kern w:val="0"/>
                <w:sz w:val="24"/>
                <w:szCs w:val="24"/>
              </w:rPr>
              <w:t>202</w:t>
            </w:r>
            <w:r>
              <w:rPr>
                <w:rFonts w:hint="eastAsia" w:cs="Times New Roman"/>
                <w:kern w:val="0"/>
                <w:sz w:val="24"/>
                <w:szCs w:val="24"/>
                <w:lang w:val="en-US" w:eastAsia="zh-CN"/>
              </w:rPr>
              <w:t>6</w:t>
            </w:r>
            <w:r>
              <w:rPr>
                <w:rFonts w:hint="eastAsia" w:cs="Times New Roman"/>
                <w:kern w:val="0"/>
                <w:sz w:val="24"/>
                <w:szCs w:val="24"/>
              </w:rPr>
              <w:t>年底前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5000" w:type="pct"/>
            <w:gridSpan w:val="5"/>
            <w:shd w:val="clear" w:color="auto" w:fill="auto"/>
            <w:vAlign w:val="center"/>
          </w:tcPr>
          <w:p>
            <w:pPr>
              <w:widowControl/>
              <w:adjustRightInd/>
              <w:snapToGrid/>
              <w:spacing w:line="240" w:lineRule="auto"/>
              <w:ind w:firstLine="0" w:firstLineChars="0"/>
              <w:jc w:val="left"/>
              <w:rPr>
                <w:rFonts w:cs="Times New Roman"/>
                <w:b/>
                <w:bCs/>
                <w:kern w:val="0"/>
                <w:sz w:val="24"/>
                <w:szCs w:val="24"/>
              </w:rPr>
            </w:pPr>
            <w:r>
              <w:rPr>
                <w:rFonts w:hint="eastAsia" w:cs="Times New Roman"/>
                <w:b/>
                <w:bCs/>
                <w:kern w:val="0"/>
                <w:sz w:val="24"/>
                <w:szCs w:val="24"/>
              </w:rPr>
              <w:t>（二）粪污资源化利用提升工程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 w:hRule="atLeast"/>
        </w:trPr>
        <w:tc>
          <w:tcPr>
            <w:tcW w:w="328" w:type="pct"/>
            <w:shd w:val="clear" w:color="auto" w:fill="auto"/>
            <w:vAlign w:val="center"/>
          </w:tcPr>
          <w:p>
            <w:pPr>
              <w:widowControl/>
              <w:adjustRightInd/>
              <w:snapToGrid/>
              <w:spacing w:line="240" w:lineRule="auto"/>
              <w:ind w:firstLine="0" w:firstLineChars="0"/>
              <w:jc w:val="center"/>
              <w:rPr>
                <w:rFonts w:hint="eastAsia" w:eastAsia="仿宋_GB2312" w:cs="Times New Roman"/>
                <w:kern w:val="0"/>
                <w:sz w:val="24"/>
                <w:szCs w:val="24"/>
                <w:lang w:eastAsia="zh-CN"/>
              </w:rPr>
            </w:pPr>
            <w:r>
              <w:rPr>
                <w:rFonts w:hint="eastAsia" w:cs="Times New Roman"/>
                <w:kern w:val="0"/>
                <w:sz w:val="24"/>
                <w:szCs w:val="24"/>
                <w:lang w:val="en-US" w:eastAsia="zh-CN"/>
              </w:rPr>
              <w:t>2</w:t>
            </w:r>
          </w:p>
        </w:tc>
        <w:tc>
          <w:tcPr>
            <w:tcW w:w="969"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种养结合工程</w:t>
            </w:r>
          </w:p>
        </w:tc>
        <w:tc>
          <w:tcPr>
            <w:tcW w:w="2534"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积极推进种养结合农牧循环试点示范，建设4个以上种养结合农牧循环示范基地。</w:t>
            </w:r>
          </w:p>
        </w:tc>
        <w:tc>
          <w:tcPr>
            <w:tcW w:w="501"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农业农村部门</w:t>
            </w:r>
          </w:p>
        </w:tc>
        <w:tc>
          <w:tcPr>
            <w:tcW w:w="666"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cs="Times New Roman"/>
                <w:kern w:val="0"/>
                <w:sz w:val="24"/>
                <w:szCs w:val="24"/>
              </w:rPr>
              <w:t>2030</w:t>
            </w:r>
            <w:r>
              <w:rPr>
                <w:rFonts w:hint="eastAsia" w:cs="Times New Roman"/>
                <w:kern w:val="0"/>
                <w:sz w:val="24"/>
                <w:szCs w:val="24"/>
              </w:rPr>
              <w:t>年底前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28" w:type="pct"/>
            <w:shd w:val="clear" w:color="auto" w:fill="auto"/>
            <w:vAlign w:val="center"/>
          </w:tcPr>
          <w:p>
            <w:pPr>
              <w:widowControl/>
              <w:adjustRightInd/>
              <w:snapToGrid/>
              <w:spacing w:line="240" w:lineRule="auto"/>
              <w:ind w:firstLine="0" w:firstLineChars="0"/>
              <w:jc w:val="center"/>
              <w:rPr>
                <w:rFonts w:hint="eastAsia" w:eastAsia="仿宋_GB2312" w:cs="Times New Roman"/>
                <w:kern w:val="0"/>
                <w:sz w:val="24"/>
                <w:szCs w:val="24"/>
                <w:lang w:eastAsia="zh-CN"/>
              </w:rPr>
            </w:pPr>
            <w:r>
              <w:rPr>
                <w:rFonts w:hint="eastAsia" w:cs="Times New Roman"/>
                <w:kern w:val="0"/>
                <w:sz w:val="24"/>
                <w:szCs w:val="24"/>
                <w:lang w:val="en-US" w:eastAsia="zh-CN"/>
              </w:rPr>
              <w:t>3</w:t>
            </w:r>
          </w:p>
        </w:tc>
        <w:tc>
          <w:tcPr>
            <w:tcW w:w="969"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粪污转运及集中处理中心建设工程</w:t>
            </w:r>
          </w:p>
        </w:tc>
        <w:tc>
          <w:tcPr>
            <w:tcW w:w="2534"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推动恩平市完成一座有机肥生产中心建设，对本辖区内畜禽粪污进行集中收集、处理。</w:t>
            </w:r>
          </w:p>
        </w:tc>
        <w:tc>
          <w:tcPr>
            <w:tcW w:w="501"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农业农村部门</w:t>
            </w:r>
          </w:p>
        </w:tc>
        <w:tc>
          <w:tcPr>
            <w:tcW w:w="666"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cs="Times New Roman"/>
                <w:kern w:val="0"/>
                <w:sz w:val="24"/>
                <w:szCs w:val="24"/>
              </w:rPr>
              <w:t>2027</w:t>
            </w:r>
            <w:r>
              <w:rPr>
                <w:rFonts w:hint="eastAsia" w:cs="Times New Roman"/>
                <w:kern w:val="0"/>
                <w:sz w:val="24"/>
                <w:szCs w:val="24"/>
              </w:rPr>
              <w:t>年底前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5000" w:type="pct"/>
            <w:gridSpan w:val="5"/>
            <w:shd w:val="clear" w:color="auto" w:fill="auto"/>
            <w:vAlign w:val="center"/>
          </w:tcPr>
          <w:p>
            <w:pPr>
              <w:widowControl/>
              <w:adjustRightInd/>
              <w:snapToGrid/>
              <w:spacing w:line="240" w:lineRule="auto"/>
              <w:ind w:firstLine="0" w:firstLineChars="0"/>
              <w:jc w:val="left"/>
              <w:rPr>
                <w:rFonts w:cs="Times New Roman"/>
                <w:kern w:val="0"/>
                <w:sz w:val="24"/>
                <w:szCs w:val="24"/>
              </w:rPr>
            </w:pPr>
            <w:r>
              <w:rPr>
                <w:rFonts w:hint="eastAsia" w:cs="Times New Roman"/>
                <w:b/>
                <w:bCs/>
                <w:kern w:val="0"/>
                <w:sz w:val="24"/>
                <w:szCs w:val="24"/>
              </w:rPr>
              <w:t>（三）畜禽养殖污染防治工程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55" w:hRule="atLeast"/>
        </w:trPr>
        <w:tc>
          <w:tcPr>
            <w:tcW w:w="328" w:type="pct"/>
            <w:shd w:val="clear" w:color="auto" w:fill="auto"/>
            <w:vAlign w:val="center"/>
          </w:tcPr>
          <w:p>
            <w:pPr>
              <w:widowControl/>
              <w:adjustRightInd/>
              <w:snapToGrid/>
              <w:spacing w:line="240" w:lineRule="auto"/>
              <w:ind w:firstLine="0" w:firstLineChars="0"/>
              <w:jc w:val="center"/>
              <w:rPr>
                <w:rFonts w:hint="eastAsia" w:eastAsia="仿宋_GB2312" w:cs="Times New Roman"/>
                <w:kern w:val="0"/>
                <w:sz w:val="24"/>
                <w:szCs w:val="24"/>
                <w:lang w:eastAsia="zh-CN"/>
              </w:rPr>
            </w:pPr>
            <w:r>
              <w:rPr>
                <w:rFonts w:hint="eastAsia" w:cs="Times New Roman"/>
                <w:kern w:val="0"/>
                <w:sz w:val="24"/>
                <w:szCs w:val="24"/>
                <w:lang w:val="en-US" w:eastAsia="zh-CN"/>
              </w:rPr>
              <w:t>4</w:t>
            </w:r>
          </w:p>
        </w:tc>
        <w:tc>
          <w:tcPr>
            <w:tcW w:w="969"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生猪规模养殖场粪污处理设施升级改造工程</w:t>
            </w:r>
          </w:p>
        </w:tc>
        <w:tc>
          <w:tcPr>
            <w:tcW w:w="2534"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推动畜禽规模养殖场开展粪污收集、处理、利用设施改造升级，其中生猪规模养殖场应配备液体粪污厌氧发酵和生化处理系统，全面实现达标治理，固体粪污无害化处理后就近就地还田或委托第三方机构实现资源化利用。</w:t>
            </w:r>
          </w:p>
        </w:tc>
        <w:tc>
          <w:tcPr>
            <w:tcW w:w="501" w:type="pct"/>
            <w:shd w:val="clear" w:color="auto" w:fill="auto"/>
            <w:vAlign w:val="center"/>
          </w:tcPr>
          <w:p>
            <w:pPr>
              <w:widowControl/>
              <w:adjustRightInd/>
              <w:snapToGrid/>
              <w:spacing w:line="240" w:lineRule="auto"/>
              <w:ind w:firstLine="0" w:firstLineChars="0"/>
              <w:jc w:val="center"/>
              <w:rPr>
                <w:rFonts w:hint="eastAsia" w:cs="Times New Roman"/>
                <w:kern w:val="0"/>
                <w:sz w:val="24"/>
                <w:szCs w:val="24"/>
              </w:rPr>
            </w:pPr>
            <w:r>
              <w:rPr>
                <w:rFonts w:hint="eastAsia" w:cs="Times New Roman"/>
                <w:kern w:val="0"/>
                <w:sz w:val="24"/>
                <w:szCs w:val="24"/>
                <w:lang w:eastAsia="zh-CN"/>
              </w:rPr>
              <w:t>生态环境</w:t>
            </w:r>
            <w:r>
              <w:rPr>
                <w:rFonts w:hint="eastAsia" w:cs="Times New Roman"/>
                <w:kern w:val="0"/>
                <w:sz w:val="24"/>
                <w:szCs w:val="24"/>
              </w:rPr>
              <w:t>部门</w:t>
            </w:r>
          </w:p>
          <w:p>
            <w:pPr>
              <w:widowControl/>
              <w:adjustRightInd/>
              <w:snapToGrid/>
              <w:spacing w:line="240" w:lineRule="auto"/>
              <w:ind w:firstLine="0" w:firstLineChars="0"/>
              <w:jc w:val="center"/>
              <w:rPr>
                <w:rFonts w:hint="eastAsia" w:cs="Times New Roman"/>
                <w:kern w:val="0"/>
                <w:sz w:val="24"/>
                <w:szCs w:val="24"/>
              </w:rPr>
            </w:pPr>
            <w:r>
              <w:rPr>
                <w:rFonts w:hint="eastAsia" w:cs="Times New Roman"/>
                <w:kern w:val="0"/>
                <w:sz w:val="24"/>
                <w:szCs w:val="24"/>
              </w:rPr>
              <w:t>农业农村部门</w:t>
            </w:r>
          </w:p>
        </w:tc>
        <w:tc>
          <w:tcPr>
            <w:tcW w:w="666"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cs="Times New Roman"/>
                <w:kern w:val="0"/>
                <w:sz w:val="24"/>
                <w:szCs w:val="24"/>
              </w:rPr>
              <w:t>20</w:t>
            </w:r>
            <w:r>
              <w:rPr>
                <w:rFonts w:hint="eastAsia" w:cs="Times New Roman"/>
                <w:kern w:val="0"/>
                <w:sz w:val="24"/>
                <w:szCs w:val="24"/>
                <w:lang w:val="en-US" w:eastAsia="zh-CN"/>
              </w:rPr>
              <w:t>27</w:t>
            </w:r>
            <w:r>
              <w:rPr>
                <w:rFonts w:hint="eastAsia" w:cs="Times New Roman"/>
                <w:kern w:val="0"/>
                <w:sz w:val="24"/>
                <w:szCs w:val="24"/>
              </w:rPr>
              <w:t>年底前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5000" w:type="pct"/>
            <w:gridSpan w:val="5"/>
            <w:shd w:val="clear" w:color="auto" w:fill="auto"/>
            <w:vAlign w:val="center"/>
          </w:tcPr>
          <w:p>
            <w:pPr>
              <w:widowControl/>
              <w:adjustRightInd/>
              <w:snapToGrid/>
              <w:spacing w:line="240" w:lineRule="auto"/>
              <w:ind w:firstLine="0" w:firstLineChars="0"/>
              <w:jc w:val="left"/>
              <w:rPr>
                <w:rFonts w:cs="Times New Roman"/>
                <w:b/>
                <w:bCs/>
                <w:kern w:val="0"/>
                <w:sz w:val="24"/>
                <w:szCs w:val="24"/>
              </w:rPr>
            </w:pPr>
            <w:r>
              <w:rPr>
                <w:rFonts w:hint="eastAsia" w:cs="Times New Roman"/>
                <w:b/>
                <w:bCs/>
                <w:kern w:val="0"/>
                <w:sz w:val="24"/>
                <w:szCs w:val="24"/>
              </w:rPr>
              <w:t>（四）环境监管体系建设工程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 w:hRule="atLeast"/>
        </w:trPr>
        <w:tc>
          <w:tcPr>
            <w:tcW w:w="328" w:type="pct"/>
            <w:shd w:val="clear" w:color="auto" w:fill="auto"/>
            <w:vAlign w:val="center"/>
          </w:tcPr>
          <w:p>
            <w:pPr>
              <w:widowControl/>
              <w:adjustRightInd/>
              <w:snapToGrid/>
              <w:spacing w:line="240" w:lineRule="auto"/>
              <w:ind w:firstLine="0" w:firstLineChars="0"/>
              <w:jc w:val="center"/>
              <w:rPr>
                <w:rFonts w:hint="eastAsia" w:eastAsia="仿宋_GB2312" w:cs="Times New Roman"/>
                <w:kern w:val="0"/>
                <w:sz w:val="24"/>
                <w:szCs w:val="24"/>
                <w:lang w:eastAsia="zh-CN"/>
              </w:rPr>
            </w:pPr>
            <w:r>
              <w:rPr>
                <w:rFonts w:hint="eastAsia" w:cs="Times New Roman"/>
                <w:kern w:val="0"/>
                <w:sz w:val="24"/>
                <w:szCs w:val="24"/>
                <w:lang w:val="en-US" w:eastAsia="zh-CN"/>
              </w:rPr>
              <w:t>5</w:t>
            </w:r>
          </w:p>
        </w:tc>
        <w:tc>
          <w:tcPr>
            <w:tcW w:w="969" w:type="pct"/>
            <w:vMerge w:val="restar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畜禽规模养殖场监测工程</w:t>
            </w:r>
          </w:p>
        </w:tc>
        <w:tc>
          <w:tcPr>
            <w:tcW w:w="2534"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每年开展一次全市畜禽规模养殖场水质抽查监测，抽查比例不低于</w:t>
            </w:r>
            <w:r>
              <w:rPr>
                <w:rFonts w:hint="eastAsia" w:cs="Times New Roman"/>
                <w:kern w:val="0"/>
                <w:sz w:val="24"/>
                <w:szCs w:val="24"/>
                <w:lang w:val="en-US" w:eastAsia="zh-CN"/>
              </w:rPr>
              <w:t>4</w:t>
            </w:r>
            <w:r>
              <w:rPr>
                <w:rFonts w:cs="Times New Roman"/>
                <w:kern w:val="0"/>
                <w:sz w:val="24"/>
                <w:szCs w:val="24"/>
              </w:rPr>
              <w:t>%</w:t>
            </w:r>
            <w:r>
              <w:rPr>
                <w:rFonts w:hint="eastAsia" w:cs="Times New Roman"/>
                <w:kern w:val="0"/>
                <w:sz w:val="24"/>
                <w:szCs w:val="24"/>
              </w:rPr>
              <w:t>。</w:t>
            </w:r>
          </w:p>
        </w:tc>
        <w:tc>
          <w:tcPr>
            <w:tcW w:w="501"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生态环境部门</w:t>
            </w:r>
          </w:p>
        </w:tc>
        <w:tc>
          <w:tcPr>
            <w:tcW w:w="666"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cs="Times New Roman"/>
                <w:kern w:val="0"/>
                <w:sz w:val="24"/>
                <w:szCs w:val="24"/>
              </w:rPr>
              <w:t>2030</w:t>
            </w:r>
            <w:r>
              <w:rPr>
                <w:rFonts w:hint="eastAsia" w:cs="Times New Roman"/>
                <w:kern w:val="0"/>
                <w:sz w:val="24"/>
                <w:szCs w:val="24"/>
              </w:rPr>
              <w:t>年底前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 w:hRule="atLeast"/>
        </w:trPr>
        <w:tc>
          <w:tcPr>
            <w:tcW w:w="328" w:type="pct"/>
            <w:shd w:val="clear" w:color="auto" w:fill="auto"/>
            <w:vAlign w:val="center"/>
          </w:tcPr>
          <w:p>
            <w:pPr>
              <w:widowControl/>
              <w:adjustRightInd/>
              <w:snapToGrid/>
              <w:spacing w:line="240" w:lineRule="auto"/>
              <w:ind w:firstLine="0" w:firstLineChars="0"/>
              <w:jc w:val="center"/>
              <w:rPr>
                <w:rFonts w:hint="eastAsia" w:eastAsia="仿宋_GB2312" w:cs="Times New Roman"/>
                <w:kern w:val="0"/>
                <w:sz w:val="24"/>
                <w:szCs w:val="24"/>
                <w:lang w:eastAsia="zh-CN"/>
              </w:rPr>
            </w:pPr>
            <w:r>
              <w:rPr>
                <w:rFonts w:hint="eastAsia" w:cs="Times New Roman"/>
                <w:kern w:val="0"/>
                <w:sz w:val="24"/>
                <w:szCs w:val="24"/>
                <w:lang w:val="en-US" w:eastAsia="zh-CN"/>
              </w:rPr>
              <w:t>6</w:t>
            </w:r>
          </w:p>
        </w:tc>
        <w:tc>
          <w:tcPr>
            <w:tcW w:w="969" w:type="pct"/>
            <w:vMerge w:val="continue"/>
            <w:shd w:val="clear" w:color="auto" w:fill="auto"/>
            <w:vAlign w:val="center"/>
          </w:tcPr>
          <w:p>
            <w:pPr>
              <w:widowControl/>
              <w:adjustRightInd/>
              <w:snapToGrid/>
              <w:spacing w:line="240" w:lineRule="auto"/>
              <w:ind w:firstLine="0" w:firstLineChars="0"/>
              <w:jc w:val="center"/>
              <w:rPr>
                <w:rFonts w:cs="Times New Roman"/>
                <w:kern w:val="0"/>
                <w:sz w:val="24"/>
                <w:szCs w:val="24"/>
              </w:rPr>
            </w:pPr>
          </w:p>
        </w:tc>
        <w:tc>
          <w:tcPr>
            <w:tcW w:w="2534"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指导设有排污口的畜禽规模养殖场按排污许可证规定和有关标准规范开展自行监测，</w:t>
            </w:r>
            <w:r>
              <w:rPr>
                <w:rFonts w:cs="Times New Roman"/>
                <w:kern w:val="0"/>
                <w:sz w:val="24"/>
                <w:szCs w:val="24"/>
              </w:rPr>
              <w:t xml:space="preserve">2025 </w:t>
            </w:r>
            <w:r>
              <w:rPr>
                <w:rFonts w:hint="eastAsia" w:cs="Times New Roman"/>
                <w:kern w:val="0"/>
                <w:sz w:val="24"/>
                <w:szCs w:val="24"/>
              </w:rPr>
              <w:t>年底前取得排污许可证的畜禽规模养殖场自行监测率达到100%。</w:t>
            </w:r>
          </w:p>
        </w:tc>
        <w:tc>
          <w:tcPr>
            <w:tcW w:w="501"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hint="eastAsia" w:cs="Times New Roman"/>
                <w:kern w:val="0"/>
                <w:sz w:val="24"/>
                <w:szCs w:val="24"/>
              </w:rPr>
              <w:t>生态环境部门</w:t>
            </w:r>
          </w:p>
        </w:tc>
        <w:tc>
          <w:tcPr>
            <w:tcW w:w="666" w:type="pct"/>
            <w:shd w:val="clear" w:color="auto" w:fill="auto"/>
            <w:vAlign w:val="center"/>
          </w:tcPr>
          <w:p>
            <w:pPr>
              <w:widowControl/>
              <w:adjustRightInd/>
              <w:snapToGrid/>
              <w:spacing w:line="240" w:lineRule="auto"/>
              <w:ind w:firstLine="0" w:firstLineChars="0"/>
              <w:jc w:val="center"/>
              <w:rPr>
                <w:rFonts w:cs="Times New Roman"/>
                <w:kern w:val="0"/>
                <w:sz w:val="24"/>
                <w:szCs w:val="24"/>
              </w:rPr>
            </w:pPr>
            <w:r>
              <w:rPr>
                <w:rFonts w:cs="Times New Roman"/>
                <w:kern w:val="0"/>
                <w:sz w:val="24"/>
                <w:szCs w:val="24"/>
              </w:rPr>
              <w:t>2025</w:t>
            </w:r>
            <w:r>
              <w:rPr>
                <w:rFonts w:hint="eastAsia" w:cs="Times New Roman"/>
                <w:kern w:val="0"/>
                <w:sz w:val="24"/>
                <w:szCs w:val="24"/>
              </w:rPr>
              <w:t>年底前</w:t>
            </w:r>
          </w:p>
        </w:tc>
      </w:tr>
    </w:tbl>
    <w:p>
      <w:pPr>
        <w:pStyle w:val="30"/>
      </w:pPr>
    </w:p>
    <w:p>
      <w:pPr>
        <w:pStyle w:val="29"/>
        <w:ind w:firstLine="0" w:firstLineChars="0"/>
        <w:jc w:val="center"/>
        <w:rPr>
          <w:rFonts w:eastAsia="黑体" w:cs="Times New Roman"/>
          <w:szCs w:val="32"/>
        </w:rPr>
        <w:sectPr>
          <w:pgSz w:w="16838" w:h="11906" w:orient="landscape"/>
          <w:pgMar w:top="1588" w:right="2098" w:bottom="1474" w:left="1985" w:header="851" w:footer="1418" w:gutter="0"/>
          <w:cols w:space="425" w:num="1"/>
          <w:docGrid w:type="linesAndChars" w:linePitch="579" w:charSpace="-849"/>
        </w:sectPr>
      </w:pPr>
    </w:p>
    <w:p>
      <w:pPr>
        <w:pStyle w:val="3"/>
        <w:spacing w:before="0" w:beforeLines="0" w:after="217"/>
        <w:ind w:firstLine="0" w:firstLineChars="0"/>
        <w:rPr>
          <w:rFonts w:cs="Times New Roman"/>
        </w:rPr>
      </w:pPr>
      <w:bookmarkStart w:id="180" w:name="_Toc1652396198"/>
      <w:bookmarkStart w:id="181" w:name="_Toc15336"/>
      <w:bookmarkStart w:id="182" w:name="_Toc180398844"/>
      <w:r>
        <w:rPr>
          <w:rFonts w:hint="eastAsia" w:cs="Times New Roman"/>
        </w:rPr>
        <w:t>附图一：江门市行政区划图</w:t>
      </w:r>
      <w:bookmarkEnd w:id="180"/>
      <w:bookmarkEnd w:id="181"/>
      <w:bookmarkEnd w:id="182"/>
    </w:p>
    <w:p>
      <w:pPr>
        <w:pStyle w:val="30"/>
        <w:rPr>
          <w:rFonts w:hint="eastAsia" w:eastAsia="仿宋_GB2312"/>
          <w:lang w:eastAsia="zh-CN"/>
        </w:rPr>
      </w:pPr>
      <w:r>
        <w:rPr>
          <w:rFonts w:hint="eastAsia" w:eastAsia="仿宋_GB2312"/>
          <w:lang w:eastAsia="zh-CN"/>
        </w:rPr>
        <w:drawing>
          <wp:inline distT="0" distB="0" distL="114300" distR="114300">
            <wp:extent cx="5502910" cy="7600315"/>
            <wp:effectExtent l="0" t="0" r="8890" b="6985"/>
            <wp:docPr id="8" name="图片 8" descr="4开江门市地图（全要素版）有邻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开江门市地图（全要素版）有邻区"/>
                    <pic:cNvPicPr>
                      <a:picLocks noChangeAspect="1"/>
                    </pic:cNvPicPr>
                  </pic:nvPicPr>
                  <pic:blipFill>
                    <a:blip r:embed="rId14"/>
                    <a:stretch>
                      <a:fillRect/>
                    </a:stretch>
                  </pic:blipFill>
                  <pic:spPr>
                    <a:xfrm>
                      <a:off x="0" y="0"/>
                      <a:ext cx="5502910" cy="7600315"/>
                    </a:xfrm>
                    <a:prstGeom prst="rect">
                      <a:avLst/>
                    </a:prstGeom>
                  </pic:spPr>
                </pic:pic>
              </a:graphicData>
            </a:graphic>
          </wp:inline>
        </w:drawing>
      </w:r>
    </w:p>
    <w:p>
      <w:pPr>
        <w:spacing w:line="240" w:lineRule="auto"/>
        <w:ind w:firstLine="0" w:firstLineChars="0"/>
        <w:rPr>
          <w:rFonts w:cs="Times New Roman"/>
        </w:rPr>
        <w:sectPr>
          <w:pgSz w:w="11906" w:h="16838"/>
          <w:pgMar w:top="1440" w:right="1426" w:bottom="1440" w:left="1800" w:header="851" w:footer="992" w:gutter="0"/>
          <w:cols w:space="720" w:num="1"/>
          <w:docGrid w:type="lines" w:linePitch="435" w:charSpace="0"/>
        </w:sectPr>
      </w:pPr>
    </w:p>
    <w:p>
      <w:pPr>
        <w:pStyle w:val="3"/>
        <w:spacing w:before="0" w:beforeLines="0" w:after="217"/>
        <w:ind w:firstLine="0" w:firstLineChars="0"/>
        <w:rPr>
          <w:rFonts w:cs="Times New Roman"/>
        </w:rPr>
      </w:pPr>
      <w:bookmarkStart w:id="183" w:name="_Toc180398847"/>
      <w:bookmarkStart w:id="184" w:name="_Toc1440299534"/>
      <w:bookmarkStart w:id="185" w:name="_Toc30005"/>
      <w:r>
        <w:rPr>
          <w:rFonts w:hint="eastAsia" w:cs="Times New Roman"/>
        </w:rPr>
        <w:t>附图</w:t>
      </w:r>
      <w:r>
        <w:rPr>
          <w:rFonts w:hint="eastAsia" w:cs="Times New Roman"/>
          <w:lang w:val="en-US" w:eastAsia="zh-CN"/>
        </w:rPr>
        <w:t>二</w:t>
      </w:r>
      <w:r>
        <w:rPr>
          <w:rFonts w:hint="eastAsia" w:cs="Times New Roman"/>
        </w:rPr>
        <w:t>：江门市禁养区分布图</w:t>
      </w:r>
      <w:bookmarkEnd w:id="183"/>
      <w:bookmarkEnd w:id="184"/>
      <w:bookmarkEnd w:id="185"/>
    </w:p>
    <w:p>
      <w:pPr>
        <w:spacing w:line="240" w:lineRule="auto"/>
        <w:ind w:firstLine="0" w:firstLineChars="0"/>
        <w:jc w:val="center"/>
        <w:rPr>
          <w:rFonts w:hint="eastAsia" w:eastAsia="仿宋_GB2312"/>
          <w:lang w:eastAsia="zh-CN"/>
        </w:rPr>
      </w:pPr>
      <w:r>
        <w:rPr>
          <w:rFonts w:hint="eastAsia" w:eastAsia="仿宋_GB2312"/>
          <w:lang w:eastAsia="zh-CN"/>
        </w:rPr>
        <w:drawing>
          <wp:inline distT="0" distB="0" distL="114300" distR="114300">
            <wp:extent cx="5497195" cy="7768590"/>
            <wp:effectExtent l="0" t="0" r="8255" b="3810"/>
            <wp:docPr id="9" name="图片 9" descr="江门市禁养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江门市禁养区(1)"/>
                    <pic:cNvPicPr>
                      <a:picLocks noChangeAspect="1"/>
                    </pic:cNvPicPr>
                  </pic:nvPicPr>
                  <pic:blipFill>
                    <a:blip r:embed="rId15"/>
                    <a:stretch>
                      <a:fillRect/>
                    </a:stretch>
                  </pic:blipFill>
                  <pic:spPr>
                    <a:xfrm>
                      <a:off x="0" y="0"/>
                      <a:ext cx="5497195" cy="7768590"/>
                    </a:xfrm>
                    <a:prstGeom prst="rect">
                      <a:avLst/>
                    </a:prstGeom>
                  </pic:spPr>
                </pic:pic>
              </a:graphicData>
            </a:graphic>
          </wp:inline>
        </w:drawing>
      </w:r>
    </w:p>
    <w:p>
      <w:pPr>
        <w:spacing w:line="240" w:lineRule="auto"/>
        <w:ind w:firstLine="0" w:firstLineChars="0"/>
        <w:jc w:val="center"/>
        <w:rPr>
          <w:rFonts w:cs="Times New Roman"/>
        </w:rPr>
        <w:sectPr>
          <w:pgSz w:w="11906" w:h="16838"/>
          <w:pgMar w:top="1440" w:right="1426" w:bottom="1440" w:left="1800" w:header="851" w:footer="992" w:gutter="0"/>
          <w:cols w:space="720" w:num="1"/>
          <w:docGrid w:type="lines" w:linePitch="435" w:charSpace="0"/>
        </w:sectPr>
      </w:pPr>
    </w:p>
    <w:p>
      <w:pPr>
        <w:pStyle w:val="3"/>
        <w:spacing w:before="0" w:beforeLines="0" w:after="217"/>
        <w:ind w:firstLine="0" w:firstLineChars="0"/>
        <w:rPr>
          <w:rFonts w:cs="Times New Roman"/>
        </w:rPr>
      </w:pPr>
      <w:bookmarkStart w:id="186" w:name="_Toc28436"/>
      <w:r>
        <w:rPr>
          <w:rFonts w:hint="eastAsia" w:cs="Times New Roman"/>
        </w:rPr>
        <w:t>附图</w:t>
      </w:r>
      <w:r>
        <w:rPr>
          <w:rFonts w:hint="eastAsia" w:cs="Times New Roman"/>
          <w:lang w:val="en-US" w:eastAsia="zh-CN"/>
        </w:rPr>
        <w:t>三</w:t>
      </w:r>
      <w:r>
        <w:rPr>
          <w:rFonts w:hint="eastAsia" w:cs="Times New Roman"/>
        </w:rPr>
        <w:t>：</w:t>
      </w:r>
      <w:bookmarkStart w:id="187" w:name="_Hlk181202660"/>
      <w:r>
        <w:rPr>
          <w:rFonts w:cs="Times New Roman"/>
        </w:rPr>
        <w:t>江门市</w:t>
      </w:r>
      <w:r>
        <w:rPr>
          <w:rFonts w:hint="eastAsia" w:cs="Times New Roman"/>
        </w:rPr>
        <w:t>环境管控单元分布图</w:t>
      </w:r>
      <w:bookmarkEnd w:id="186"/>
      <w:bookmarkEnd w:id="187"/>
    </w:p>
    <w:p>
      <w:pPr>
        <w:pStyle w:val="30"/>
        <w:rPr>
          <w:rFonts w:hint="eastAsia" w:eastAsia="仿宋_GB2312"/>
          <w:lang w:eastAsia="zh-CN"/>
        </w:rPr>
      </w:pPr>
      <w:r>
        <w:rPr>
          <w:rFonts w:hint="eastAsia" w:eastAsia="仿宋_GB2312"/>
          <w:lang w:eastAsia="zh-CN"/>
        </w:rPr>
        <w:drawing>
          <wp:inline distT="0" distB="0" distL="114300" distR="114300">
            <wp:extent cx="5497195" cy="7768590"/>
            <wp:effectExtent l="0" t="0" r="8255" b="3810"/>
            <wp:docPr id="12" name="图片 12" descr="陆域管控单元(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陆域管控单元(1)"/>
                    <pic:cNvPicPr>
                      <a:picLocks noChangeAspect="1"/>
                    </pic:cNvPicPr>
                  </pic:nvPicPr>
                  <pic:blipFill>
                    <a:blip r:embed="rId16"/>
                    <a:stretch>
                      <a:fillRect/>
                    </a:stretch>
                  </pic:blipFill>
                  <pic:spPr>
                    <a:xfrm>
                      <a:off x="0" y="0"/>
                      <a:ext cx="5497195" cy="7768590"/>
                    </a:xfrm>
                    <a:prstGeom prst="rect">
                      <a:avLst/>
                    </a:prstGeom>
                  </pic:spPr>
                </pic:pic>
              </a:graphicData>
            </a:graphic>
          </wp:inline>
        </w:drawing>
      </w:r>
    </w:p>
    <w:p>
      <w:pPr>
        <w:pStyle w:val="3"/>
        <w:spacing w:before="0" w:beforeLines="0" w:after="217"/>
        <w:ind w:firstLine="0" w:firstLineChars="0"/>
        <w:rPr>
          <w:rFonts w:cs="Times New Roman"/>
        </w:rPr>
      </w:pPr>
      <w:bookmarkStart w:id="188" w:name="_Toc4245"/>
      <w:bookmarkStart w:id="189" w:name="_Toc180398849"/>
      <w:bookmarkStart w:id="190" w:name="_Toc1929226921"/>
      <w:r>
        <w:rPr>
          <w:rFonts w:hint="eastAsia" w:cs="Times New Roman"/>
        </w:rPr>
        <w:t>附图</w:t>
      </w:r>
      <w:r>
        <w:rPr>
          <w:rFonts w:hint="eastAsia" w:cs="Times New Roman"/>
          <w:lang w:val="en-US" w:eastAsia="zh-CN"/>
        </w:rPr>
        <w:t>四</w:t>
      </w:r>
      <w:r>
        <w:rPr>
          <w:rFonts w:hint="eastAsia" w:cs="Times New Roman"/>
        </w:rPr>
        <w:t>：</w:t>
      </w:r>
      <w:bookmarkStart w:id="191" w:name="_Hlk181202678"/>
      <w:r>
        <w:rPr>
          <w:rFonts w:cs="Times New Roman"/>
        </w:rPr>
        <w:t>江门市各县（市、区）不同畜种生猪养殖当量占比分布图</w:t>
      </w:r>
      <w:bookmarkEnd w:id="188"/>
      <w:bookmarkEnd w:id="189"/>
      <w:bookmarkEnd w:id="190"/>
      <w:bookmarkEnd w:id="191"/>
    </w:p>
    <w:p>
      <w:pPr>
        <w:pStyle w:val="30"/>
        <w:rPr>
          <w:rFonts w:hint="eastAsia" w:eastAsia="仿宋_GB2312"/>
          <w:lang w:eastAsia="zh-CN"/>
        </w:rPr>
      </w:pPr>
      <w:r>
        <w:rPr>
          <w:rFonts w:hint="eastAsia" w:eastAsia="仿宋_GB2312"/>
          <w:lang w:eastAsia="zh-CN"/>
        </w:rPr>
        <w:drawing>
          <wp:inline distT="0" distB="0" distL="114300" distR="114300">
            <wp:extent cx="5497195" cy="7768590"/>
            <wp:effectExtent l="0" t="0" r="8255" b="3810"/>
            <wp:docPr id="14" name="图片 14" descr="各畜种生猪当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各畜种生猪当量(1)"/>
                    <pic:cNvPicPr>
                      <a:picLocks noChangeAspect="1"/>
                    </pic:cNvPicPr>
                  </pic:nvPicPr>
                  <pic:blipFill>
                    <a:blip r:embed="rId17"/>
                    <a:stretch>
                      <a:fillRect/>
                    </a:stretch>
                  </pic:blipFill>
                  <pic:spPr>
                    <a:xfrm>
                      <a:off x="0" y="0"/>
                      <a:ext cx="5497195" cy="7768590"/>
                    </a:xfrm>
                    <a:prstGeom prst="rect">
                      <a:avLst/>
                    </a:prstGeom>
                  </pic:spPr>
                </pic:pic>
              </a:graphicData>
            </a:graphic>
          </wp:inline>
        </w:drawing>
      </w:r>
    </w:p>
    <w:p>
      <w:pPr>
        <w:spacing w:line="240" w:lineRule="auto"/>
        <w:ind w:firstLine="0" w:firstLineChars="0"/>
        <w:rPr>
          <w:rFonts w:cs="Times New Roman"/>
        </w:rPr>
        <w:sectPr>
          <w:pgSz w:w="11906" w:h="16838"/>
          <w:pgMar w:top="1440" w:right="1426" w:bottom="1440" w:left="1800" w:header="851" w:footer="992" w:gutter="0"/>
          <w:cols w:space="720" w:num="1"/>
          <w:docGrid w:type="lines" w:linePitch="435" w:charSpace="0"/>
        </w:sectPr>
      </w:pPr>
    </w:p>
    <w:p>
      <w:pPr>
        <w:pStyle w:val="3"/>
        <w:keepNext/>
        <w:keepLines/>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eastAsia"/>
        </w:rPr>
      </w:pPr>
      <w:bookmarkStart w:id="192" w:name="_Toc15714"/>
      <w:bookmarkStart w:id="193" w:name="_Toc180398850"/>
      <w:bookmarkStart w:id="194" w:name="_Toc29728681"/>
      <w:r>
        <w:rPr>
          <w:rFonts w:hint="eastAsia" w:cs="Times New Roman"/>
        </w:rPr>
        <w:t>附图</w:t>
      </w:r>
      <w:r>
        <w:rPr>
          <w:rFonts w:hint="eastAsia" w:cs="Times New Roman"/>
          <w:lang w:val="en-US" w:eastAsia="zh-CN"/>
        </w:rPr>
        <w:t>五</w:t>
      </w:r>
      <w:r>
        <w:rPr>
          <w:rFonts w:hint="eastAsia" w:cs="Times New Roman"/>
        </w:rPr>
        <w:t>：</w:t>
      </w:r>
      <w:bookmarkStart w:id="195" w:name="_Hlk181202719"/>
      <w:r>
        <w:rPr>
          <w:rFonts w:hint="eastAsia" w:cs="Times New Roman"/>
        </w:rPr>
        <w:t>江门市</w:t>
      </w:r>
      <w:r>
        <w:rPr>
          <w:rFonts w:hint="eastAsia"/>
        </w:rPr>
        <w:t>畜禽养殖量负荷警报分级图（以</w:t>
      </w:r>
      <w:r>
        <w:t>N</w:t>
      </w:r>
      <w:r>
        <w:rPr>
          <w:rFonts w:hint="eastAsia"/>
        </w:rPr>
        <w:t>计）</w:t>
      </w:r>
      <w:bookmarkEnd w:id="192"/>
      <w:bookmarkEnd w:id="195"/>
    </w:p>
    <w:p>
      <w:pPr>
        <w:pStyle w:val="3"/>
        <w:keepNext/>
        <w:keepLines/>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eastAsia" w:eastAsia="楷体_GB2312"/>
          <w:lang w:eastAsia="zh-CN"/>
        </w:rPr>
      </w:pPr>
      <w:r>
        <w:rPr>
          <w:rFonts w:hint="eastAsia" w:eastAsia="楷体_GB2312"/>
          <w:lang w:eastAsia="zh-CN"/>
        </w:rPr>
        <w:drawing>
          <wp:inline distT="0" distB="0" distL="114300" distR="114300">
            <wp:extent cx="5571490" cy="7276465"/>
            <wp:effectExtent l="0" t="0" r="10160" b="635"/>
            <wp:docPr id="20" name="图片 20" descr="负荷警报分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负荷警报分级图"/>
                    <pic:cNvPicPr>
                      <a:picLocks noChangeAspect="1"/>
                    </pic:cNvPicPr>
                  </pic:nvPicPr>
                  <pic:blipFill>
                    <a:blip r:embed="rId18"/>
                    <a:stretch>
                      <a:fillRect/>
                    </a:stretch>
                  </pic:blipFill>
                  <pic:spPr>
                    <a:xfrm>
                      <a:off x="0" y="0"/>
                      <a:ext cx="5571490" cy="7276465"/>
                    </a:xfrm>
                    <a:prstGeom prst="rect">
                      <a:avLst/>
                    </a:prstGeom>
                  </pic:spPr>
                </pic:pic>
              </a:graphicData>
            </a:graphic>
          </wp:inline>
        </w:drawing>
      </w:r>
    </w:p>
    <w:p>
      <w:pPr>
        <w:pStyle w:val="3"/>
        <w:keepNext/>
        <w:keepLines/>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hint="eastAsia" w:cs="Times New Roman"/>
        </w:rPr>
      </w:pPr>
      <w:bookmarkStart w:id="196" w:name="_Toc1788"/>
    </w:p>
    <w:p>
      <w:pPr>
        <w:pStyle w:val="3"/>
        <w:keepNext/>
        <w:keepLines/>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textAlignment w:val="auto"/>
        <w:rPr>
          <w:rFonts w:cs="Times New Roman"/>
        </w:rPr>
      </w:pPr>
      <w:r>
        <w:rPr>
          <w:rFonts w:hint="eastAsia" w:cs="Times New Roman"/>
        </w:rPr>
        <w:t>附图</w:t>
      </w:r>
      <w:r>
        <w:rPr>
          <w:rFonts w:hint="eastAsia" w:cs="Times New Roman"/>
          <w:lang w:val="en-US" w:eastAsia="zh-CN"/>
        </w:rPr>
        <w:t>六</w:t>
      </w:r>
      <w:r>
        <w:rPr>
          <w:rFonts w:hint="eastAsia" w:cs="Times New Roman"/>
        </w:rPr>
        <w:t>：</w:t>
      </w:r>
      <w:bookmarkStart w:id="197" w:name="_Hlk181202804"/>
      <w:r>
        <w:rPr>
          <w:rFonts w:cs="Times New Roman"/>
        </w:rPr>
        <w:t>江门市已建病死畜禽无害化处理中心及粪污处置中心建设布局图</w:t>
      </w:r>
      <w:bookmarkEnd w:id="193"/>
      <w:bookmarkEnd w:id="194"/>
      <w:bookmarkEnd w:id="196"/>
      <w:bookmarkEnd w:id="197"/>
    </w:p>
    <w:p>
      <w:pPr>
        <w:pStyle w:val="3"/>
        <w:keepNext/>
        <w:keepLines/>
        <w:pageBreakBefore w:val="0"/>
        <w:widowControl w:val="0"/>
        <w:kinsoku/>
        <w:wordWrap/>
        <w:overflowPunct/>
        <w:topLinePunct w:val="0"/>
        <w:autoSpaceDE/>
        <w:autoSpaceDN/>
        <w:bidi w:val="0"/>
        <w:adjustRightInd w:val="0"/>
        <w:snapToGrid w:val="0"/>
        <w:spacing w:before="0" w:beforeLines="0" w:after="0" w:afterLines="0" w:line="240" w:lineRule="auto"/>
        <w:ind w:firstLine="0" w:firstLineChars="0"/>
        <w:jc w:val="center"/>
        <w:textAlignment w:val="auto"/>
        <w:rPr>
          <w:rFonts w:hint="eastAsia" w:eastAsia="仿宋_GB2312"/>
          <w:lang w:eastAsia="zh-CN"/>
        </w:rPr>
      </w:pPr>
      <w:r>
        <w:rPr>
          <w:rFonts w:hint="eastAsia" w:eastAsia="仿宋_GB2312"/>
          <w:lang w:eastAsia="zh-CN"/>
        </w:rPr>
        <w:drawing>
          <wp:inline distT="0" distB="0" distL="114300" distR="114300">
            <wp:extent cx="5571490" cy="7500620"/>
            <wp:effectExtent l="0" t="0" r="10160" b="5080"/>
            <wp:docPr id="21" name="图片 21" descr="江门市已建病死畜禽无害化处理中心及粪污处置中心建设布局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江门市已建病死畜禽无害化处理中心及粪污处置中心建设布局图(1)"/>
                    <pic:cNvPicPr>
                      <a:picLocks noChangeAspect="1"/>
                    </pic:cNvPicPr>
                  </pic:nvPicPr>
                  <pic:blipFill>
                    <a:blip r:embed="rId19"/>
                    <a:stretch>
                      <a:fillRect/>
                    </a:stretch>
                  </pic:blipFill>
                  <pic:spPr>
                    <a:xfrm>
                      <a:off x="0" y="0"/>
                      <a:ext cx="5571490" cy="7500620"/>
                    </a:xfrm>
                    <a:prstGeom prst="rect">
                      <a:avLst/>
                    </a:prstGeom>
                  </pic:spPr>
                </pic:pic>
              </a:graphicData>
            </a:graphic>
          </wp:inline>
        </w:drawing>
      </w:r>
    </w:p>
    <w:sectPr>
      <w:pgSz w:w="11906" w:h="16838"/>
      <w:pgMar w:top="2098" w:right="1474" w:bottom="1985" w:left="1588" w:header="851" w:footer="992" w:gutter="0"/>
      <w:cols w:space="425"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B1"/>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w:altName w:val="方正仿宋简体"/>
    <w:panose1 w:val="02010600030101010101"/>
    <w:charset w:val="86"/>
    <w:family w:val="auto"/>
    <w:pitch w:val="default"/>
    <w:sig w:usb0="00000000" w:usb1="00000000" w:usb2="00000016" w:usb3="00000000" w:csb0="0004000F" w:csb1="00000000"/>
  </w:font>
  <w:font w:name="方正仿宋简体">
    <w:panose1 w:val="02010601030101010101"/>
    <w:charset w:val="86"/>
    <w:family w:val="auto"/>
    <w:pitch w:val="default"/>
    <w:sig w:usb0="00000001" w:usb1="080E0000" w:usb2="00000000" w:usb3="00000000" w:csb0="00040000" w:csb1="00000000"/>
  </w:font>
  <w:font w:name="等线 Light">
    <w:altName w:val="方正仿宋简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script"/>
    <w:pitch w:val="default"/>
    <w:sig w:usb0="00000001" w:usb1="0800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sz w:val="28"/>
        <w:szCs w:val="28"/>
      </w:rPr>
    </w:sdtEndPr>
    <w:sdtContent>
      <w:p>
        <w:pPr>
          <w:pStyle w:val="8"/>
          <w:ind w:firstLine="0" w:firstLineChars="0"/>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7499003"/>
    </w:sdtPr>
    <w:sdtEndPr>
      <w:rPr>
        <w:sz w:val="28"/>
        <w:szCs w:val="28"/>
      </w:rPr>
    </w:sdtEndPr>
    <w:sdtContent>
      <w:p>
        <w:pPr>
          <w:pStyle w:val="8"/>
          <w:ind w:firstLine="0" w:firstLineChars="0"/>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1860516"/>
    </w:sdtPr>
    <w:sdtEndPr>
      <w:rPr>
        <w:sz w:val="28"/>
        <w:szCs w:val="28"/>
      </w:rPr>
    </w:sdtEndPr>
    <w:sdtContent>
      <w:p>
        <w:pPr>
          <w:pStyle w:val="8"/>
          <w:ind w:firstLine="0" w:firstLineChars="0"/>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15C77"/>
    <w:multiLevelType w:val="multilevel"/>
    <w:tmpl w:val="00F15C77"/>
    <w:lvl w:ilvl="0" w:tentative="0">
      <w:start w:val="1"/>
      <w:numFmt w:val="japaneseCounting"/>
      <w:lvlText w:val="%1、"/>
      <w:lvlJc w:val="left"/>
      <w:pPr>
        <w:ind w:left="1350" w:hanging="720"/>
      </w:pPr>
      <w:rPr>
        <w:rFonts w:hint="default"/>
      </w:rPr>
    </w:lvl>
    <w:lvl w:ilvl="1" w:tentative="0">
      <w:start w:val="1"/>
      <w:numFmt w:val="lowerLetter"/>
      <w:lvlText w:val="%2)"/>
      <w:lvlJc w:val="left"/>
      <w:pPr>
        <w:ind w:left="1510" w:hanging="440"/>
      </w:pPr>
    </w:lvl>
    <w:lvl w:ilvl="2" w:tentative="0">
      <w:start w:val="1"/>
      <w:numFmt w:val="lowerRoman"/>
      <w:lvlText w:val="%3."/>
      <w:lvlJc w:val="right"/>
      <w:pPr>
        <w:ind w:left="1950" w:hanging="440"/>
      </w:pPr>
    </w:lvl>
    <w:lvl w:ilvl="3" w:tentative="0">
      <w:start w:val="1"/>
      <w:numFmt w:val="decimal"/>
      <w:lvlText w:val="%4."/>
      <w:lvlJc w:val="left"/>
      <w:pPr>
        <w:ind w:left="2390" w:hanging="440"/>
      </w:pPr>
    </w:lvl>
    <w:lvl w:ilvl="4" w:tentative="0">
      <w:start w:val="1"/>
      <w:numFmt w:val="lowerLetter"/>
      <w:lvlText w:val="%5)"/>
      <w:lvlJc w:val="left"/>
      <w:pPr>
        <w:ind w:left="2830" w:hanging="440"/>
      </w:pPr>
    </w:lvl>
    <w:lvl w:ilvl="5" w:tentative="0">
      <w:start w:val="1"/>
      <w:numFmt w:val="lowerRoman"/>
      <w:lvlText w:val="%6."/>
      <w:lvlJc w:val="right"/>
      <w:pPr>
        <w:ind w:left="3270" w:hanging="440"/>
      </w:pPr>
    </w:lvl>
    <w:lvl w:ilvl="6" w:tentative="0">
      <w:start w:val="1"/>
      <w:numFmt w:val="decimal"/>
      <w:lvlText w:val="%7."/>
      <w:lvlJc w:val="left"/>
      <w:pPr>
        <w:ind w:left="3710" w:hanging="440"/>
      </w:pPr>
    </w:lvl>
    <w:lvl w:ilvl="7" w:tentative="0">
      <w:start w:val="1"/>
      <w:numFmt w:val="lowerLetter"/>
      <w:lvlText w:val="%8)"/>
      <w:lvlJc w:val="left"/>
      <w:pPr>
        <w:ind w:left="4150" w:hanging="440"/>
      </w:pPr>
    </w:lvl>
    <w:lvl w:ilvl="8" w:tentative="0">
      <w:start w:val="1"/>
      <w:numFmt w:val="lowerRoman"/>
      <w:lvlText w:val="%9."/>
      <w:lvlJc w:val="right"/>
      <w:pPr>
        <w:ind w:left="459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evenAndOddHeaders w:val="1"/>
  <w:drawingGridHorizontalSpacing w:val="158"/>
  <w:drawingGridVerticalSpacing w:val="579"/>
  <w:displayHorizontalDrawingGridEvery w:val="2"/>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wMzVhY2U5ZGE2YTNkNDUzNzkyYWRhNjY5OGY5ZDgifQ=="/>
  </w:docVars>
  <w:rsids>
    <w:rsidRoot w:val="009C0E5F"/>
    <w:rsid w:val="00000A44"/>
    <w:rsid w:val="00000F0C"/>
    <w:rsid w:val="00000FA0"/>
    <w:rsid w:val="00005CF1"/>
    <w:rsid w:val="0000635D"/>
    <w:rsid w:val="00006992"/>
    <w:rsid w:val="0001222F"/>
    <w:rsid w:val="000139E7"/>
    <w:rsid w:val="000213FF"/>
    <w:rsid w:val="000244F2"/>
    <w:rsid w:val="0003330C"/>
    <w:rsid w:val="00035DC2"/>
    <w:rsid w:val="000364DC"/>
    <w:rsid w:val="0003674C"/>
    <w:rsid w:val="000459A1"/>
    <w:rsid w:val="000466CB"/>
    <w:rsid w:val="000530D0"/>
    <w:rsid w:val="00053349"/>
    <w:rsid w:val="00054C76"/>
    <w:rsid w:val="00055ABD"/>
    <w:rsid w:val="00061460"/>
    <w:rsid w:val="000673BD"/>
    <w:rsid w:val="000678EB"/>
    <w:rsid w:val="0007358C"/>
    <w:rsid w:val="000738DC"/>
    <w:rsid w:val="000746CB"/>
    <w:rsid w:val="00083E34"/>
    <w:rsid w:val="00085666"/>
    <w:rsid w:val="00090CD1"/>
    <w:rsid w:val="0009456A"/>
    <w:rsid w:val="00096194"/>
    <w:rsid w:val="000A36C4"/>
    <w:rsid w:val="000A60FC"/>
    <w:rsid w:val="000B13A4"/>
    <w:rsid w:val="000B43D4"/>
    <w:rsid w:val="000D2D6D"/>
    <w:rsid w:val="000D487F"/>
    <w:rsid w:val="000E4FC0"/>
    <w:rsid w:val="000E7FCE"/>
    <w:rsid w:val="000F0EBB"/>
    <w:rsid w:val="000F5DA3"/>
    <w:rsid w:val="000F6E9C"/>
    <w:rsid w:val="0010236C"/>
    <w:rsid w:val="00104BA7"/>
    <w:rsid w:val="001053B0"/>
    <w:rsid w:val="00106012"/>
    <w:rsid w:val="00112F55"/>
    <w:rsid w:val="00123120"/>
    <w:rsid w:val="00125B11"/>
    <w:rsid w:val="001267F6"/>
    <w:rsid w:val="0013125D"/>
    <w:rsid w:val="0013133C"/>
    <w:rsid w:val="00136271"/>
    <w:rsid w:val="001402EA"/>
    <w:rsid w:val="00144555"/>
    <w:rsid w:val="00144F5E"/>
    <w:rsid w:val="00151FA5"/>
    <w:rsid w:val="0015203D"/>
    <w:rsid w:val="0016050E"/>
    <w:rsid w:val="00165A6A"/>
    <w:rsid w:val="00165B27"/>
    <w:rsid w:val="001677A0"/>
    <w:rsid w:val="00170668"/>
    <w:rsid w:val="00171507"/>
    <w:rsid w:val="001717E6"/>
    <w:rsid w:val="0017640C"/>
    <w:rsid w:val="0017661F"/>
    <w:rsid w:val="00182D70"/>
    <w:rsid w:val="00184948"/>
    <w:rsid w:val="00190648"/>
    <w:rsid w:val="00196C86"/>
    <w:rsid w:val="001A0C64"/>
    <w:rsid w:val="001A35A8"/>
    <w:rsid w:val="001A784D"/>
    <w:rsid w:val="001B1ECF"/>
    <w:rsid w:val="001B4B50"/>
    <w:rsid w:val="001B6207"/>
    <w:rsid w:val="001C1811"/>
    <w:rsid w:val="001C4682"/>
    <w:rsid w:val="001C4ADD"/>
    <w:rsid w:val="001C52D5"/>
    <w:rsid w:val="001D312B"/>
    <w:rsid w:val="001D45E8"/>
    <w:rsid w:val="001D47FD"/>
    <w:rsid w:val="001D6C2D"/>
    <w:rsid w:val="001D784B"/>
    <w:rsid w:val="001E2215"/>
    <w:rsid w:val="001E2989"/>
    <w:rsid w:val="001E7A96"/>
    <w:rsid w:val="001F13AD"/>
    <w:rsid w:val="001F1E31"/>
    <w:rsid w:val="001F26F1"/>
    <w:rsid w:val="001F5FB8"/>
    <w:rsid w:val="0020085D"/>
    <w:rsid w:val="002021F7"/>
    <w:rsid w:val="002032AE"/>
    <w:rsid w:val="00213CCB"/>
    <w:rsid w:val="00225818"/>
    <w:rsid w:val="00227DAA"/>
    <w:rsid w:val="00241FD4"/>
    <w:rsid w:val="00245A5D"/>
    <w:rsid w:val="00246BA4"/>
    <w:rsid w:val="00246C44"/>
    <w:rsid w:val="00251CB3"/>
    <w:rsid w:val="00252A13"/>
    <w:rsid w:val="00256174"/>
    <w:rsid w:val="00260F98"/>
    <w:rsid w:val="00262A30"/>
    <w:rsid w:val="0026586C"/>
    <w:rsid w:val="00267CB9"/>
    <w:rsid w:val="00273584"/>
    <w:rsid w:val="0027459B"/>
    <w:rsid w:val="00275DD9"/>
    <w:rsid w:val="00276CB5"/>
    <w:rsid w:val="00282981"/>
    <w:rsid w:val="00284D70"/>
    <w:rsid w:val="002878C0"/>
    <w:rsid w:val="00287A2C"/>
    <w:rsid w:val="00290A33"/>
    <w:rsid w:val="00290C26"/>
    <w:rsid w:val="002A5FE7"/>
    <w:rsid w:val="002A741A"/>
    <w:rsid w:val="002B4D5E"/>
    <w:rsid w:val="002C0D7E"/>
    <w:rsid w:val="002C3612"/>
    <w:rsid w:val="002D2913"/>
    <w:rsid w:val="002D3166"/>
    <w:rsid w:val="002D3980"/>
    <w:rsid w:val="002D518C"/>
    <w:rsid w:val="002E39B2"/>
    <w:rsid w:val="002E41D7"/>
    <w:rsid w:val="002E563E"/>
    <w:rsid w:val="002E5E8A"/>
    <w:rsid w:val="002F08B1"/>
    <w:rsid w:val="002F3C21"/>
    <w:rsid w:val="002F4196"/>
    <w:rsid w:val="002F7DA7"/>
    <w:rsid w:val="0030308F"/>
    <w:rsid w:val="00304113"/>
    <w:rsid w:val="00304A7F"/>
    <w:rsid w:val="003053C1"/>
    <w:rsid w:val="003055F9"/>
    <w:rsid w:val="003066A7"/>
    <w:rsid w:val="003215B5"/>
    <w:rsid w:val="0032730F"/>
    <w:rsid w:val="0033261C"/>
    <w:rsid w:val="00333505"/>
    <w:rsid w:val="00334310"/>
    <w:rsid w:val="003352DD"/>
    <w:rsid w:val="00336DB3"/>
    <w:rsid w:val="0034471A"/>
    <w:rsid w:val="00346263"/>
    <w:rsid w:val="00346CF3"/>
    <w:rsid w:val="00347EE2"/>
    <w:rsid w:val="0035179C"/>
    <w:rsid w:val="00352024"/>
    <w:rsid w:val="00362703"/>
    <w:rsid w:val="003647D4"/>
    <w:rsid w:val="00370AED"/>
    <w:rsid w:val="00372778"/>
    <w:rsid w:val="0037307E"/>
    <w:rsid w:val="00386E8C"/>
    <w:rsid w:val="00387B17"/>
    <w:rsid w:val="003A1118"/>
    <w:rsid w:val="003B0E70"/>
    <w:rsid w:val="003B5732"/>
    <w:rsid w:val="003B739A"/>
    <w:rsid w:val="003C1B10"/>
    <w:rsid w:val="003C2756"/>
    <w:rsid w:val="003E0E21"/>
    <w:rsid w:val="003E41F8"/>
    <w:rsid w:val="003F02A2"/>
    <w:rsid w:val="003F2D7A"/>
    <w:rsid w:val="003F6EB0"/>
    <w:rsid w:val="0040181A"/>
    <w:rsid w:val="004038CA"/>
    <w:rsid w:val="00403B2D"/>
    <w:rsid w:val="00410C7C"/>
    <w:rsid w:val="004119B1"/>
    <w:rsid w:val="00416403"/>
    <w:rsid w:val="00425F36"/>
    <w:rsid w:val="004267DD"/>
    <w:rsid w:val="004267E8"/>
    <w:rsid w:val="00442FCD"/>
    <w:rsid w:val="00444578"/>
    <w:rsid w:val="00444C3F"/>
    <w:rsid w:val="004504B3"/>
    <w:rsid w:val="00454FB4"/>
    <w:rsid w:val="00462EF8"/>
    <w:rsid w:val="00466CE7"/>
    <w:rsid w:val="004706EF"/>
    <w:rsid w:val="004754DC"/>
    <w:rsid w:val="00475617"/>
    <w:rsid w:val="00481316"/>
    <w:rsid w:val="00483BA8"/>
    <w:rsid w:val="004866E4"/>
    <w:rsid w:val="00486D0B"/>
    <w:rsid w:val="0048774C"/>
    <w:rsid w:val="00487F09"/>
    <w:rsid w:val="00490290"/>
    <w:rsid w:val="004932DD"/>
    <w:rsid w:val="004936F2"/>
    <w:rsid w:val="00496C68"/>
    <w:rsid w:val="004A195F"/>
    <w:rsid w:val="004B2036"/>
    <w:rsid w:val="004B2FC2"/>
    <w:rsid w:val="004B3351"/>
    <w:rsid w:val="004B752C"/>
    <w:rsid w:val="004C2335"/>
    <w:rsid w:val="004C3336"/>
    <w:rsid w:val="004C46C0"/>
    <w:rsid w:val="004C718E"/>
    <w:rsid w:val="004D2480"/>
    <w:rsid w:val="004D7CA6"/>
    <w:rsid w:val="004E443F"/>
    <w:rsid w:val="004E6763"/>
    <w:rsid w:val="004F36B7"/>
    <w:rsid w:val="004F60E6"/>
    <w:rsid w:val="004F7582"/>
    <w:rsid w:val="004F7E88"/>
    <w:rsid w:val="00502075"/>
    <w:rsid w:val="005024CC"/>
    <w:rsid w:val="00503C01"/>
    <w:rsid w:val="005041B4"/>
    <w:rsid w:val="0050522F"/>
    <w:rsid w:val="005067F6"/>
    <w:rsid w:val="005070B2"/>
    <w:rsid w:val="00512EE9"/>
    <w:rsid w:val="00514A26"/>
    <w:rsid w:val="00515111"/>
    <w:rsid w:val="00522461"/>
    <w:rsid w:val="0052659D"/>
    <w:rsid w:val="00532819"/>
    <w:rsid w:val="00551017"/>
    <w:rsid w:val="00551767"/>
    <w:rsid w:val="00551E33"/>
    <w:rsid w:val="00552516"/>
    <w:rsid w:val="005528D7"/>
    <w:rsid w:val="00553FF7"/>
    <w:rsid w:val="00564A0F"/>
    <w:rsid w:val="00564B3E"/>
    <w:rsid w:val="005653AB"/>
    <w:rsid w:val="00572372"/>
    <w:rsid w:val="00574503"/>
    <w:rsid w:val="00575ABD"/>
    <w:rsid w:val="00581A88"/>
    <w:rsid w:val="00582CA3"/>
    <w:rsid w:val="00583300"/>
    <w:rsid w:val="00584A6A"/>
    <w:rsid w:val="00586A9A"/>
    <w:rsid w:val="00590D7C"/>
    <w:rsid w:val="005914D1"/>
    <w:rsid w:val="0059388E"/>
    <w:rsid w:val="005A0F8B"/>
    <w:rsid w:val="005A16AF"/>
    <w:rsid w:val="005A2DE4"/>
    <w:rsid w:val="005A5617"/>
    <w:rsid w:val="005B122B"/>
    <w:rsid w:val="005B51F7"/>
    <w:rsid w:val="005C2A6A"/>
    <w:rsid w:val="005C4B50"/>
    <w:rsid w:val="005D2757"/>
    <w:rsid w:val="005D3A28"/>
    <w:rsid w:val="005D432E"/>
    <w:rsid w:val="005D5C32"/>
    <w:rsid w:val="005D5E06"/>
    <w:rsid w:val="005D748E"/>
    <w:rsid w:val="005E2155"/>
    <w:rsid w:val="005E2268"/>
    <w:rsid w:val="005E3E59"/>
    <w:rsid w:val="005E5807"/>
    <w:rsid w:val="005E6E2B"/>
    <w:rsid w:val="005F29BA"/>
    <w:rsid w:val="005F426A"/>
    <w:rsid w:val="005F5B14"/>
    <w:rsid w:val="005F7D42"/>
    <w:rsid w:val="005F7D8C"/>
    <w:rsid w:val="00605A00"/>
    <w:rsid w:val="006103B4"/>
    <w:rsid w:val="00611851"/>
    <w:rsid w:val="006127AA"/>
    <w:rsid w:val="006136ED"/>
    <w:rsid w:val="00613AFC"/>
    <w:rsid w:val="00613EF2"/>
    <w:rsid w:val="006165DC"/>
    <w:rsid w:val="00622F59"/>
    <w:rsid w:val="0062344F"/>
    <w:rsid w:val="006242C4"/>
    <w:rsid w:val="006311D8"/>
    <w:rsid w:val="006341B8"/>
    <w:rsid w:val="00636430"/>
    <w:rsid w:val="0064004F"/>
    <w:rsid w:val="00640A91"/>
    <w:rsid w:val="00640BF8"/>
    <w:rsid w:val="0064443C"/>
    <w:rsid w:val="006449CD"/>
    <w:rsid w:val="006473DF"/>
    <w:rsid w:val="00647641"/>
    <w:rsid w:val="00647919"/>
    <w:rsid w:val="00647B11"/>
    <w:rsid w:val="00647D18"/>
    <w:rsid w:val="00650FF2"/>
    <w:rsid w:val="00653399"/>
    <w:rsid w:val="00662D9F"/>
    <w:rsid w:val="00663945"/>
    <w:rsid w:val="0066451B"/>
    <w:rsid w:val="00665707"/>
    <w:rsid w:val="006665FE"/>
    <w:rsid w:val="00673C30"/>
    <w:rsid w:val="00677543"/>
    <w:rsid w:val="00680D11"/>
    <w:rsid w:val="006822BB"/>
    <w:rsid w:val="00686490"/>
    <w:rsid w:val="0069262A"/>
    <w:rsid w:val="0069580C"/>
    <w:rsid w:val="00695EAD"/>
    <w:rsid w:val="00696206"/>
    <w:rsid w:val="00697F5A"/>
    <w:rsid w:val="006A00C4"/>
    <w:rsid w:val="006A0C05"/>
    <w:rsid w:val="006A1608"/>
    <w:rsid w:val="006A2DDE"/>
    <w:rsid w:val="006A5CB0"/>
    <w:rsid w:val="006A711B"/>
    <w:rsid w:val="006B2D86"/>
    <w:rsid w:val="006B2F45"/>
    <w:rsid w:val="006B360E"/>
    <w:rsid w:val="006B4FDC"/>
    <w:rsid w:val="006B5FF5"/>
    <w:rsid w:val="006B7101"/>
    <w:rsid w:val="006D1FA4"/>
    <w:rsid w:val="006D3D01"/>
    <w:rsid w:val="006D671C"/>
    <w:rsid w:val="006E15FC"/>
    <w:rsid w:val="006E6A92"/>
    <w:rsid w:val="006F0C32"/>
    <w:rsid w:val="006F6787"/>
    <w:rsid w:val="00704851"/>
    <w:rsid w:val="007068DC"/>
    <w:rsid w:val="00706F49"/>
    <w:rsid w:val="00711611"/>
    <w:rsid w:val="00712E75"/>
    <w:rsid w:val="007137DD"/>
    <w:rsid w:val="00714D1D"/>
    <w:rsid w:val="0072116B"/>
    <w:rsid w:val="0072268E"/>
    <w:rsid w:val="0072299A"/>
    <w:rsid w:val="00722D86"/>
    <w:rsid w:val="007231D4"/>
    <w:rsid w:val="00725350"/>
    <w:rsid w:val="0073273D"/>
    <w:rsid w:val="00732CF6"/>
    <w:rsid w:val="00737280"/>
    <w:rsid w:val="00737CFB"/>
    <w:rsid w:val="00746DF3"/>
    <w:rsid w:val="00752B8E"/>
    <w:rsid w:val="00755F0A"/>
    <w:rsid w:val="00756000"/>
    <w:rsid w:val="00757D16"/>
    <w:rsid w:val="00763AEA"/>
    <w:rsid w:val="00764B3F"/>
    <w:rsid w:val="007657AF"/>
    <w:rsid w:val="00772365"/>
    <w:rsid w:val="0077446B"/>
    <w:rsid w:val="00775700"/>
    <w:rsid w:val="00775881"/>
    <w:rsid w:val="00776412"/>
    <w:rsid w:val="007941A0"/>
    <w:rsid w:val="00794D4B"/>
    <w:rsid w:val="007A475C"/>
    <w:rsid w:val="007A4ABD"/>
    <w:rsid w:val="007A5029"/>
    <w:rsid w:val="007A604A"/>
    <w:rsid w:val="007B07D5"/>
    <w:rsid w:val="007B24A1"/>
    <w:rsid w:val="007B6B23"/>
    <w:rsid w:val="007B77BD"/>
    <w:rsid w:val="007C10CE"/>
    <w:rsid w:val="007C26F8"/>
    <w:rsid w:val="007C33E1"/>
    <w:rsid w:val="007C7A32"/>
    <w:rsid w:val="007D4C6C"/>
    <w:rsid w:val="007D5AB0"/>
    <w:rsid w:val="007E0A52"/>
    <w:rsid w:val="007F1901"/>
    <w:rsid w:val="007F27CB"/>
    <w:rsid w:val="007F4EA6"/>
    <w:rsid w:val="008012FA"/>
    <w:rsid w:val="00801363"/>
    <w:rsid w:val="00804D5B"/>
    <w:rsid w:val="00810E03"/>
    <w:rsid w:val="00811563"/>
    <w:rsid w:val="00812112"/>
    <w:rsid w:val="008137FA"/>
    <w:rsid w:val="00817A5A"/>
    <w:rsid w:val="008205CC"/>
    <w:rsid w:val="00822E82"/>
    <w:rsid w:val="00825A22"/>
    <w:rsid w:val="008334E2"/>
    <w:rsid w:val="0083436D"/>
    <w:rsid w:val="0084124D"/>
    <w:rsid w:val="00843BC6"/>
    <w:rsid w:val="00846913"/>
    <w:rsid w:val="00854315"/>
    <w:rsid w:val="008626D5"/>
    <w:rsid w:val="00866283"/>
    <w:rsid w:val="008711B9"/>
    <w:rsid w:val="008724DA"/>
    <w:rsid w:val="00875739"/>
    <w:rsid w:val="0087728E"/>
    <w:rsid w:val="008830F7"/>
    <w:rsid w:val="008837B1"/>
    <w:rsid w:val="00890111"/>
    <w:rsid w:val="00892417"/>
    <w:rsid w:val="0089572A"/>
    <w:rsid w:val="008971BE"/>
    <w:rsid w:val="008972DC"/>
    <w:rsid w:val="008A1F54"/>
    <w:rsid w:val="008A25E2"/>
    <w:rsid w:val="008A3862"/>
    <w:rsid w:val="008A7915"/>
    <w:rsid w:val="008C0F53"/>
    <w:rsid w:val="008C2F47"/>
    <w:rsid w:val="008C3667"/>
    <w:rsid w:val="008C3908"/>
    <w:rsid w:val="008D367C"/>
    <w:rsid w:val="008D4EFC"/>
    <w:rsid w:val="008D64A5"/>
    <w:rsid w:val="008D7EDA"/>
    <w:rsid w:val="008E2811"/>
    <w:rsid w:val="008E31D1"/>
    <w:rsid w:val="008E6D0F"/>
    <w:rsid w:val="008F1809"/>
    <w:rsid w:val="008F1A15"/>
    <w:rsid w:val="008F3EAF"/>
    <w:rsid w:val="008F6DDE"/>
    <w:rsid w:val="008F775F"/>
    <w:rsid w:val="008F7BD8"/>
    <w:rsid w:val="009007D7"/>
    <w:rsid w:val="0090558C"/>
    <w:rsid w:val="009129E5"/>
    <w:rsid w:val="00916D18"/>
    <w:rsid w:val="00917B58"/>
    <w:rsid w:val="009200D8"/>
    <w:rsid w:val="009215F4"/>
    <w:rsid w:val="00921999"/>
    <w:rsid w:val="00921F9C"/>
    <w:rsid w:val="00926C13"/>
    <w:rsid w:val="0093002D"/>
    <w:rsid w:val="00933817"/>
    <w:rsid w:val="00937774"/>
    <w:rsid w:val="0094288D"/>
    <w:rsid w:val="00943EED"/>
    <w:rsid w:val="00944653"/>
    <w:rsid w:val="009503F2"/>
    <w:rsid w:val="0096362F"/>
    <w:rsid w:val="00976345"/>
    <w:rsid w:val="009802F7"/>
    <w:rsid w:val="00980C4B"/>
    <w:rsid w:val="00986E15"/>
    <w:rsid w:val="00992111"/>
    <w:rsid w:val="00992756"/>
    <w:rsid w:val="00995F8A"/>
    <w:rsid w:val="009972DD"/>
    <w:rsid w:val="009A0830"/>
    <w:rsid w:val="009A1B6F"/>
    <w:rsid w:val="009A3951"/>
    <w:rsid w:val="009A56E5"/>
    <w:rsid w:val="009B001D"/>
    <w:rsid w:val="009B017F"/>
    <w:rsid w:val="009B113F"/>
    <w:rsid w:val="009C0147"/>
    <w:rsid w:val="009C0E5F"/>
    <w:rsid w:val="009D190B"/>
    <w:rsid w:val="009E0272"/>
    <w:rsid w:val="009E2EC7"/>
    <w:rsid w:val="009E2F9A"/>
    <w:rsid w:val="009E4134"/>
    <w:rsid w:val="009E53BC"/>
    <w:rsid w:val="009E680C"/>
    <w:rsid w:val="009F38DF"/>
    <w:rsid w:val="009F53DB"/>
    <w:rsid w:val="009F5715"/>
    <w:rsid w:val="00A01CC4"/>
    <w:rsid w:val="00A07A71"/>
    <w:rsid w:val="00A134C2"/>
    <w:rsid w:val="00A17362"/>
    <w:rsid w:val="00A20ABE"/>
    <w:rsid w:val="00A21C31"/>
    <w:rsid w:val="00A23213"/>
    <w:rsid w:val="00A26599"/>
    <w:rsid w:val="00A27D40"/>
    <w:rsid w:val="00A33BF1"/>
    <w:rsid w:val="00A36B34"/>
    <w:rsid w:val="00A50C02"/>
    <w:rsid w:val="00A52FE9"/>
    <w:rsid w:val="00A5568B"/>
    <w:rsid w:val="00A5585F"/>
    <w:rsid w:val="00A60304"/>
    <w:rsid w:val="00A61D8E"/>
    <w:rsid w:val="00A622C4"/>
    <w:rsid w:val="00A62E15"/>
    <w:rsid w:val="00A66878"/>
    <w:rsid w:val="00A71C26"/>
    <w:rsid w:val="00A80303"/>
    <w:rsid w:val="00A82C5E"/>
    <w:rsid w:val="00A839C4"/>
    <w:rsid w:val="00A85A5F"/>
    <w:rsid w:val="00AA190B"/>
    <w:rsid w:val="00AA1A11"/>
    <w:rsid w:val="00AA1CC6"/>
    <w:rsid w:val="00AA3E48"/>
    <w:rsid w:val="00AB2ED7"/>
    <w:rsid w:val="00AC0213"/>
    <w:rsid w:val="00AC29F9"/>
    <w:rsid w:val="00AC4251"/>
    <w:rsid w:val="00AC68C3"/>
    <w:rsid w:val="00AC6F7A"/>
    <w:rsid w:val="00AD2541"/>
    <w:rsid w:val="00AD3AF3"/>
    <w:rsid w:val="00AD42F2"/>
    <w:rsid w:val="00AE17B0"/>
    <w:rsid w:val="00AE2423"/>
    <w:rsid w:val="00AE5047"/>
    <w:rsid w:val="00AF7A9A"/>
    <w:rsid w:val="00B02A77"/>
    <w:rsid w:val="00B06FCA"/>
    <w:rsid w:val="00B07C81"/>
    <w:rsid w:val="00B10F82"/>
    <w:rsid w:val="00B116D2"/>
    <w:rsid w:val="00B30952"/>
    <w:rsid w:val="00B3105E"/>
    <w:rsid w:val="00B310D4"/>
    <w:rsid w:val="00B338BA"/>
    <w:rsid w:val="00B3586E"/>
    <w:rsid w:val="00B37398"/>
    <w:rsid w:val="00B40904"/>
    <w:rsid w:val="00B43A71"/>
    <w:rsid w:val="00B45AF8"/>
    <w:rsid w:val="00B47277"/>
    <w:rsid w:val="00B5238D"/>
    <w:rsid w:val="00B607AD"/>
    <w:rsid w:val="00B62DCB"/>
    <w:rsid w:val="00B6681E"/>
    <w:rsid w:val="00B74D89"/>
    <w:rsid w:val="00B75F7D"/>
    <w:rsid w:val="00B7720D"/>
    <w:rsid w:val="00B84F58"/>
    <w:rsid w:val="00B94799"/>
    <w:rsid w:val="00BA023C"/>
    <w:rsid w:val="00BA4853"/>
    <w:rsid w:val="00BA6D6F"/>
    <w:rsid w:val="00BA7FE5"/>
    <w:rsid w:val="00BB0346"/>
    <w:rsid w:val="00BB2BC5"/>
    <w:rsid w:val="00BB47E9"/>
    <w:rsid w:val="00BB5694"/>
    <w:rsid w:val="00BB702B"/>
    <w:rsid w:val="00BC3C26"/>
    <w:rsid w:val="00BD205E"/>
    <w:rsid w:val="00BD4884"/>
    <w:rsid w:val="00BD4C35"/>
    <w:rsid w:val="00BE0791"/>
    <w:rsid w:val="00BE1E8B"/>
    <w:rsid w:val="00BE310D"/>
    <w:rsid w:val="00BE44EF"/>
    <w:rsid w:val="00BF459E"/>
    <w:rsid w:val="00BF54BA"/>
    <w:rsid w:val="00C012DC"/>
    <w:rsid w:val="00C11C5C"/>
    <w:rsid w:val="00C1739A"/>
    <w:rsid w:val="00C24BA2"/>
    <w:rsid w:val="00C35864"/>
    <w:rsid w:val="00C35B74"/>
    <w:rsid w:val="00C440A8"/>
    <w:rsid w:val="00C4667B"/>
    <w:rsid w:val="00C536D0"/>
    <w:rsid w:val="00C56FE8"/>
    <w:rsid w:val="00C60E0E"/>
    <w:rsid w:val="00C6183A"/>
    <w:rsid w:val="00C61FA1"/>
    <w:rsid w:val="00C6383A"/>
    <w:rsid w:val="00C63A23"/>
    <w:rsid w:val="00C648E9"/>
    <w:rsid w:val="00C67699"/>
    <w:rsid w:val="00C70318"/>
    <w:rsid w:val="00C703E5"/>
    <w:rsid w:val="00C71B90"/>
    <w:rsid w:val="00C72104"/>
    <w:rsid w:val="00C766BD"/>
    <w:rsid w:val="00C84522"/>
    <w:rsid w:val="00C849E6"/>
    <w:rsid w:val="00C84FCE"/>
    <w:rsid w:val="00C87115"/>
    <w:rsid w:val="00C92401"/>
    <w:rsid w:val="00C92B17"/>
    <w:rsid w:val="00C932CC"/>
    <w:rsid w:val="00CA0183"/>
    <w:rsid w:val="00CA179B"/>
    <w:rsid w:val="00CA3801"/>
    <w:rsid w:val="00CA689C"/>
    <w:rsid w:val="00CB12CE"/>
    <w:rsid w:val="00CB1B4E"/>
    <w:rsid w:val="00CB31EA"/>
    <w:rsid w:val="00CB7A0C"/>
    <w:rsid w:val="00CB7EA2"/>
    <w:rsid w:val="00CC299E"/>
    <w:rsid w:val="00CC47E7"/>
    <w:rsid w:val="00CC72AD"/>
    <w:rsid w:val="00CD0BCC"/>
    <w:rsid w:val="00CD2F91"/>
    <w:rsid w:val="00CD7E70"/>
    <w:rsid w:val="00CE126C"/>
    <w:rsid w:val="00CE19DE"/>
    <w:rsid w:val="00CE1F60"/>
    <w:rsid w:val="00CE680D"/>
    <w:rsid w:val="00CE6E4E"/>
    <w:rsid w:val="00CE7ABD"/>
    <w:rsid w:val="00CF6956"/>
    <w:rsid w:val="00CF7C9A"/>
    <w:rsid w:val="00D0071F"/>
    <w:rsid w:val="00D02011"/>
    <w:rsid w:val="00D040E2"/>
    <w:rsid w:val="00D053D0"/>
    <w:rsid w:val="00D05D7B"/>
    <w:rsid w:val="00D06776"/>
    <w:rsid w:val="00D06EAB"/>
    <w:rsid w:val="00D1141C"/>
    <w:rsid w:val="00D1702A"/>
    <w:rsid w:val="00D21976"/>
    <w:rsid w:val="00D22AE7"/>
    <w:rsid w:val="00D25CBB"/>
    <w:rsid w:val="00D30BDC"/>
    <w:rsid w:val="00D3217B"/>
    <w:rsid w:val="00D40983"/>
    <w:rsid w:val="00D53227"/>
    <w:rsid w:val="00D55B8B"/>
    <w:rsid w:val="00D64449"/>
    <w:rsid w:val="00D66CC4"/>
    <w:rsid w:val="00D67D18"/>
    <w:rsid w:val="00D7196B"/>
    <w:rsid w:val="00D71B16"/>
    <w:rsid w:val="00D90475"/>
    <w:rsid w:val="00D927FD"/>
    <w:rsid w:val="00DA2779"/>
    <w:rsid w:val="00DB5C8E"/>
    <w:rsid w:val="00DB65B9"/>
    <w:rsid w:val="00DB6651"/>
    <w:rsid w:val="00DB6CB4"/>
    <w:rsid w:val="00DB7000"/>
    <w:rsid w:val="00DB789D"/>
    <w:rsid w:val="00DB7C91"/>
    <w:rsid w:val="00DD3576"/>
    <w:rsid w:val="00DD4ED5"/>
    <w:rsid w:val="00DD5EA7"/>
    <w:rsid w:val="00E01326"/>
    <w:rsid w:val="00E032A2"/>
    <w:rsid w:val="00E04318"/>
    <w:rsid w:val="00E0708D"/>
    <w:rsid w:val="00E073CE"/>
    <w:rsid w:val="00E1105C"/>
    <w:rsid w:val="00E12BDC"/>
    <w:rsid w:val="00E23A6A"/>
    <w:rsid w:val="00E23ED8"/>
    <w:rsid w:val="00E2638A"/>
    <w:rsid w:val="00E27F9A"/>
    <w:rsid w:val="00E32D6F"/>
    <w:rsid w:val="00E33645"/>
    <w:rsid w:val="00E35444"/>
    <w:rsid w:val="00E35AB8"/>
    <w:rsid w:val="00E35E31"/>
    <w:rsid w:val="00E410C2"/>
    <w:rsid w:val="00E4177A"/>
    <w:rsid w:val="00E467E3"/>
    <w:rsid w:val="00E603A9"/>
    <w:rsid w:val="00E6143F"/>
    <w:rsid w:val="00E7016E"/>
    <w:rsid w:val="00E705FD"/>
    <w:rsid w:val="00E74B29"/>
    <w:rsid w:val="00E76DA5"/>
    <w:rsid w:val="00E830D2"/>
    <w:rsid w:val="00E92984"/>
    <w:rsid w:val="00E960B1"/>
    <w:rsid w:val="00E9647A"/>
    <w:rsid w:val="00E9722A"/>
    <w:rsid w:val="00EA03C9"/>
    <w:rsid w:val="00EA0C3E"/>
    <w:rsid w:val="00EA44EF"/>
    <w:rsid w:val="00EA455B"/>
    <w:rsid w:val="00EA4B90"/>
    <w:rsid w:val="00EB0589"/>
    <w:rsid w:val="00EB4195"/>
    <w:rsid w:val="00EB41FD"/>
    <w:rsid w:val="00EB4D62"/>
    <w:rsid w:val="00EB59F3"/>
    <w:rsid w:val="00EC5B47"/>
    <w:rsid w:val="00ED2AE0"/>
    <w:rsid w:val="00ED3317"/>
    <w:rsid w:val="00EE7E61"/>
    <w:rsid w:val="00EF010E"/>
    <w:rsid w:val="00EF28E4"/>
    <w:rsid w:val="00EF48E6"/>
    <w:rsid w:val="00EF6033"/>
    <w:rsid w:val="00F06E8E"/>
    <w:rsid w:val="00F116D4"/>
    <w:rsid w:val="00F117A2"/>
    <w:rsid w:val="00F152A9"/>
    <w:rsid w:val="00F2311A"/>
    <w:rsid w:val="00F2326A"/>
    <w:rsid w:val="00F2326E"/>
    <w:rsid w:val="00F23416"/>
    <w:rsid w:val="00F259D4"/>
    <w:rsid w:val="00F27B2E"/>
    <w:rsid w:val="00F42113"/>
    <w:rsid w:val="00F45116"/>
    <w:rsid w:val="00F47A01"/>
    <w:rsid w:val="00F47EE5"/>
    <w:rsid w:val="00F50579"/>
    <w:rsid w:val="00F57FC9"/>
    <w:rsid w:val="00F61346"/>
    <w:rsid w:val="00F61F60"/>
    <w:rsid w:val="00F63436"/>
    <w:rsid w:val="00F646B6"/>
    <w:rsid w:val="00F65F32"/>
    <w:rsid w:val="00F66135"/>
    <w:rsid w:val="00F731B6"/>
    <w:rsid w:val="00F75C3E"/>
    <w:rsid w:val="00F776B7"/>
    <w:rsid w:val="00F77F5C"/>
    <w:rsid w:val="00F82005"/>
    <w:rsid w:val="00F91308"/>
    <w:rsid w:val="00F95B52"/>
    <w:rsid w:val="00F97F09"/>
    <w:rsid w:val="00FA4DCD"/>
    <w:rsid w:val="00FA5075"/>
    <w:rsid w:val="00FA52CF"/>
    <w:rsid w:val="00FA78AB"/>
    <w:rsid w:val="00FB02A7"/>
    <w:rsid w:val="00FB2513"/>
    <w:rsid w:val="00FB4865"/>
    <w:rsid w:val="00FB4A9F"/>
    <w:rsid w:val="00FB5F97"/>
    <w:rsid w:val="00FC1653"/>
    <w:rsid w:val="00FC3E2A"/>
    <w:rsid w:val="00FD1779"/>
    <w:rsid w:val="00FD24FD"/>
    <w:rsid w:val="00FD2597"/>
    <w:rsid w:val="00FD4DA4"/>
    <w:rsid w:val="00FE216F"/>
    <w:rsid w:val="00FE26E7"/>
    <w:rsid w:val="00FE7B13"/>
    <w:rsid w:val="00FF02B6"/>
    <w:rsid w:val="00FF25A7"/>
    <w:rsid w:val="00FF677B"/>
    <w:rsid w:val="014A42C4"/>
    <w:rsid w:val="02271AC3"/>
    <w:rsid w:val="02815770"/>
    <w:rsid w:val="03B15391"/>
    <w:rsid w:val="03DE0740"/>
    <w:rsid w:val="04A926BE"/>
    <w:rsid w:val="04D35D1C"/>
    <w:rsid w:val="057B7FA7"/>
    <w:rsid w:val="05B669A7"/>
    <w:rsid w:val="06EB5805"/>
    <w:rsid w:val="07A27EEC"/>
    <w:rsid w:val="07B331BB"/>
    <w:rsid w:val="08BF4FB6"/>
    <w:rsid w:val="08DF1310"/>
    <w:rsid w:val="094767D4"/>
    <w:rsid w:val="096031E3"/>
    <w:rsid w:val="09A219A3"/>
    <w:rsid w:val="09FB7298"/>
    <w:rsid w:val="0B8B6FA5"/>
    <w:rsid w:val="0BAF6B93"/>
    <w:rsid w:val="0CE846B6"/>
    <w:rsid w:val="0D165B71"/>
    <w:rsid w:val="0EA16002"/>
    <w:rsid w:val="10443C30"/>
    <w:rsid w:val="11EDE1C6"/>
    <w:rsid w:val="13EA7490"/>
    <w:rsid w:val="1553126C"/>
    <w:rsid w:val="157631E9"/>
    <w:rsid w:val="1640666E"/>
    <w:rsid w:val="16F790C3"/>
    <w:rsid w:val="18E801F0"/>
    <w:rsid w:val="19876C74"/>
    <w:rsid w:val="1B954041"/>
    <w:rsid w:val="1BFCB252"/>
    <w:rsid w:val="1C3C3394"/>
    <w:rsid w:val="1D7068AF"/>
    <w:rsid w:val="20F523D5"/>
    <w:rsid w:val="22250C5D"/>
    <w:rsid w:val="27DD7C53"/>
    <w:rsid w:val="27FFEB5D"/>
    <w:rsid w:val="299B7276"/>
    <w:rsid w:val="29FD1E08"/>
    <w:rsid w:val="2AF27C2A"/>
    <w:rsid w:val="2AF8208B"/>
    <w:rsid w:val="2D0F08AF"/>
    <w:rsid w:val="2D9C6D88"/>
    <w:rsid w:val="2F7FF25A"/>
    <w:rsid w:val="2FEC2A39"/>
    <w:rsid w:val="2FFC2ED2"/>
    <w:rsid w:val="31601CA6"/>
    <w:rsid w:val="320651E0"/>
    <w:rsid w:val="32D95A79"/>
    <w:rsid w:val="33D87CAF"/>
    <w:rsid w:val="34180A3C"/>
    <w:rsid w:val="36D583BB"/>
    <w:rsid w:val="37FFC8FB"/>
    <w:rsid w:val="38B82ED8"/>
    <w:rsid w:val="3A1218FA"/>
    <w:rsid w:val="3BEC2656"/>
    <w:rsid w:val="3BFF9A64"/>
    <w:rsid w:val="3D6A222A"/>
    <w:rsid w:val="3DFBFA28"/>
    <w:rsid w:val="3E8335BC"/>
    <w:rsid w:val="3F214F87"/>
    <w:rsid w:val="3F5F3348"/>
    <w:rsid w:val="3F6F61C6"/>
    <w:rsid w:val="3F8E1B07"/>
    <w:rsid w:val="3FB5A938"/>
    <w:rsid w:val="3FBFD25C"/>
    <w:rsid w:val="410801DE"/>
    <w:rsid w:val="419F7814"/>
    <w:rsid w:val="432C4798"/>
    <w:rsid w:val="43764396"/>
    <w:rsid w:val="43813731"/>
    <w:rsid w:val="43BA6BA3"/>
    <w:rsid w:val="46BF695C"/>
    <w:rsid w:val="47F85F3E"/>
    <w:rsid w:val="481C787F"/>
    <w:rsid w:val="48403BBB"/>
    <w:rsid w:val="48502044"/>
    <w:rsid w:val="4859469E"/>
    <w:rsid w:val="489D725F"/>
    <w:rsid w:val="48E254C7"/>
    <w:rsid w:val="4B7626F4"/>
    <w:rsid w:val="4BDCC046"/>
    <w:rsid w:val="4CC22C7C"/>
    <w:rsid w:val="4F2F6892"/>
    <w:rsid w:val="4F373F15"/>
    <w:rsid w:val="4F5C03C2"/>
    <w:rsid w:val="4FF57D9F"/>
    <w:rsid w:val="50F52C9F"/>
    <w:rsid w:val="513E12B7"/>
    <w:rsid w:val="51837D93"/>
    <w:rsid w:val="544F2A4A"/>
    <w:rsid w:val="54ED1926"/>
    <w:rsid w:val="556139BE"/>
    <w:rsid w:val="57A92BF6"/>
    <w:rsid w:val="599B3A27"/>
    <w:rsid w:val="59EE9499"/>
    <w:rsid w:val="5ADA2C84"/>
    <w:rsid w:val="5C00068B"/>
    <w:rsid w:val="5C390040"/>
    <w:rsid w:val="5C9D6BF4"/>
    <w:rsid w:val="5ECB5E31"/>
    <w:rsid w:val="5F3F5733"/>
    <w:rsid w:val="5F5D574B"/>
    <w:rsid w:val="5F6E785F"/>
    <w:rsid w:val="64EFDDB8"/>
    <w:rsid w:val="651C0EAA"/>
    <w:rsid w:val="68E55C9B"/>
    <w:rsid w:val="6A154999"/>
    <w:rsid w:val="6A5C10B6"/>
    <w:rsid w:val="6BCEA61D"/>
    <w:rsid w:val="6BFF4AA2"/>
    <w:rsid w:val="6CA741FB"/>
    <w:rsid w:val="6E19FD56"/>
    <w:rsid w:val="6E7CA444"/>
    <w:rsid w:val="6EED127C"/>
    <w:rsid w:val="6FBFB629"/>
    <w:rsid w:val="72FC958B"/>
    <w:rsid w:val="730E0B96"/>
    <w:rsid w:val="734C2197"/>
    <w:rsid w:val="73857CE6"/>
    <w:rsid w:val="73EDE23F"/>
    <w:rsid w:val="756E8455"/>
    <w:rsid w:val="75EFF5E8"/>
    <w:rsid w:val="76201EC5"/>
    <w:rsid w:val="765B1B74"/>
    <w:rsid w:val="76D378C3"/>
    <w:rsid w:val="76DF005B"/>
    <w:rsid w:val="77FBF468"/>
    <w:rsid w:val="77FF0AE7"/>
    <w:rsid w:val="77FFCB3D"/>
    <w:rsid w:val="78673981"/>
    <w:rsid w:val="79747969"/>
    <w:rsid w:val="79BE3EDA"/>
    <w:rsid w:val="79D63377"/>
    <w:rsid w:val="79DEAF40"/>
    <w:rsid w:val="79F37797"/>
    <w:rsid w:val="7B5DBA56"/>
    <w:rsid w:val="7BF567FA"/>
    <w:rsid w:val="7C765E3B"/>
    <w:rsid w:val="7CEFBA63"/>
    <w:rsid w:val="7D0B5B78"/>
    <w:rsid w:val="7D773F76"/>
    <w:rsid w:val="7DE749AD"/>
    <w:rsid w:val="7DFF01DA"/>
    <w:rsid w:val="7E1A69F8"/>
    <w:rsid w:val="7E5FBDE2"/>
    <w:rsid w:val="7E70044A"/>
    <w:rsid w:val="7E7503C2"/>
    <w:rsid w:val="7E7DCD61"/>
    <w:rsid w:val="7E7FC73B"/>
    <w:rsid w:val="7ECBA1DF"/>
    <w:rsid w:val="7ED79BDD"/>
    <w:rsid w:val="7EF72035"/>
    <w:rsid w:val="7EFBEF26"/>
    <w:rsid w:val="7EFF61B8"/>
    <w:rsid w:val="7F5F03E0"/>
    <w:rsid w:val="7F65E45B"/>
    <w:rsid w:val="7F7B91EE"/>
    <w:rsid w:val="7F9F7970"/>
    <w:rsid w:val="7FDBEBC9"/>
    <w:rsid w:val="7FDD0C23"/>
    <w:rsid w:val="7FFDA69E"/>
    <w:rsid w:val="7FFF77C4"/>
    <w:rsid w:val="7FFFEA56"/>
    <w:rsid w:val="93E6C475"/>
    <w:rsid w:val="93FF9A41"/>
    <w:rsid w:val="ABCFE039"/>
    <w:rsid w:val="AFF7FE40"/>
    <w:rsid w:val="B7F30D66"/>
    <w:rsid w:val="B9B94705"/>
    <w:rsid w:val="BC6F3A21"/>
    <w:rsid w:val="BDFCFB66"/>
    <w:rsid w:val="BF7F61A5"/>
    <w:rsid w:val="BFDF78FE"/>
    <w:rsid w:val="BFED3BAC"/>
    <w:rsid w:val="CCBC71C3"/>
    <w:rsid w:val="D6C7D0BE"/>
    <w:rsid w:val="D8D245A6"/>
    <w:rsid w:val="DD7DCACF"/>
    <w:rsid w:val="DEF7C75E"/>
    <w:rsid w:val="DFD4E95D"/>
    <w:rsid w:val="DFE5ED93"/>
    <w:rsid w:val="DFEB6777"/>
    <w:rsid w:val="DFFB0347"/>
    <w:rsid w:val="E766743B"/>
    <w:rsid w:val="E77ADC9C"/>
    <w:rsid w:val="EBFD1068"/>
    <w:rsid w:val="EC3F0331"/>
    <w:rsid w:val="ECBBF3AA"/>
    <w:rsid w:val="ED3CF276"/>
    <w:rsid w:val="EFBFBE40"/>
    <w:rsid w:val="EFF355FB"/>
    <w:rsid w:val="F1FB3AC2"/>
    <w:rsid w:val="F4B60640"/>
    <w:rsid w:val="F5EEADD3"/>
    <w:rsid w:val="F6BF2695"/>
    <w:rsid w:val="F75F4678"/>
    <w:rsid w:val="F7DE6191"/>
    <w:rsid w:val="F7F6D188"/>
    <w:rsid w:val="F7FD04A7"/>
    <w:rsid w:val="FA5A584F"/>
    <w:rsid w:val="FB678B08"/>
    <w:rsid w:val="FB730C72"/>
    <w:rsid w:val="FB7732E1"/>
    <w:rsid w:val="FBFF7EAC"/>
    <w:rsid w:val="FD731AA3"/>
    <w:rsid w:val="FD7BBDF8"/>
    <w:rsid w:val="FDBD7901"/>
    <w:rsid w:val="FDC72ACA"/>
    <w:rsid w:val="FE5F7BDB"/>
    <w:rsid w:val="FEF739D4"/>
    <w:rsid w:val="FF77582E"/>
    <w:rsid w:val="FF7B450B"/>
    <w:rsid w:val="FF9E3273"/>
    <w:rsid w:val="FFED00DA"/>
    <w:rsid w:val="FFFF2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link w:val="22"/>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23"/>
    <w:qFormat/>
    <w:uiPriority w:val="0"/>
    <w:pPr>
      <w:keepNext/>
      <w:keepLines/>
      <w:spacing w:before="218" w:beforeLines="50" w:after="218" w:afterLines="50"/>
      <w:outlineLvl w:val="1"/>
    </w:pPr>
    <w:rPr>
      <w:rFonts w:eastAsia="楷体_GB2312" w:cstheme="majorBidi"/>
      <w:szCs w:val="28"/>
    </w:rPr>
  </w:style>
  <w:style w:type="paragraph" w:styleId="4">
    <w:name w:val="heading 3"/>
    <w:basedOn w:val="1"/>
    <w:next w:val="1"/>
    <w:qFormat/>
    <w:uiPriority w:val="0"/>
    <w:pPr>
      <w:keepNext/>
      <w:keepLines/>
      <w:spacing w:before="260" w:after="260" w:line="413" w:lineRule="auto"/>
      <w:ind w:firstLine="549"/>
      <w:outlineLvl w:val="2"/>
    </w:pPr>
    <w:rPr>
      <w:rFonts w:cs="Times New Roman"/>
      <w:b/>
      <w:szCs w:val="21"/>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4"/>
    <w:semiHidden/>
    <w:unhideWhenUsed/>
    <w:qFormat/>
    <w:uiPriority w:val="99"/>
    <w:pPr>
      <w:jc w:val="left"/>
    </w:pPr>
  </w:style>
  <w:style w:type="paragraph" w:styleId="6">
    <w:name w:val="toc 3"/>
    <w:basedOn w:val="1"/>
    <w:next w:val="1"/>
    <w:unhideWhenUsed/>
    <w:qFormat/>
    <w:uiPriority w:val="39"/>
    <w:pPr>
      <w:ind w:left="840" w:leftChars="400"/>
    </w:pPr>
  </w:style>
  <w:style w:type="paragraph" w:styleId="7">
    <w:name w:val="Balloon Text"/>
    <w:basedOn w:val="1"/>
    <w:link w:val="25"/>
    <w:semiHidden/>
    <w:unhideWhenUsed/>
    <w:qFormat/>
    <w:uiPriority w:val="99"/>
    <w:pPr>
      <w:spacing w:line="240" w:lineRule="auto"/>
    </w:pPr>
    <w:rPr>
      <w:sz w:val="18"/>
      <w:szCs w:val="18"/>
    </w:rPr>
  </w:style>
  <w:style w:type="paragraph" w:styleId="8">
    <w:name w:val="footer"/>
    <w:basedOn w:val="1"/>
    <w:link w:val="26"/>
    <w:unhideWhenUsed/>
    <w:qFormat/>
    <w:uiPriority w:val="99"/>
    <w:pPr>
      <w:tabs>
        <w:tab w:val="center" w:pos="4153"/>
        <w:tab w:val="right" w:pos="8306"/>
      </w:tabs>
      <w:jc w:val="left"/>
    </w:pPr>
    <w:rPr>
      <w:sz w:val="18"/>
      <w:szCs w:val="18"/>
    </w:rPr>
  </w:style>
  <w:style w:type="paragraph" w:styleId="9">
    <w:name w:val="header"/>
    <w:basedOn w:val="1"/>
    <w:link w:val="27"/>
    <w:unhideWhenUsed/>
    <w:qFormat/>
    <w:uiPriority w:val="99"/>
    <w:pPr>
      <w:tabs>
        <w:tab w:val="center" w:pos="4153"/>
        <w:tab w:val="right" w:pos="8306"/>
      </w:tabs>
      <w:jc w:val="center"/>
    </w:pPr>
    <w:rPr>
      <w:sz w:val="18"/>
      <w:szCs w:val="18"/>
    </w:rPr>
  </w:style>
  <w:style w:type="paragraph" w:styleId="10">
    <w:name w:val="toc 1"/>
    <w:basedOn w:val="1"/>
    <w:next w:val="1"/>
    <w:unhideWhenUsed/>
    <w:qFormat/>
    <w:uiPriority w:val="39"/>
    <w:pPr>
      <w:ind w:firstLine="0" w:firstLineChars="0"/>
    </w:pPr>
    <w:rPr>
      <w:b/>
    </w:rPr>
  </w:style>
  <w:style w:type="paragraph" w:styleId="11">
    <w:name w:val="footnote text"/>
    <w:basedOn w:val="1"/>
    <w:link w:val="50"/>
    <w:semiHidden/>
    <w:unhideWhenUsed/>
    <w:qFormat/>
    <w:uiPriority w:val="99"/>
    <w:pPr>
      <w:jc w:val="left"/>
    </w:pPr>
    <w:rPr>
      <w:sz w:val="18"/>
      <w:szCs w:val="18"/>
    </w:rPr>
  </w:style>
  <w:style w:type="paragraph" w:styleId="12">
    <w:name w:val="toc 2"/>
    <w:basedOn w:val="1"/>
    <w:next w:val="1"/>
    <w:unhideWhenUsed/>
    <w:qFormat/>
    <w:uiPriority w:val="39"/>
    <w:pPr>
      <w:ind w:left="100" w:leftChars="100" w:firstLine="0" w:firstLineChars="0"/>
    </w:pPr>
  </w:style>
  <w:style w:type="paragraph" w:styleId="13">
    <w:name w:val="annotation subject"/>
    <w:basedOn w:val="5"/>
    <w:next w:val="5"/>
    <w:link w:val="28"/>
    <w:semiHidden/>
    <w:unhideWhenUsed/>
    <w:qFormat/>
    <w:uiPriority w:val="99"/>
    <w:rPr>
      <w:b/>
      <w:bCs/>
    </w:rPr>
  </w:style>
  <w:style w:type="table" w:styleId="15">
    <w:name w:val="Table Grid"/>
    <w:basedOn w:val="14"/>
    <w:qFormat/>
    <w:uiPriority w:val="59"/>
    <w:pPr>
      <w:jc w:val="center"/>
    </w:pPr>
    <w:tblPr>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rPr>
      <w:jc w:val="center"/>
    </w:trPr>
    <w:tcPr>
      <w:vAlign w:val="center"/>
    </w:tcPr>
    <w:tblStylePr w:type="firstRow">
      <w:pPr>
        <w:wordWrap/>
        <w:adjustRightInd w:val="0"/>
        <w:snapToGrid w:val="0"/>
        <w:spacing w:beforeLines="0" w:beforeAutospacing="0" w:afterLines="0" w:afterAutospacing="0" w:line="240" w:lineRule="auto"/>
        <w:ind w:left="0" w:leftChars="0" w:right="0" w:rightChars="0" w:firstLine="0" w:firstLineChars="0"/>
        <w:contextualSpacing w:val="0"/>
        <w:jc w:val="center"/>
        <w:outlineLvl w:val="9"/>
      </w:pPr>
      <w:rPr>
        <w:rFonts w:ascii="Times New Roman" w:hAnsi="Times New Roman" w:eastAsia="宋体"/>
        <w:b/>
        <w:i w:val="0"/>
        <w:sz w:val="21"/>
      </w:rPr>
      <w:tcPr>
        <w:tcBorders>
          <w:top w:val="single" w:color="auto" w:sz="4" w:space="0"/>
          <w:left w:val="single" w:color="auto" w:sz="4" w:space="0"/>
          <w:bottom w:val="single" w:color="auto" w:sz="4" w:space="0"/>
          <w:right w:val="single" w:color="auto" w:sz="4" w:space="0"/>
          <w:insideH w:val="nil"/>
          <w:insideV w:val="single" w:sz="4" w:space="0"/>
          <w:tl2br w:val="nil"/>
          <w:tr2bl w:val="nil"/>
        </w:tcBorders>
      </w:tcPr>
    </w:tblStylePr>
    <w:tblStylePr w:type="lastRow">
      <w:tblPr/>
      <w:trPr>
        <w:cantSplit/>
        <w:tblHeader/>
      </w:trPr>
      <w:tcPr>
        <w:tcBorders>
          <w:top w:val="single" w:color="auto" w:sz="2" w:space="0"/>
          <w:left w:val="single" w:color="auto" w:sz="2" w:space="0"/>
          <w:bottom w:val="single" w:color="auto" w:sz="2" w:space="0"/>
          <w:right w:val="single" w:color="auto" w:sz="2" w:space="0"/>
          <w:insideH w:val="nil"/>
          <w:insideV w:val="single" w:sz="2" w:space="0"/>
          <w:tl2br w:val="nil"/>
          <w:tr2bl w:val="nil"/>
        </w:tcBorders>
      </w:tcPr>
    </w:tblStylePr>
  </w:style>
  <w:style w:type="character" w:styleId="17">
    <w:name w:val="Strong"/>
    <w:basedOn w:val="16"/>
    <w:qFormat/>
    <w:uiPriority w:val="22"/>
    <w:rPr>
      <w:b/>
    </w:rPr>
  </w:style>
  <w:style w:type="character" w:styleId="18">
    <w:name w:val="page number"/>
    <w:qFormat/>
    <w:uiPriority w:val="0"/>
    <w:rPr>
      <w:rFonts w:eastAsia="宋体"/>
      <w:sz w:val="21"/>
    </w:rPr>
  </w:style>
  <w:style w:type="character" w:styleId="19">
    <w:name w:val="Hyperlink"/>
    <w:basedOn w:val="16"/>
    <w:unhideWhenUsed/>
    <w:qFormat/>
    <w:uiPriority w:val="99"/>
    <w:rPr>
      <w:color w:val="0563C1" w:themeColor="hyperlink"/>
      <w:u w:val="single"/>
      <w14:textFill>
        <w14:solidFill>
          <w14:schemeClr w14:val="hlink"/>
        </w14:solidFill>
      </w14:textFill>
    </w:rPr>
  </w:style>
  <w:style w:type="character" w:styleId="20">
    <w:name w:val="annotation reference"/>
    <w:basedOn w:val="16"/>
    <w:semiHidden/>
    <w:unhideWhenUsed/>
    <w:qFormat/>
    <w:uiPriority w:val="99"/>
    <w:rPr>
      <w:sz w:val="21"/>
      <w:szCs w:val="21"/>
    </w:rPr>
  </w:style>
  <w:style w:type="character" w:styleId="21">
    <w:name w:val="footnote reference"/>
    <w:basedOn w:val="16"/>
    <w:semiHidden/>
    <w:unhideWhenUsed/>
    <w:qFormat/>
    <w:uiPriority w:val="99"/>
    <w:rPr>
      <w:vertAlign w:val="superscript"/>
    </w:rPr>
  </w:style>
  <w:style w:type="character" w:customStyle="1" w:styleId="22">
    <w:name w:val="标题 1 字符"/>
    <w:basedOn w:val="16"/>
    <w:link w:val="2"/>
    <w:qFormat/>
    <w:uiPriority w:val="9"/>
    <w:rPr>
      <w:rFonts w:ascii="Times New Roman" w:hAnsi="Times New Roman" w:eastAsia="仿宋_GB2312"/>
      <w:b/>
      <w:bCs/>
      <w:kern w:val="44"/>
      <w:sz w:val="44"/>
      <w:szCs w:val="44"/>
    </w:rPr>
  </w:style>
  <w:style w:type="character" w:customStyle="1" w:styleId="23">
    <w:name w:val="标题 2 字符"/>
    <w:link w:val="3"/>
    <w:qFormat/>
    <w:uiPriority w:val="0"/>
    <w:rPr>
      <w:rFonts w:ascii="Times New Roman" w:hAnsi="Times New Roman" w:eastAsia="楷体_GB2312" w:cstheme="majorBidi"/>
      <w:kern w:val="2"/>
      <w:sz w:val="32"/>
      <w:szCs w:val="28"/>
      <w:lang w:val="en-US" w:eastAsia="zh-CN" w:bidi="ar-SA"/>
    </w:rPr>
  </w:style>
  <w:style w:type="character" w:customStyle="1" w:styleId="24">
    <w:name w:val="批注文字 字符"/>
    <w:basedOn w:val="16"/>
    <w:link w:val="5"/>
    <w:semiHidden/>
    <w:qFormat/>
    <w:uiPriority w:val="99"/>
    <w:rPr>
      <w:rFonts w:ascii="Times New Roman" w:hAnsi="Times New Roman" w:eastAsia="仿宋_GB2312"/>
      <w:kern w:val="2"/>
      <w:sz w:val="32"/>
      <w:szCs w:val="22"/>
    </w:rPr>
  </w:style>
  <w:style w:type="character" w:customStyle="1" w:styleId="25">
    <w:name w:val="批注框文本 字符"/>
    <w:basedOn w:val="16"/>
    <w:link w:val="7"/>
    <w:semiHidden/>
    <w:qFormat/>
    <w:uiPriority w:val="99"/>
    <w:rPr>
      <w:rFonts w:eastAsia="仿宋_GB2312" w:cstheme="minorBidi"/>
      <w:kern w:val="2"/>
      <w:sz w:val="18"/>
      <w:szCs w:val="18"/>
    </w:rPr>
  </w:style>
  <w:style w:type="character" w:customStyle="1" w:styleId="26">
    <w:name w:val="页脚 字符"/>
    <w:basedOn w:val="16"/>
    <w:link w:val="8"/>
    <w:qFormat/>
    <w:uiPriority w:val="99"/>
    <w:rPr>
      <w:rFonts w:ascii="Times New Roman" w:hAnsi="Times New Roman" w:eastAsia="仿宋_GB2312"/>
      <w:sz w:val="18"/>
      <w:szCs w:val="18"/>
    </w:rPr>
  </w:style>
  <w:style w:type="character" w:customStyle="1" w:styleId="27">
    <w:name w:val="页眉 字符"/>
    <w:basedOn w:val="16"/>
    <w:link w:val="9"/>
    <w:qFormat/>
    <w:uiPriority w:val="99"/>
    <w:rPr>
      <w:rFonts w:ascii="Times New Roman" w:hAnsi="Times New Roman" w:eastAsia="仿宋_GB2312"/>
      <w:sz w:val="18"/>
      <w:szCs w:val="18"/>
    </w:rPr>
  </w:style>
  <w:style w:type="character" w:customStyle="1" w:styleId="28">
    <w:name w:val="批注主题 字符"/>
    <w:basedOn w:val="24"/>
    <w:link w:val="13"/>
    <w:semiHidden/>
    <w:qFormat/>
    <w:uiPriority w:val="99"/>
    <w:rPr>
      <w:rFonts w:ascii="Times New Roman" w:hAnsi="Times New Roman" w:eastAsia="仿宋_GB2312"/>
      <w:b/>
      <w:bCs/>
      <w:kern w:val="2"/>
      <w:sz w:val="32"/>
      <w:szCs w:val="22"/>
    </w:rPr>
  </w:style>
  <w:style w:type="paragraph" w:styleId="29">
    <w:name w:val="List Paragraph"/>
    <w:basedOn w:val="1"/>
    <w:qFormat/>
    <w:uiPriority w:val="34"/>
    <w:pPr>
      <w:ind w:firstLine="420"/>
    </w:pPr>
  </w:style>
  <w:style w:type="paragraph" w:customStyle="1" w:styleId="30">
    <w:name w:val="M表中字体"/>
    <w:link w:val="46"/>
    <w:qFormat/>
    <w:uiPriority w:val="0"/>
    <w:pPr>
      <w:adjustRightInd w:val="0"/>
      <w:snapToGrid w:val="0"/>
      <w:jc w:val="center"/>
    </w:pPr>
    <w:rPr>
      <w:rFonts w:ascii="Times New Roman" w:hAnsi="Times New Roman" w:eastAsia="仿宋_GB2312" w:cs="Times New Roman"/>
      <w:kern w:val="2"/>
      <w:sz w:val="24"/>
      <w:szCs w:val="21"/>
      <w:lang w:val="en-US" w:eastAsia="zh-CN" w:bidi="ar-SA"/>
    </w:rPr>
  </w:style>
  <w:style w:type="paragraph" w:customStyle="1" w:styleId="31">
    <w:name w:val="M表标题"/>
    <w:next w:val="1"/>
    <w:qFormat/>
    <w:uiPriority w:val="0"/>
    <w:pPr>
      <w:keepNext/>
      <w:spacing w:line="360" w:lineRule="auto"/>
      <w:jc w:val="center"/>
    </w:pPr>
    <w:rPr>
      <w:rFonts w:ascii="Times New Roman" w:hAnsi="Times New Roman" w:eastAsia="黑体" w:cs="Times New Roman"/>
      <w:b/>
      <w:bCs/>
      <w:kern w:val="2"/>
      <w:sz w:val="24"/>
      <w:szCs w:val="24"/>
      <w:lang w:val="en-US" w:eastAsia="zh-CN" w:bidi="ar-SA"/>
    </w:rPr>
  </w:style>
  <w:style w:type="paragraph" w:customStyle="1" w:styleId="32">
    <w:name w:val="WPSOffice手动目录 1"/>
    <w:qFormat/>
    <w:uiPriority w:val="0"/>
    <w:rPr>
      <w:rFonts w:asciiTheme="minorHAnsi" w:hAnsiTheme="minorHAnsi" w:eastAsiaTheme="minorEastAsia" w:cstheme="minorBidi"/>
      <w:lang w:val="en-US" w:eastAsia="zh-CN" w:bidi="ar-SA"/>
    </w:rPr>
  </w:style>
  <w:style w:type="paragraph" w:customStyle="1" w:styleId="33">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4">
    <w:name w:val="TOC 标题1"/>
    <w:basedOn w:val="2"/>
    <w:next w:val="1"/>
    <w:unhideWhenUsed/>
    <w:qFormat/>
    <w:uiPriority w:val="39"/>
    <w:pPr>
      <w:widowControl/>
      <w:adjustRightInd/>
      <w:snapToGrid/>
      <w:spacing w:before="240" w:after="0" w:line="259" w:lineRule="auto"/>
      <w:ind w:firstLine="0" w:firstLineChars="0"/>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5">
    <w:name w:val="修订1"/>
    <w:hidden/>
    <w:unhideWhenUsed/>
    <w:qFormat/>
    <w:uiPriority w:val="99"/>
    <w:rPr>
      <w:rFonts w:ascii="Times New Roman" w:hAnsi="Times New Roman" w:eastAsia="仿宋_GB2312" w:cstheme="minorBidi"/>
      <w:kern w:val="2"/>
      <w:sz w:val="32"/>
      <w:szCs w:val="22"/>
      <w:lang w:val="en-US" w:eastAsia="zh-CN" w:bidi="ar-SA"/>
    </w:rPr>
  </w:style>
  <w:style w:type="character" w:customStyle="1" w:styleId="36">
    <w:name w:val="font71"/>
    <w:basedOn w:val="16"/>
    <w:qFormat/>
    <w:uiPriority w:val="0"/>
    <w:rPr>
      <w:rFonts w:hint="eastAsia" w:ascii="宋体" w:hAnsi="宋体" w:eastAsia="宋体" w:cs="宋体"/>
      <w:b/>
      <w:bCs/>
      <w:color w:val="000000"/>
      <w:sz w:val="22"/>
      <w:szCs w:val="22"/>
      <w:u w:val="none"/>
    </w:rPr>
  </w:style>
  <w:style w:type="character" w:customStyle="1" w:styleId="37">
    <w:name w:val="font41"/>
    <w:basedOn w:val="16"/>
    <w:qFormat/>
    <w:uiPriority w:val="0"/>
    <w:rPr>
      <w:rFonts w:ascii="仿宋_GB2312" w:eastAsia="仿宋_GB2312" w:cs="仿宋_GB2312"/>
      <w:b/>
      <w:bCs/>
      <w:color w:val="000000"/>
      <w:sz w:val="24"/>
      <w:szCs w:val="24"/>
      <w:u w:val="none"/>
    </w:rPr>
  </w:style>
  <w:style w:type="character" w:customStyle="1" w:styleId="38">
    <w:name w:val="font11"/>
    <w:basedOn w:val="16"/>
    <w:qFormat/>
    <w:uiPriority w:val="0"/>
    <w:rPr>
      <w:rFonts w:hint="default" w:ascii="Times New Roman" w:hAnsi="Times New Roman" w:cs="Times New Roman"/>
      <w:b/>
      <w:bCs/>
      <w:color w:val="000000"/>
      <w:sz w:val="24"/>
      <w:szCs w:val="24"/>
      <w:u w:val="none"/>
    </w:rPr>
  </w:style>
  <w:style w:type="character" w:customStyle="1" w:styleId="39">
    <w:name w:val="font91"/>
    <w:basedOn w:val="16"/>
    <w:qFormat/>
    <w:uiPriority w:val="0"/>
    <w:rPr>
      <w:rFonts w:hint="eastAsia" w:ascii="仿宋_GB2312" w:eastAsia="仿宋_GB2312" w:cs="仿宋_GB2312"/>
      <w:color w:val="000000"/>
      <w:sz w:val="21"/>
      <w:szCs w:val="21"/>
      <w:u w:val="none"/>
    </w:rPr>
  </w:style>
  <w:style w:type="character" w:customStyle="1" w:styleId="40">
    <w:name w:val="font61"/>
    <w:basedOn w:val="16"/>
    <w:qFormat/>
    <w:uiPriority w:val="0"/>
    <w:rPr>
      <w:rFonts w:hint="eastAsia" w:ascii="仿宋_GB2312" w:eastAsia="仿宋_GB2312" w:cs="仿宋_GB2312"/>
      <w:color w:val="000000"/>
      <w:sz w:val="24"/>
      <w:szCs w:val="24"/>
      <w:u w:val="none"/>
    </w:rPr>
  </w:style>
  <w:style w:type="character" w:customStyle="1" w:styleId="41">
    <w:name w:val="font21"/>
    <w:basedOn w:val="16"/>
    <w:qFormat/>
    <w:uiPriority w:val="0"/>
    <w:rPr>
      <w:rFonts w:hint="default" w:ascii="Times New Roman" w:hAnsi="Times New Roman" w:cs="Times New Roman"/>
      <w:color w:val="000000"/>
      <w:sz w:val="24"/>
      <w:szCs w:val="24"/>
      <w:u w:val="none"/>
    </w:rPr>
  </w:style>
  <w:style w:type="character" w:customStyle="1" w:styleId="42">
    <w:name w:val="font51"/>
    <w:basedOn w:val="16"/>
    <w:qFormat/>
    <w:uiPriority w:val="0"/>
    <w:rPr>
      <w:rFonts w:hint="default" w:ascii="Times New Roman" w:hAnsi="Times New Roman" w:cs="Times New Roman"/>
      <w:color w:val="000000"/>
      <w:sz w:val="24"/>
      <w:szCs w:val="24"/>
      <w:u w:val="none"/>
    </w:rPr>
  </w:style>
  <w:style w:type="character" w:customStyle="1" w:styleId="43">
    <w:name w:val="font31"/>
    <w:basedOn w:val="16"/>
    <w:qFormat/>
    <w:uiPriority w:val="0"/>
    <w:rPr>
      <w:rFonts w:hint="eastAsia" w:ascii="仿宋_GB2312" w:eastAsia="仿宋_GB2312" w:cs="仿宋_GB2312"/>
      <w:color w:val="000000"/>
      <w:sz w:val="24"/>
      <w:szCs w:val="24"/>
      <w:u w:val="none"/>
    </w:rPr>
  </w:style>
  <w:style w:type="paragraph" w:customStyle="1" w:styleId="44">
    <w:name w:val="修订2"/>
    <w:hidden/>
    <w:semiHidden/>
    <w:qFormat/>
    <w:uiPriority w:val="99"/>
    <w:rPr>
      <w:rFonts w:ascii="Times New Roman" w:hAnsi="Times New Roman" w:eastAsia="仿宋_GB2312" w:cstheme="minorBidi"/>
      <w:kern w:val="2"/>
      <w:sz w:val="32"/>
      <w:szCs w:val="22"/>
      <w:lang w:val="en-US" w:eastAsia="zh-CN" w:bidi="ar-SA"/>
    </w:rPr>
  </w:style>
  <w:style w:type="paragraph" w:customStyle="1" w:styleId="45">
    <w:name w:val="修订3"/>
    <w:hidden/>
    <w:unhideWhenUsed/>
    <w:qFormat/>
    <w:uiPriority w:val="99"/>
    <w:rPr>
      <w:rFonts w:ascii="Times New Roman" w:hAnsi="Times New Roman" w:eastAsia="仿宋_GB2312" w:cstheme="minorBidi"/>
      <w:kern w:val="2"/>
      <w:sz w:val="32"/>
      <w:szCs w:val="22"/>
      <w:lang w:val="en-US" w:eastAsia="zh-CN" w:bidi="ar-SA"/>
    </w:rPr>
  </w:style>
  <w:style w:type="character" w:customStyle="1" w:styleId="46">
    <w:name w:val="M表中字体 Char"/>
    <w:basedOn w:val="16"/>
    <w:link w:val="30"/>
    <w:qFormat/>
    <w:uiPriority w:val="0"/>
    <w:rPr>
      <w:rFonts w:eastAsia="仿宋_GB2312"/>
      <w:kern w:val="2"/>
      <w:sz w:val="24"/>
      <w:szCs w:val="21"/>
    </w:rPr>
  </w:style>
  <w:style w:type="paragraph" w:customStyle="1" w:styleId="47">
    <w:name w:val="修订4"/>
    <w:hidden/>
    <w:semiHidden/>
    <w:qFormat/>
    <w:uiPriority w:val="99"/>
    <w:rPr>
      <w:rFonts w:ascii="Times New Roman" w:hAnsi="Times New Roman" w:eastAsia="仿宋_GB2312" w:cstheme="minorBidi"/>
      <w:kern w:val="2"/>
      <w:sz w:val="32"/>
      <w:szCs w:val="22"/>
      <w:lang w:val="en-US" w:eastAsia="zh-CN" w:bidi="ar-SA"/>
    </w:rPr>
  </w:style>
  <w:style w:type="paragraph" w:customStyle="1" w:styleId="48">
    <w:name w:val="修订5"/>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49">
    <w:name w:val="Revision"/>
    <w:hidden/>
    <w:unhideWhenUsed/>
    <w:qFormat/>
    <w:uiPriority w:val="99"/>
    <w:rPr>
      <w:rFonts w:ascii="Times New Roman" w:hAnsi="Times New Roman" w:eastAsia="仿宋_GB2312" w:cstheme="minorBidi"/>
      <w:kern w:val="2"/>
      <w:sz w:val="32"/>
      <w:szCs w:val="22"/>
      <w:lang w:val="en-US" w:eastAsia="zh-CN" w:bidi="ar-SA"/>
    </w:rPr>
  </w:style>
  <w:style w:type="character" w:customStyle="1" w:styleId="50">
    <w:name w:val="脚注文本 字符"/>
    <w:basedOn w:val="16"/>
    <w:link w:val="11"/>
    <w:semiHidden/>
    <w:qFormat/>
    <w:uiPriority w:val="99"/>
    <w:rPr>
      <w:rFonts w:eastAsia="仿宋_GB2312" w:cstheme="minorBidi"/>
      <w:kern w:val="2"/>
      <w:sz w:val="18"/>
      <w:szCs w:val="18"/>
    </w:rPr>
  </w:style>
  <w:style w:type="character" w:customStyle="1" w:styleId="51">
    <w:name w:val="Unresolved Mention"/>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jpe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6119</Words>
  <Characters>6461</Characters>
  <Lines>132</Lines>
  <Paragraphs>37</Paragraphs>
  <TotalTime>41</TotalTime>
  <ScaleCrop>false</ScaleCrop>
  <LinksUpToDate>false</LinksUpToDate>
  <CharactersWithSpaces>6568</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2025-01-17T06:23:00Z</dcterms:created>
  <dc:creator>东 曾</dc:creator>
  <cp:lastModifiedBy>greatwall</cp:lastModifiedBy>
  <cp:lastPrinted>2026-03-02T08:28:00Z</cp:lastPrinted>
  <dcterms:modified xsi:type="dcterms:W3CDTF">2026-06-22T11:16:44Z</dcterms:modified>
  <dc:title>江门市畜禽养殖污染防治规划</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26A36ADE48E688B81CA9386ACB2BF6DF</vt:lpwstr>
  </property>
  <property fmtid="{D5CDD505-2E9C-101B-9397-08002B2CF9AE}" pid="4" name="KSOTemplateDocerSaveRecord">
    <vt:lpwstr>eyJoZGlkIjoiYWIyNThjNGQ1NDlhNDk3MzE4NTdkMGU5YWQzY2RmYjQiLCJ1c2VySWQiOiIzMzUxODM1OTIifQ==</vt:lpwstr>
  </property>
</Properties>
</file>