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C03F3">
      <w:pPr>
        <w:spacing w:line="500" w:lineRule="exact"/>
        <w:jc w:val="center"/>
        <w:rPr>
          <w:rFonts w:ascii="方正小标宋简体" w:eastAsia="方正小标宋简体"/>
          <w:bCs/>
          <w:sz w:val="36"/>
          <w:szCs w:val="36"/>
        </w:rPr>
      </w:pPr>
      <w:bookmarkStart w:id="0" w:name="OLE_LINK3"/>
      <w:bookmarkStart w:id="1" w:name="OLE_LINK2"/>
      <w:r>
        <w:rPr>
          <w:rFonts w:hint="eastAsia" w:ascii="方正小标宋简体" w:hAnsi="华文仿宋" w:eastAsia="方正小标宋简体"/>
          <w:bCs/>
          <w:sz w:val="36"/>
          <w:szCs w:val="36"/>
        </w:rPr>
        <w:t>江门市开平公路局养护中心</w:t>
      </w:r>
      <w:r>
        <w:rPr>
          <w:rFonts w:hint="eastAsia" w:ascii="方正小标宋简体" w:hAnsi="华文仿宋" w:eastAsia="方正小标宋简体"/>
          <w:bCs/>
          <w:sz w:val="36"/>
          <w:szCs w:val="36"/>
          <w:lang w:val="en-US" w:eastAsia="zh-CN"/>
        </w:rPr>
        <w:t>2026-2028年</w:t>
      </w:r>
      <w:r>
        <w:rPr>
          <w:rFonts w:hint="eastAsia" w:ascii="方正小标宋简体" w:hAnsi="华文仿宋" w:eastAsia="方正小标宋简体"/>
          <w:bCs/>
          <w:sz w:val="36"/>
          <w:szCs w:val="36"/>
        </w:rPr>
        <w:t>公务用车定点保险服务采购</w:t>
      </w:r>
      <w:bookmarkEnd w:id="0"/>
      <w:r>
        <w:rPr>
          <w:rFonts w:hint="eastAsia" w:ascii="方正小标宋简体" w:hAnsi="华文仿宋" w:eastAsia="方正小标宋简体"/>
          <w:bCs/>
          <w:sz w:val="36"/>
          <w:szCs w:val="36"/>
        </w:rPr>
        <w:t>评分标准</w:t>
      </w:r>
    </w:p>
    <w:bookmarkEnd w:id="1"/>
    <w:p w14:paraId="4D9826A7">
      <w:pPr>
        <w:pStyle w:val="3"/>
        <w:rPr>
          <w:rFonts w:hAnsi="宋体" w:cs="宋体"/>
        </w:rPr>
      </w:pPr>
    </w:p>
    <w:p w14:paraId="31D030CF">
      <w:pPr>
        <w:spacing w:line="360" w:lineRule="auto"/>
        <w:rPr>
          <w:rFonts w:ascii="宋体" w:hAnsi="宋体" w:eastAsia="宋体" w:cs="宋体"/>
          <w:b/>
          <w:bCs/>
          <w:sz w:val="28"/>
          <w:szCs w:val="28"/>
        </w:rPr>
      </w:pPr>
      <w:r>
        <w:rPr>
          <w:rFonts w:hint="eastAsia" w:ascii="宋体" w:hAnsi="宋体" w:eastAsia="宋体" w:cs="宋体"/>
          <w:b/>
          <w:bCs/>
          <w:sz w:val="28"/>
          <w:szCs w:val="28"/>
        </w:rPr>
        <w:t>一、评分选取方式</w:t>
      </w:r>
    </w:p>
    <w:p w14:paraId="66D6EFF6">
      <w:pPr>
        <w:spacing w:line="360" w:lineRule="auto"/>
        <w:ind w:firstLine="480" w:firstLineChars="200"/>
        <w:rPr>
          <w:rFonts w:ascii="宋体" w:hAnsi="宋体" w:eastAsia="宋体" w:cs="宋体"/>
          <w:sz w:val="24"/>
        </w:rPr>
      </w:pPr>
      <w:r>
        <w:rPr>
          <w:rFonts w:hint="eastAsia" w:ascii="宋体" w:hAnsi="宋体" w:eastAsia="宋体" w:cs="宋体"/>
          <w:sz w:val="24"/>
        </w:rPr>
        <w:t>本次采购公务用车定点保险服务采用【</w:t>
      </w:r>
      <w:r>
        <w:rPr>
          <w:rFonts w:hint="eastAsia" w:ascii="宋体" w:hAnsi="宋体" w:eastAsia="宋体" w:cs="宋体"/>
          <w:sz w:val="24"/>
          <w:lang w:val="en-US" w:eastAsia="zh-CN"/>
        </w:rPr>
        <w:t>自行采购</w:t>
      </w:r>
      <w:r>
        <w:rPr>
          <w:rFonts w:hint="eastAsia" w:ascii="宋体" w:hAnsi="宋体" w:eastAsia="宋体" w:cs="宋体"/>
          <w:sz w:val="24"/>
        </w:rPr>
        <w:t>综合选取】的方式确定中选机构。评分小组先对报名的机构进行初步评审；然后对满足初步评审要求的机构，按照详细评审规定的评分标准进行打分。</w:t>
      </w:r>
    </w:p>
    <w:p w14:paraId="1742DEDD">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评分小组成员对机构的详细评审各评审因素进行评分，计算出各评审因素的算术平均值后合计总和作为该机构的得分，并按得分由高到低顺序推荐中选机构。</w:t>
      </w:r>
    </w:p>
    <w:p w14:paraId="0B95E80F">
      <w:pPr>
        <w:spacing w:line="360" w:lineRule="auto"/>
        <w:ind w:firstLine="480" w:firstLineChars="200"/>
        <w:rPr>
          <w:rFonts w:ascii="宋体" w:hAnsi="宋体" w:eastAsia="宋体" w:cs="宋体"/>
          <w:sz w:val="24"/>
        </w:rPr>
      </w:pPr>
      <w:r>
        <w:rPr>
          <w:rFonts w:hint="eastAsia" w:ascii="宋体" w:hAnsi="宋体" w:eastAsia="宋体"/>
          <w:sz w:val="24"/>
        </w:rPr>
        <w:t>如有两家或以上机构的综合得分相同且得分均为最高，</w:t>
      </w:r>
      <w:r>
        <w:rPr>
          <w:rFonts w:hint="eastAsia" w:ascii="宋体" w:hAnsi="宋体" w:eastAsia="宋体" w:cs="宋体"/>
          <w:sz w:val="24"/>
        </w:rPr>
        <w:t>评分小组视机构的情况综合比较，投票确定其名次。</w:t>
      </w:r>
    </w:p>
    <w:p w14:paraId="466B1B2C">
      <w:pPr>
        <w:spacing w:line="360" w:lineRule="auto"/>
        <w:rPr>
          <w:rFonts w:ascii="宋体" w:hAnsi="宋体" w:eastAsia="宋体" w:cs="宋体"/>
          <w:b/>
          <w:bCs/>
          <w:sz w:val="28"/>
          <w:szCs w:val="28"/>
        </w:rPr>
      </w:pPr>
      <w:r>
        <w:rPr>
          <w:rFonts w:hint="eastAsia" w:ascii="宋体" w:hAnsi="宋体" w:eastAsia="宋体" w:cs="宋体"/>
          <w:b/>
          <w:bCs/>
          <w:sz w:val="28"/>
          <w:szCs w:val="28"/>
        </w:rPr>
        <w:t>二、初步评审</w:t>
      </w:r>
    </w:p>
    <w:tbl>
      <w:tblPr>
        <w:tblStyle w:val="7"/>
        <w:tblW w:w="9866"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8325"/>
      </w:tblGrid>
      <w:tr w14:paraId="0397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1541" w:type="dxa"/>
            <w:shd w:val="clear" w:color="auto" w:fill="auto"/>
            <w:vAlign w:val="center"/>
          </w:tcPr>
          <w:p w14:paraId="42AC15F6">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8325" w:type="dxa"/>
            <w:shd w:val="clear" w:color="auto" w:fill="auto"/>
            <w:vAlign w:val="center"/>
          </w:tcPr>
          <w:p w14:paraId="6989791A">
            <w:pPr>
              <w:spacing w:line="360" w:lineRule="auto"/>
              <w:jc w:val="center"/>
              <w:rPr>
                <w:rFonts w:ascii="宋体" w:hAnsi="宋体" w:eastAsia="宋体" w:cs="宋体"/>
                <w:b/>
                <w:sz w:val="24"/>
              </w:rPr>
            </w:pPr>
            <w:r>
              <w:rPr>
                <w:rFonts w:hint="eastAsia" w:ascii="宋体" w:hAnsi="宋体" w:eastAsia="宋体" w:cs="宋体"/>
                <w:b/>
                <w:sz w:val="24"/>
              </w:rPr>
              <w:t>评审标准</w:t>
            </w:r>
          </w:p>
        </w:tc>
      </w:tr>
      <w:tr w14:paraId="655D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541" w:type="dxa"/>
            <w:shd w:val="clear" w:color="auto" w:fill="auto"/>
            <w:vAlign w:val="center"/>
          </w:tcPr>
          <w:p w14:paraId="4AC49F65">
            <w:pPr>
              <w:spacing w:line="360" w:lineRule="auto"/>
              <w:jc w:val="center"/>
              <w:rPr>
                <w:rFonts w:ascii="宋体" w:hAnsi="宋体" w:eastAsia="宋体" w:cs="宋体"/>
                <w:sz w:val="24"/>
              </w:rPr>
            </w:pPr>
            <w:r>
              <w:rPr>
                <w:rFonts w:hint="eastAsia" w:ascii="宋体" w:hAnsi="宋体" w:eastAsia="宋体" w:cs="宋体"/>
                <w:sz w:val="24"/>
              </w:rPr>
              <w:t>资质</w:t>
            </w:r>
          </w:p>
        </w:tc>
        <w:tc>
          <w:tcPr>
            <w:tcW w:w="8325" w:type="dxa"/>
            <w:shd w:val="clear" w:color="auto" w:fill="auto"/>
            <w:vAlign w:val="center"/>
          </w:tcPr>
          <w:p w14:paraId="008DFB86">
            <w:pPr>
              <w:spacing w:line="360" w:lineRule="auto"/>
              <w:rPr>
                <w:rFonts w:ascii="宋体" w:hAnsi="宋体" w:eastAsia="宋体" w:cs="宋体"/>
                <w:sz w:val="24"/>
              </w:rPr>
            </w:pPr>
            <w:r>
              <w:rPr>
                <w:rFonts w:hint="eastAsia" w:ascii="宋体" w:hAnsi="宋体" w:eastAsia="宋体" w:cs="宋体"/>
                <w:sz w:val="24"/>
              </w:rPr>
              <w:t>（1）在中华人民共和国境内依法注册的具有合法经营资格的</w:t>
            </w:r>
            <w:r>
              <w:rPr>
                <w:rFonts w:hint="eastAsia" w:ascii="宋体" w:hAnsi="宋体" w:eastAsia="宋体" w:cs="宋体"/>
                <w:sz w:val="24"/>
                <w:lang w:val="en-US" w:eastAsia="zh-CN"/>
              </w:rPr>
              <w:t>独立法人</w:t>
            </w:r>
            <w:r>
              <w:rPr>
                <w:rFonts w:hint="eastAsia" w:ascii="宋体" w:hAnsi="宋体" w:eastAsia="宋体" w:cs="宋体"/>
                <w:sz w:val="24"/>
              </w:rPr>
              <w:t>；</w:t>
            </w:r>
          </w:p>
          <w:p w14:paraId="2B5569D1">
            <w:pPr>
              <w:spacing w:line="360" w:lineRule="auto"/>
              <w:rPr>
                <w:rFonts w:ascii="宋体" w:hAnsi="宋体" w:eastAsia="宋体" w:cs="宋体"/>
                <w:sz w:val="24"/>
              </w:rPr>
            </w:pPr>
            <w:r>
              <w:rPr>
                <w:rFonts w:hint="eastAsia" w:ascii="宋体" w:hAnsi="宋体" w:eastAsia="宋体" w:cs="宋体"/>
                <w:sz w:val="24"/>
              </w:rPr>
              <w:t>（2）具备相应</w:t>
            </w:r>
            <w:r>
              <w:rPr>
                <w:rFonts w:hint="eastAsia" w:ascii="宋体" w:hAnsi="宋体" w:eastAsia="宋体" w:cs="宋体"/>
                <w:sz w:val="24"/>
                <w:lang w:val="en-US" w:eastAsia="zh-CN"/>
              </w:rPr>
              <w:t>相应行业资质</w:t>
            </w:r>
            <w:r>
              <w:rPr>
                <w:rFonts w:hint="eastAsia" w:ascii="宋体" w:hAnsi="宋体" w:eastAsia="宋体" w:cs="宋体"/>
                <w:sz w:val="24"/>
              </w:rPr>
              <w:t>；</w:t>
            </w:r>
          </w:p>
          <w:p w14:paraId="25F57F15">
            <w:pPr>
              <w:spacing w:line="360" w:lineRule="auto"/>
              <w:rPr>
                <w:rFonts w:ascii="宋体" w:hAnsi="宋体" w:eastAsia="宋体" w:cs="宋体"/>
                <w:sz w:val="24"/>
              </w:rPr>
            </w:pPr>
            <w:r>
              <w:rPr>
                <w:rFonts w:hint="eastAsia" w:ascii="宋体" w:hAnsi="宋体" w:eastAsia="宋体" w:cs="宋体"/>
                <w:sz w:val="24"/>
              </w:rPr>
              <w:t>（3）不属于回避单位。</w:t>
            </w:r>
          </w:p>
        </w:tc>
      </w:tr>
      <w:tr w14:paraId="098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541" w:type="dxa"/>
            <w:shd w:val="clear" w:color="auto" w:fill="auto"/>
            <w:vAlign w:val="center"/>
          </w:tcPr>
          <w:p w14:paraId="76B0A769">
            <w:pPr>
              <w:spacing w:line="360" w:lineRule="auto"/>
              <w:jc w:val="center"/>
              <w:rPr>
                <w:rFonts w:ascii="宋体" w:hAnsi="宋体" w:eastAsia="宋体" w:cs="宋体"/>
                <w:sz w:val="24"/>
              </w:rPr>
            </w:pPr>
            <w:r>
              <w:rPr>
                <w:rFonts w:hint="eastAsia" w:ascii="宋体" w:hAnsi="宋体" w:eastAsia="宋体" w:cs="宋体"/>
                <w:sz w:val="24"/>
              </w:rPr>
              <w:t>信用</w:t>
            </w:r>
          </w:p>
        </w:tc>
        <w:tc>
          <w:tcPr>
            <w:tcW w:w="8325" w:type="dxa"/>
            <w:shd w:val="clear" w:color="auto" w:fill="auto"/>
            <w:vAlign w:val="center"/>
          </w:tcPr>
          <w:p w14:paraId="4B725C30">
            <w:pPr>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报名单位</w:t>
            </w:r>
            <w:r>
              <w:rPr>
                <w:rFonts w:hint="eastAsia" w:ascii="宋体" w:hAnsi="宋体" w:eastAsia="宋体" w:cs="宋体"/>
                <w:sz w:val="24"/>
              </w:rPr>
              <w:t>在国家企业信用信息公示系统中未被列入严重违法失信企业名单；</w:t>
            </w:r>
          </w:p>
          <w:p w14:paraId="6BFB6B2A">
            <w:pPr>
              <w:spacing w:line="360" w:lineRule="auto"/>
              <w:rPr>
                <w:rFonts w:ascii="宋体" w:hAnsi="宋体" w:eastAsia="宋体"/>
                <w:sz w:val="24"/>
              </w:rPr>
            </w:pPr>
            <w:r>
              <w:rPr>
                <w:rFonts w:hint="eastAsia" w:ascii="宋体" w:hAnsi="宋体" w:eastAsia="宋体" w:cs="宋体"/>
                <w:sz w:val="24"/>
              </w:rPr>
              <w:t>（2）</w:t>
            </w:r>
            <w:r>
              <w:rPr>
                <w:rFonts w:hint="eastAsia" w:ascii="宋体" w:hAnsi="宋体" w:eastAsia="宋体" w:cs="宋体"/>
                <w:sz w:val="24"/>
                <w:lang w:eastAsia="zh-CN"/>
              </w:rPr>
              <w:t>报名单位</w:t>
            </w:r>
            <w:r>
              <w:rPr>
                <w:rFonts w:hint="eastAsia" w:ascii="宋体" w:hAnsi="宋体" w:eastAsia="宋体" w:cs="宋体"/>
                <w:sz w:val="24"/>
              </w:rPr>
              <w:t>在“信用中国”网站或地方信用网站的信用信息报告无不良记录。</w:t>
            </w:r>
          </w:p>
        </w:tc>
      </w:tr>
      <w:tr w14:paraId="05CD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1541" w:type="dxa"/>
            <w:shd w:val="clear" w:color="auto" w:fill="auto"/>
            <w:vAlign w:val="center"/>
          </w:tcPr>
          <w:p w14:paraId="062F8374">
            <w:pPr>
              <w:spacing w:line="360" w:lineRule="auto"/>
              <w:jc w:val="center"/>
              <w:rPr>
                <w:rFonts w:ascii="宋体" w:hAnsi="宋体" w:eastAsia="宋体" w:cs="宋体"/>
                <w:sz w:val="24"/>
              </w:rPr>
            </w:pPr>
            <w:r>
              <w:rPr>
                <w:rFonts w:hint="eastAsia" w:ascii="宋体" w:hAnsi="宋体" w:eastAsia="宋体" w:cs="宋体"/>
                <w:sz w:val="24"/>
              </w:rPr>
              <w:t>报价</w:t>
            </w:r>
          </w:p>
        </w:tc>
        <w:tc>
          <w:tcPr>
            <w:tcW w:w="8325" w:type="dxa"/>
            <w:shd w:val="clear" w:color="auto" w:fill="auto"/>
            <w:vAlign w:val="center"/>
          </w:tcPr>
          <w:p w14:paraId="06498FDF">
            <w:pPr>
              <w:numPr>
                <w:ilvl w:val="0"/>
                <w:numId w:val="1"/>
              </w:numPr>
              <w:spacing w:line="360" w:lineRule="auto"/>
              <w:rPr>
                <w:rFonts w:hint="eastAsia" w:ascii="宋体" w:hAnsi="宋体" w:eastAsia="宋体" w:cs="宋体"/>
                <w:sz w:val="24"/>
              </w:rPr>
            </w:pPr>
            <w:r>
              <w:rPr>
                <w:rFonts w:hint="eastAsia" w:ascii="宋体" w:hAnsi="宋体" w:eastAsia="宋体" w:cs="宋体"/>
                <w:sz w:val="24"/>
                <w:lang w:eastAsia="zh-CN"/>
              </w:rPr>
              <w:t>报</w:t>
            </w:r>
            <w:r>
              <w:rPr>
                <w:rFonts w:ascii="宋体" w:hAnsi="宋体" w:eastAsia="宋体" w:cs="宋体"/>
                <w:sz w:val="24"/>
              </w:rPr>
              <w:t>价</w:t>
            </w:r>
            <w:r>
              <w:rPr>
                <w:rFonts w:hint="eastAsia" w:ascii="宋体" w:hAnsi="宋体" w:eastAsia="宋体" w:cs="宋体"/>
                <w:sz w:val="24"/>
              </w:rPr>
              <w:t>文件应为</w:t>
            </w:r>
            <w:r>
              <w:rPr>
                <w:rFonts w:hint="eastAsia" w:ascii="宋体" w:hAnsi="宋体" w:eastAsia="宋体" w:cs="宋体"/>
                <w:b/>
                <w:sz w:val="24"/>
              </w:rPr>
              <w:t>优惠系数</w:t>
            </w:r>
            <w:r>
              <w:rPr>
                <w:rFonts w:hint="eastAsia" w:ascii="宋体" w:hAnsi="宋体" w:eastAsia="宋体" w:cs="宋体"/>
                <w:sz w:val="24"/>
              </w:rPr>
              <w:t>，</w:t>
            </w:r>
            <w:r>
              <w:rPr>
                <w:rFonts w:hint="eastAsia" w:ascii="宋体" w:hAnsi="宋体" w:eastAsia="宋体" w:cs="宋体"/>
                <w:sz w:val="24"/>
                <w:lang w:eastAsia="zh-CN"/>
              </w:rPr>
              <w:t>油车、电车</w:t>
            </w:r>
            <w:r>
              <w:rPr>
                <w:rFonts w:hint="eastAsia" w:ascii="宋体" w:hAnsi="宋体" w:eastAsia="宋体" w:cs="宋体"/>
                <w:sz w:val="24"/>
              </w:rPr>
              <w:t>优惠系数不得高</w:t>
            </w:r>
            <w:r>
              <w:rPr>
                <w:rFonts w:hint="eastAsia" w:ascii="宋体" w:hAnsi="宋体" w:eastAsia="宋体" w:cs="宋体"/>
                <w:sz w:val="24"/>
                <w:highlight w:val="none"/>
              </w:rPr>
              <w:t>于0.65</w:t>
            </w:r>
            <w:r>
              <w:rPr>
                <w:rFonts w:hint="eastAsia" w:ascii="宋体" w:hAnsi="宋体" w:eastAsia="宋体" w:cs="宋体"/>
                <w:sz w:val="24"/>
                <w:highlight w:val="none"/>
                <w:lang w:eastAsia="zh-CN"/>
              </w:rPr>
              <w:t>；不得低于</w:t>
            </w:r>
            <w:r>
              <w:rPr>
                <w:rFonts w:hint="eastAsia" w:ascii="宋体" w:hAnsi="宋体" w:eastAsia="宋体" w:cs="宋体"/>
                <w:sz w:val="24"/>
                <w:highlight w:val="none"/>
                <w:lang w:val="en-US" w:eastAsia="zh-CN"/>
              </w:rPr>
              <w:t>0.30。</w:t>
            </w:r>
            <w:r>
              <w:rPr>
                <w:rFonts w:hint="eastAsia" w:ascii="宋体" w:hAnsi="宋体" w:eastAsia="宋体" w:cs="宋体"/>
                <w:sz w:val="24"/>
                <w:highlight w:val="none"/>
              </w:rPr>
              <w:t>（</w:t>
            </w:r>
            <w:r>
              <w:rPr>
                <w:rFonts w:hint="eastAsia" w:ascii="宋体" w:hAnsi="宋体" w:eastAsia="宋体" w:cs="宋体"/>
                <w:sz w:val="24"/>
              </w:rPr>
              <w:t>保费=标准保险费额×无赔款优待系数（NCD系数）×</w:t>
            </w:r>
            <w:r>
              <w:rPr>
                <w:rFonts w:hint="eastAsia" w:ascii="宋体" w:hAnsi="宋体" w:eastAsia="宋体" w:cs="宋体"/>
                <w:b/>
                <w:sz w:val="24"/>
              </w:rPr>
              <w:t>优惠系数</w:t>
            </w:r>
            <w:r>
              <w:rPr>
                <w:rFonts w:hint="eastAsia" w:ascii="宋体" w:hAnsi="宋体" w:eastAsia="宋体" w:cs="宋体"/>
                <w:sz w:val="24"/>
              </w:rPr>
              <w:t xml:space="preserve">） </w:t>
            </w:r>
          </w:p>
          <w:p w14:paraId="22455F76">
            <w:pPr>
              <w:numPr>
                <w:ilvl w:val="0"/>
                <w:numId w:val="1"/>
              </w:numPr>
              <w:spacing w:line="360" w:lineRule="auto"/>
              <w:rPr>
                <w:rFonts w:hint="default" w:ascii="宋体" w:hAnsi="宋体" w:eastAsia="宋体" w:cs="宋体"/>
                <w:sz w:val="24"/>
                <w:lang w:val="en-US"/>
              </w:rPr>
            </w:pPr>
            <w:r>
              <w:rPr>
                <w:rFonts w:hint="default" w:ascii="宋体" w:hAnsi="宋体" w:eastAsia="宋体" w:cs="宋体"/>
                <w:sz w:val="24"/>
                <w:highlight w:val="none"/>
                <w:lang w:val="en-US"/>
              </w:rPr>
              <w:t>优惠系数填报格式统一保留2位小数；报价＞0.65、</w:t>
            </w:r>
            <w:r>
              <w:rPr>
                <w:rFonts w:hint="eastAsia" w:ascii="宋体" w:hAnsi="宋体" w:eastAsia="宋体" w:cs="宋体"/>
                <w:sz w:val="24"/>
                <w:highlight w:val="none"/>
                <w:lang w:val="en-US"/>
              </w:rPr>
              <w:t>&lt;</w:t>
            </w:r>
            <w:r>
              <w:rPr>
                <w:rFonts w:hint="eastAsia" w:ascii="宋体" w:hAnsi="宋体" w:eastAsia="宋体" w:cs="宋体"/>
                <w:sz w:val="24"/>
                <w:highlight w:val="none"/>
                <w:lang w:val="en-US" w:eastAsia="zh-CN"/>
              </w:rPr>
              <w:t>0.30、</w:t>
            </w:r>
            <w:r>
              <w:rPr>
                <w:rFonts w:hint="default" w:ascii="宋体" w:hAnsi="宋体" w:eastAsia="宋体" w:cs="宋体"/>
                <w:sz w:val="24"/>
                <w:highlight w:val="none"/>
                <w:lang w:val="en-US"/>
              </w:rPr>
              <w:t>未填写报价、填写负数的异常数值，直接判定初审不合格，不再进入详细评审。</w:t>
            </w:r>
          </w:p>
        </w:tc>
      </w:tr>
    </w:tbl>
    <w:p w14:paraId="383D3F7D">
      <w:pPr>
        <w:spacing w:line="360" w:lineRule="auto"/>
        <w:rPr>
          <w:rFonts w:ascii="宋体" w:hAnsi="宋体" w:eastAsia="宋体" w:cs="宋体"/>
          <w:b/>
          <w:bCs/>
          <w:sz w:val="28"/>
          <w:szCs w:val="28"/>
        </w:rPr>
      </w:pPr>
      <w:r>
        <w:rPr>
          <w:rFonts w:hint="eastAsia" w:ascii="宋体" w:hAnsi="宋体" w:eastAsia="宋体" w:cs="宋体"/>
          <w:b/>
          <w:bCs/>
          <w:sz w:val="28"/>
          <w:szCs w:val="28"/>
        </w:rPr>
        <w:t>三、详细评审</w:t>
      </w:r>
    </w:p>
    <w:tbl>
      <w:tblPr>
        <w:tblStyle w:val="7"/>
        <w:tblW w:w="5783" w:type="pct"/>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377"/>
        <w:gridCol w:w="1037"/>
        <w:gridCol w:w="6698"/>
      </w:tblGrid>
      <w:tr w14:paraId="11EB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30" w:type="pct"/>
            <w:gridSpan w:val="3"/>
            <w:vAlign w:val="center"/>
          </w:tcPr>
          <w:p w14:paraId="4D60DB86">
            <w:pPr>
              <w:jc w:val="center"/>
              <w:rPr>
                <w:rFonts w:hint="default" w:ascii="宋体" w:hAnsi="宋体" w:eastAsia="宋体"/>
                <w:b/>
                <w:bCs/>
                <w:sz w:val="24"/>
                <w:lang w:val="en-US" w:eastAsia="zh-CN"/>
              </w:rPr>
            </w:pPr>
            <w:r>
              <w:rPr>
                <w:rFonts w:hint="eastAsia" w:ascii="宋体" w:hAnsi="宋体" w:eastAsia="宋体"/>
                <w:b/>
                <w:bCs/>
                <w:sz w:val="24"/>
              </w:rPr>
              <w:t>评审因素</w:t>
            </w:r>
            <w:r>
              <w:rPr>
                <w:rFonts w:hint="eastAsia" w:ascii="宋体" w:hAnsi="宋体" w:eastAsia="宋体"/>
                <w:b/>
                <w:bCs/>
                <w:sz w:val="24"/>
                <w:lang w:val="en-US" w:eastAsia="zh-CN"/>
              </w:rPr>
              <w:t>与评分值</w:t>
            </w:r>
          </w:p>
        </w:tc>
        <w:tc>
          <w:tcPr>
            <w:tcW w:w="3269" w:type="pct"/>
            <w:vMerge w:val="restart"/>
            <w:vAlign w:val="center"/>
          </w:tcPr>
          <w:p w14:paraId="7629F142">
            <w:pPr>
              <w:jc w:val="center"/>
              <w:rPr>
                <w:rFonts w:hint="eastAsia" w:asciiTheme="minorEastAsia" w:hAnsiTheme="minorEastAsia" w:eastAsiaTheme="minorEastAsia"/>
                <w:sz w:val="24"/>
              </w:rPr>
            </w:pPr>
            <w:r>
              <w:rPr>
                <w:rFonts w:ascii="宋体" w:hAnsi="宋体" w:eastAsia="宋体"/>
                <w:b/>
                <w:bCs/>
                <w:sz w:val="24"/>
              </w:rPr>
              <w:br w:type="page"/>
            </w:r>
            <w:r>
              <w:rPr>
                <w:rFonts w:hint="eastAsia" w:ascii="宋体" w:hAnsi="宋体" w:eastAsia="宋体" w:cs="宋体"/>
                <w:b/>
                <w:bCs/>
                <w:sz w:val="24"/>
              </w:rPr>
              <w:t>评审标准</w:t>
            </w:r>
          </w:p>
        </w:tc>
      </w:tr>
      <w:tr w14:paraId="403E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4" w:type="pct"/>
            <w:gridSpan w:val="2"/>
            <w:vAlign w:val="center"/>
          </w:tcPr>
          <w:p w14:paraId="09E41975">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评审因素</w:t>
            </w:r>
          </w:p>
        </w:tc>
        <w:tc>
          <w:tcPr>
            <w:tcW w:w="506" w:type="pct"/>
            <w:vAlign w:val="center"/>
          </w:tcPr>
          <w:p w14:paraId="39A86A6D">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分值</w:t>
            </w:r>
          </w:p>
        </w:tc>
        <w:tc>
          <w:tcPr>
            <w:tcW w:w="3269" w:type="pct"/>
            <w:vMerge w:val="continue"/>
            <w:vAlign w:val="center"/>
          </w:tcPr>
          <w:p w14:paraId="08EB8AF8">
            <w:pPr>
              <w:rPr>
                <w:rFonts w:ascii="宋体" w:hAnsi="宋体" w:eastAsia="宋体"/>
                <w:b/>
                <w:bCs/>
                <w:sz w:val="24"/>
              </w:rPr>
            </w:pPr>
          </w:p>
        </w:tc>
      </w:tr>
      <w:tr w14:paraId="7EF9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552" w:type="pct"/>
            <w:vMerge w:val="restart"/>
            <w:vAlign w:val="center"/>
          </w:tcPr>
          <w:p w14:paraId="56B03A7D">
            <w:pPr>
              <w:spacing w:line="276"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技术</w:t>
            </w:r>
            <w:r>
              <w:rPr>
                <w:rFonts w:hint="eastAsia" w:cs="仿宋_GB2312" w:asciiTheme="minorEastAsia" w:hAnsiTheme="minorEastAsia" w:eastAsiaTheme="minorEastAsia"/>
                <w:sz w:val="24"/>
                <w:lang w:val="en-US" w:eastAsia="zh-CN"/>
              </w:rPr>
              <w:t>(方案)建议书</w:t>
            </w:r>
          </w:p>
        </w:tc>
        <w:tc>
          <w:tcPr>
            <w:tcW w:w="671" w:type="pct"/>
            <w:vAlign w:val="center"/>
          </w:tcPr>
          <w:p w14:paraId="6156D901">
            <w:pPr>
              <w:spacing w:line="276" w:lineRule="auto"/>
              <w:jc w:val="center"/>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服务计划</w:t>
            </w:r>
          </w:p>
        </w:tc>
        <w:tc>
          <w:tcPr>
            <w:tcW w:w="506" w:type="pct"/>
            <w:vAlign w:val="center"/>
          </w:tcPr>
          <w:p w14:paraId="4BB96AF8">
            <w:pPr>
              <w:spacing w:line="276"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10.0分</w:t>
            </w:r>
          </w:p>
        </w:tc>
        <w:tc>
          <w:tcPr>
            <w:tcW w:w="3269" w:type="pct"/>
            <w:vAlign w:val="center"/>
          </w:tcPr>
          <w:p w14:paraId="321CB0D2">
            <w:pPr>
              <w:keepNext w:val="0"/>
              <w:keepLines w:val="0"/>
              <w:pageBreakBefore w:val="0"/>
              <w:widowControl w:val="0"/>
              <w:kinsoku/>
              <w:wordWrap/>
              <w:overflowPunct/>
              <w:topLinePunct w:val="0"/>
              <w:autoSpaceDE/>
              <w:autoSpaceDN/>
              <w:bidi w:val="0"/>
              <w:adjustRightInd/>
              <w:snapToGrid/>
              <w:spacing w:line="300" w:lineRule="auto"/>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考察各投标报价人在报价文件中提供的服务方案对采购人服务范围及内容的响应情况。</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完全满足采购文件中“采购项目服务范围和内容”的，得</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0分；</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非核心条款存在细微偏离，不影响整体履约</w:t>
            </w:r>
            <w:r>
              <w:rPr>
                <w:rFonts w:hint="eastAsia" w:asciiTheme="minorEastAsia" w:hAnsiTheme="minorEastAsia" w:eastAsiaTheme="minorEastAsia"/>
                <w:sz w:val="24"/>
                <w:szCs w:val="24"/>
                <w:highlight w:val="none"/>
                <w:lang w:eastAsia="zh-CN"/>
              </w:rPr>
              <w:t>，得</w:t>
            </w:r>
            <w:r>
              <w:rPr>
                <w:rFonts w:hint="eastAsia" w:asciiTheme="minorEastAsia" w:hAnsiTheme="minorEastAsia" w:eastAsiaTheme="minorEastAsia"/>
                <w:sz w:val="24"/>
                <w:szCs w:val="24"/>
                <w:highlight w:val="none"/>
              </w:rPr>
              <w:t>7分</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核心服务内容存在缺漏，会影响日常公车保险业务开展</w:t>
            </w:r>
            <w:r>
              <w:rPr>
                <w:rFonts w:hint="eastAsia" w:asciiTheme="minorEastAsia" w:hAnsiTheme="minorEastAsia" w:eastAsiaTheme="minorEastAsia"/>
                <w:sz w:val="24"/>
                <w:szCs w:val="24"/>
                <w:highlight w:val="none"/>
                <w:lang w:eastAsia="zh-CN"/>
              </w:rPr>
              <w:t>，得</w:t>
            </w:r>
            <w:r>
              <w:rPr>
                <w:rFonts w:hint="eastAsia" w:asciiTheme="minorEastAsia" w:hAnsiTheme="minorEastAsia" w:eastAsiaTheme="minorEastAsia"/>
                <w:sz w:val="24"/>
                <w:szCs w:val="24"/>
                <w:highlight w:val="none"/>
              </w:rPr>
              <w:t>0分</w:t>
            </w:r>
            <w:r>
              <w:rPr>
                <w:rFonts w:hint="eastAsia" w:asciiTheme="minorEastAsia" w:hAnsiTheme="minorEastAsia" w:eastAsiaTheme="minorEastAsia"/>
                <w:sz w:val="24"/>
                <w:szCs w:val="24"/>
                <w:highlight w:val="none"/>
                <w:lang w:eastAsia="zh-CN"/>
              </w:rPr>
              <w:t>。</w:t>
            </w:r>
          </w:p>
        </w:tc>
      </w:tr>
      <w:tr w14:paraId="0B16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552" w:type="pct"/>
            <w:vMerge w:val="continue"/>
            <w:vAlign w:val="center"/>
          </w:tcPr>
          <w:p w14:paraId="585D62BC">
            <w:pPr>
              <w:spacing w:line="276" w:lineRule="auto"/>
              <w:jc w:val="center"/>
              <w:rPr>
                <w:rFonts w:hint="eastAsia" w:cs="宋体" w:asciiTheme="minorEastAsia" w:hAnsiTheme="minorEastAsia" w:eastAsiaTheme="minorEastAsia"/>
                <w:kern w:val="2"/>
                <w:sz w:val="24"/>
                <w:szCs w:val="24"/>
                <w:lang w:val="en-US" w:eastAsia="zh-CN" w:bidi="ar-SA"/>
              </w:rPr>
            </w:pPr>
          </w:p>
        </w:tc>
        <w:tc>
          <w:tcPr>
            <w:tcW w:w="671" w:type="pct"/>
            <w:vAlign w:val="center"/>
          </w:tcPr>
          <w:p w14:paraId="57ACEFCF">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lang w:eastAsia="zh-CN"/>
              </w:rPr>
              <w:t>理赔</w:t>
            </w:r>
            <w:r>
              <w:rPr>
                <w:rFonts w:hint="eastAsia" w:cs="仿宋_GB2312" w:asciiTheme="minorEastAsia" w:hAnsiTheme="minorEastAsia" w:eastAsiaTheme="minorEastAsia"/>
                <w:sz w:val="24"/>
                <w:lang w:val="en-US" w:eastAsia="zh-CN"/>
              </w:rPr>
              <w:t>方案</w:t>
            </w:r>
          </w:p>
        </w:tc>
        <w:tc>
          <w:tcPr>
            <w:tcW w:w="506" w:type="pct"/>
            <w:vAlign w:val="center"/>
          </w:tcPr>
          <w:p w14:paraId="4C568AEA">
            <w:pPr>
              <w:spacing w:line="276"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10.0分</w:t>
            </w:r>
          </w:p>
        </w:tc>
        <w:tc>
          <w:tcPr>
            <w:tcW w:w="3269" w:type="pct"/>
            <w:vAlign w:val="center"/>
          </w:tcPr>
          <w:p w14:paraId="07C5EB53">
            <w:pPr>
              <w:keepNext w:val="0"/>
              <w:keepLines w:val="0"/>
              <w:pageBreakBefore w:val="0"/>
              <w:widowControl w:val="0"/>
              <w:shd w:val="clear"/>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投标人根据本项目编制理赔服务方案，内容包括：1</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rPr>
              <w:t>理赔流程；2</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rPr>
              <w:t>理赔时效；3</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rPr>
              <w:t>索赔资料；4</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rPr>
              <w:t xml:space="preserve">理赔管理制度等进行评价： </w:t>
            </w:r>
          </w:p>
          <w:p w14:paraId="002211F1">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 xml:space="preserve">（1）理赔流程完整性 分值3分：理赔流程完整性得3分。 完整包含报案、查勘、定损、赔付、异议申诉全流程得3分，缺一项扣1分 </w:t>
            </w:r>
          </w:p>
          <w:p w14:paraId="63BE3C67">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（2）理赔时效承诺 分值3分： 明确开平本地城区30分钟内到场查勘、乡镇1小时到场、小额案件1个工作日赔付到位，承诺清晰足额得3分；时效弱于需求酌情扣分</w:t>
            </w:r>
          </w:p>
          <w:p w14:paraId="5EE9056F">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auto"/>
              <w:ind w:left="0" w:leftChars="0" w:firstLine="0" w:firstLineChars="0"/>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（3）</w:t>
            </w:r>
            <w:r>
              <w:rPr>
                <w:rFonts w:hint="default" w:cs="Times New Roman" w:asciiTheme="minorEastAsia" w:hAnsiTheme="minorEastAsia" w:eastAsiaTheme="minorEastAsia"/>
                <w:kern w:val="2"/>
                <w:sz w:val="24"/>
                <w:szCs w:val="24"/>
                <w:highlight w:val="none"/>
                <w:lang w:val="en-US" w:eastAsia="zh-CN" w:bidi="ar-SA"/>
              </w:rPr>
              <w:t xml:space="preserve">索赔资料简化举措 </w:t>
            </w:r>
            <w:r>
              <w:rPr>
                <w:rFonts w:hint="eastAsia" w:cs="Times New Roman" w:asciiTheme="minorEastAsia" w:hAnsiTheme="minorEastAsia" w:eastAsiaTheme="minorEastAsia"/>
                <w:kern w:val="2"/>
                <w:sz w:val="24"/>
                <w:szCs w:val="24"/>
                <w:highlight w:val="none"/>
                <w:lang w:val="en-US" w:eastAsia="zh-CN" w:bidi="ar-SA"/>
              </w:rPr>
              <w:t xml:space="preserve"> 分值</w:t>
            </w:r>
            <w:r>
              <w:rPr>
                <w:rFonts w:hint="default" w:cs="Times New Roman" w:asciiTheme="minorEastAsia" w:hAnsiTheme="minorEastAsia" w:eastAsiaTheme="minorEastAsia"/>
                <w:kern w:val="2"/>
                <w:sz w:val="24"/>
                <w:szCs w:val="24"/>
                <w:highlight w:val="none"/>
                <w:lang w:val="en-US" w:eastAsia="zh-CN" w:bidi="ar-SA"/>
              </w:rPr>
              <w:t>2分</w:t>
            </w:r>
            <w:r>
              <w:rPr>
                <w:rFonts w:hint="eastAsia" w:cs="Times New Roman" w:asciiTheme="minorEastAsia" w:hAnsiTheme="minorEastAsia" w:eastAsiaTheme="minorEastAsia"/>
                <w:kern w:val="2"/>
                <w:sz w:val="24"/>
                <w:szCs w:val="24"/>
                <w:highlight w:val="none"/>
                <w:lang w:val="en-US" w:eastAsia="zh-CN" w:bidi="ar-SA"/>
              </w:rPr>
              <w:t>：</w:t>
            </w:r>
            <w:r>
              <w:rPr>
                <w:rFonts w:hint="default" w:cs="Times New Roman" w:asciiTheme="minorEastAsia" w:hAnsiTheme="minorEastAsia" w:eastAsiaTheme="minorEastAsia"/>
                <w:kern w:val="2"/>
                <w:sz w:val="24"/>
                <w:szCs w:val="24"/>
                <w:highlight w:val="none"/>
                <w:lang w:val="en-US" w:eastAsia="zh-CN" w:bidi="ar-SA"/>
              </w:rPr>
              <w:t xml:space="preserve"> 提供线上直赔、免纸质材料、简化理赔资料等便民措施得满分</w:t>
            </w:r>
            <w:r>
              <w:rPr>
                <w:rFonts w:hint="eastAsia" w:cs="Times New Roman" w:asciiTheme="minorEastAsia" w:hAnsiTheme="minorEastAsia" w:eastAsiaTheme="minorEastAsia"/>
                <w:kern w:val="2"/>
                <w:sz w:val="24"/>
                <w:szCs w:val="24"/>
                <w:highlight w:val="none"/>
                <w:lang w:val="en-US" w:eastAsia="zh-CN" w:bidi="ar-SA"/>
              </w:rPr>
              <w:t>。弱于需求酌情扣分。</w:t>
            </w:r>
            <w:r>
              <w:rPr>
                <w:rFonts w:hint="default" w:cs="Times New Roman" w:asciiTheme="minorEastAsia" w:hAnsiTheme="minorEastAsia" w:eastAsiaTheme="minorEastAsia"/>
                <w:kern w:val="2"/>
                <w:sz w:val="24"/>
                <w:szCs w:val="24"/>
                <w:highlight w:val="none"/>
                <w:lang w:val="en-US" w:eastAsia="zh-CN" w:bidi="ar-SA"/>
              </w:rPr>
              <w:t xml:space="preserve"> </w:t>
            </w:r>
          </w:p>
          <w:p w14:paraId="7A419AE5">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（4）</w:t>
            </w:r>
            <w:r>
              <w:rPr>
                <w:rFonts w:hint="default" w:cs="Times New Roman" w:asciiTheme="minorEastAsia" w:hAnsiTheme="minorEastAsia" w:eastAsiaTheme="minorEastAsia"/>
                <w:kern w:val="2"/>
                <w:sz w:val="24"/>
                <w:szCs w:val="24"/>
                <w:highlight w:val="none"/>
                <w:lang w:val="en-US" w:eastAsia="zh-CN" w:bidi="ar-SA"/>
              </w:rPr>
              <w:t>理赔管理制度</w:t>
            </w:r>
            <w:r>
              <w:rPr>
                <w:rFonts w:hint="eastAsia" w:cs="Times New Roman" w:asciiTheme="minorEastAsia" w:hAnsiTheme="minorEastAsia" w:eastAsiaTheme="minorEastAsia"/>
                <w:kern w:val="2"/>
                <w:sz w:val="24"/>
                <w:szCs w:val="24"/>
                <w:highlight w:val="none"/>
                <w:lang w:val="en-US" w:eastAsia="zh-CN" w:bidi="ar-SA"/>
              </w:rPr>
              <w:t xml:space="preserve"> 分值</w:t>
            </w:r>
            <w:r>
              <w:rPr>
                <w:rFonts w:hint="default" w:cs="Times New Roman" w:asciiTheme="minorEastAsia" w:hAnsiTheme="minorEastAsia" w:eastAsiaTheme="minorEastAsia"/>
                <w:kern w:val="2"/>
                <w:sz w:val="24"/>
                <w:szCs w:val="24"/>
                <w:highlight w:val="none"/>
                <w:lang w:val="en-US" w:eastAsia="zh-CN" w:bidi="ar-SA"/>
              </w:rPr>
              <w:t>2分</w:t>
            </w:r>
            <w:r>
              <w:rPr>
                <w:rFonts w:hint="eastAsia" w:cs="Times New Roman" w:asciiTheme="minorEastAsia" w:hAnsiTheme="minorEastAsia" w:eastAsiaTheme="minorEastAsia"/>
                <w:kern w:val="2"/>
                <w:sz w:val="24"/>
                <w:szCs w:val="24"/>
                <w:highlight w:val="none"/>
                <w:lang w:val="en-US" w:eastAsia="zh-CN" w:bidi="ar-SA"/>
              </w:rPr>
              <w:t>：</w:t>
            </w:r>
            <w:r>
              <w:rPr>
                <w:rFonts w:hint="default" w:cs="Times New Roman" w:asciiTheme="minorEastAsia" w:hAnsiTheme="minorEastAsia" w:eastAsiaTheme="minorEastAsia"/>
                <w:kern w:val="2"/>
                <w:sz w:val="24"/>
                <w:szCs w:val="24"/>
                <w:highlight w:val="none"/>
                <w:lang w:val="en-US" w:eastAsia="zh-CN" w:bidi="ar-SA"/>
              </w:rPr>
              <w:t xml:space="preserve"> 配备专职对公理赔专员、投诉处理机制、理赔差错追责制度得满分</w:t>
            </w:r>
            <w:r>
              <w:rPr>
                <w:rFonts w:hint="eastAsia" w:cs="Times New Roman" w:asciiTheme="minorEastAsia" w:hAnsiTheme="minorEastAsia" w:eastAsiaTheme="minorEastAsia"/>
                <w:kern w:val="2"/>
                <w:sz w:val="24"/>
                <w:szCs w:val="24"/>
                <w:highlight w:val="none"/>
                <w:lang w:val="en-US" w:eastAsia="zh-CN" w:bidi="ar-SA"/>
              </w:rPr>
              <w:t>。弱于需求酌情扣分</w:t>
            </w:r>
          </w:p>
        </w:tc>
      </w:tr>
      <w:tr w14:paraId="4606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52" w:type="pct"/>
            <w:vMerge w:val="continue"/>
            <w:vAlign w:val="center"/>
          </w:tcPr>
          <w:p w14:paraId="49D2F080">
            <w:pPr>
              <w:spacing w:line="276" w:lineRule="auto"/>
              <w:jc w:val="center"/>
              <w:rPr>
                <w:rFonts w:cs="宋体" w:asciiTheme="minorEastAsia" w:hAnsiTheme="minorEastAsia" w:eastAsiaTheme="minorEastAsia"/>
                <w:sz w:val="24"/>
              </w:rPr>
            </w:pPr>
          </w:p>
        </w:tc>
        <w:tc>
          <w:tcPr>
            <w:tcW w:w="671" w:type="pct"/>
            <w:vAlign w:val="center"/>
          </w:tcPr>
          <w:p w14:paraId="1484706D">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lang w:val="en-US" w:eastAsia="zh-CN"/>
              </w:rPr>
              <w:t>本地化</w:t>
            </w:r>
            <w:r>
              <w:rPr>
                <w:rFonts w:hint="eastAsia" w:cs="仿宋_GB2312" w:asciiTheme="minorEastAsia" w:hAnsiTheme="minorEastAsia" w:eastAsiaTheme="minorEastAsia"/>
                <w:sz w:val="24"/>
              </w:rPr>
              <w:t>服务</w:t>
            </w:r>
            <w:r>
              <w:rPr>
                <w:rFonts w:hint="eastAsia" w:cs="仿宋_GB2312" w:asciiTheme="minorEastAsia" w:hAnsiTheme="minorEastAsia" w:eastAsiaTheme="minorEastAsia"/>
                <w:sz w:val="24"/>
                <w:lang w:val="en-US" w:eastAsia="zh-CN"/>
              </w:rPr>
              <w:t>水平</w:t>
            </w:r>
          </w:p>
        </w:tc>
        <w:tc>
          <w:tcPr>
            <w:tcW w:w="506" w:type="pct"/>
            <w:vAlign w:val="center"/>
          </w:tcPr>
          <w:p w14:paraId="64083308">
            <w:pPr>
              <w:spacing w:line="276"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10.0分</w:t>
            </w:r>
          </w:p>
        </w:tc>
        <w:tc>
          <w:tcPr>
            <w:tcW w:w="3269" w:type="pct"/>
            <w:vAlign w:val="center"/>
          </w:tcPr>
          <w:p w14:paraId="316A1498">
            <w:pPr>
              <w:keepNext w:val="0"/>
              <w:keepLines w:val="0"/>
              <w:pageBreakBefore w:val="0"/>
              <w:widowControl w:val="0"/>
              <w:shd w:val="clear"/>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开平市设有固定经营服务网点（含分支机构营业部）即可计分，不强制营业执照注册地必须为开平；网点需提供经营场所租赁合同+门店门头实拍照片+营业执照佐证，杜绝虚假网点。每提供一个得2分，最高10分。</w:t>
            </w:r>
            <w:r>
              <w:rPr>
                <w:rFonts w:hint="eastAsia" w:ascii="宋体" w:hAnsi="宋体" w:eastAsia="宋体"/>
                <w:sz w:val="24"/>
              </w:rPr>
              <w:t>服务网点</w:t>
            </w:r>
            <w:r>
              <w:rPr>
                <w:rFonts w:hint="eastAsia" w:ascii="宋体" w:hAnsi="宋体" w:eastAsia="宋体"/>
                <w:sz w:val="24"/>
                <w:lang w:eastAsia="zh-CN"/>
              </w:rPr>
              <w:t>必须</w:t>
            </w:r>
            <w:r>
              <w:rPr>
                <w:rFonts w:hint="eastAsia" w:ascii="宋体" w:hAnsi="宋体" w:eastAsia="宋体"/>
                <w:sz w:val="24"/>
              </w:rPr>
              <w:t>提供</w:t>
            </w:r>
            <w:r>
              <w:rPr>
                <w:rFonts w:hint="eastAsia" w:asciiTheme="minorEastAsia" w:hAnsiTheme="minorEastAsia" w:eastAsiaTheme="minorEastAsia"/>
                <w:sz w:val="24"/>
                <w:szCs w:val="24"/>
              </w:rPr>
              <w:t>经营场所租赁合同+门店门头实拍照片+营业执照佐证</w:t>
            </w:r>
            <w:r>
              <w:rPr>
                <w:rFonts w:hint="eastAsia" w:ascii="宋体" w:hAnsi="宋体" w:eastAsia="宋体"/>
                <w:sz w:val="24"/>
              </w:rPr>
              <w:t>复印件加盖公章。</w:t>
            </w:r>
          </w:p>
          <w:p w14:paraId="55008F0F">
            <w:pPr>
              <w:keepNext w:val="0"/>
              <w:keepLines w:val="0"/>
              <w:pageBreakBefore w:val="0"/>
              <w:widowControl w:val="0"/>
              <w:shd w:val="clear"/>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优：5个（含）</w:t>
            </w:r>
            <w:r>
              <w:rPr>
                <w:rFonts w:hint="eastAsia" w:cs="仿宋_GB2312" w:asciiTheme="minorEastAsia" w:hAnsiTheme="minorEastAsia" w:eastAsiaTheme="minorEastAsia"/>
                <w:sz w:val="22"/>
                <w:szCs w:val="22"/>
              </w:rPr>
              <w:t>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5F0314C2">
            <w:pPr>
              <w:keepNext w:val="0"/>
              <w:keepLines w:val="0"/>
              <w:pageBreakBefore w:val="0"/>
              <w:widowControl w:val="0"/>
              <w:shd w:val="clear"/>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良：4个（含）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8</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0966D0B3">
            <w:pPr>
              <w:keepNext w:val="0"/>
              <w:keepLines w:val="0"/>
              <w:pageBreakBefore w:val="0"/>
              <w:widowControl w:val="0"/>
              <w:shd w:val="clear"/>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一般：3个（含）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6</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lang w:val="en-US" w:eastAsia="zh-CN"/>
              </w:rPr>
              <w:t>以此</w:t>
            </w:r>
            <w:r>
              <w:rPr>
                <w:rFonts w:hint="eastAsia" w:cs="仿宋_GB2312" w:asciiTheme="minorEastAsia" w:hAnsiTheme="minorEastAsia" w:eastAsiaTheme="minorEastAsia"/>
                <w:sz w:val="22"/>
                <w:szCs w:val="22"/>
                <w:lang w:eastAsia="zh-CN"/>
              </w:rPr>
              <w:t>类推，未提交</w:t>
            </w:r>
            <w:r>
              <w:rPr>
                <w:rFonts w:hint="eastAsia" w:cs="仿宋_GB2312" w:asciiTheme="minorEastAsia" w:hAnsiTheme="minorEastAsia" w:eastAsiaTheme="minorEastAsia"/>
                <w:sz w:val="22"/>
                <w:szCs w:val="22"/>
                <w:lang w:val="en-US" w:eastAsia="zh-CN"/>
              </w:rPr>
              <w:t>0</w:t>
            </w:r>
            <w:r>
              <w:rPr>
                <w:rFonts w:hint="eastAsia" w:cs="仿宋_GB2312" w:asciiTheme="minorEastAsia" w:hAnsiTheme="minorEastAsia" w:eastAsiaTheme="minorEastAsia"/>
                <w:sz w:val="22"/>
                <w:szCs w:val="22"/>
                <w:lang w:eastAsia="zh-CN"/>
              </w:rPr>
              <w:t>分。</w:t>
            </w:r>
          </w:p>
          <w:p w14:paraId="35436A8E">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Theme="minorEastAsia" w:hAnsiTheme="minorEastAsia" w:eastAsiaTheme="minorEastAsia"/>
                <w:sz w:val="24"/>
                <w:szCs w:val="24"/>
              </w:rPr>
            </w:pPr>
          </w:p>
        </w:tc>
      </w:tr>
      <w:tr w14:paraId="14A3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224" w:type="pct"/>
            <w:gridSpan w:val="2"/>
            <w:vAlign w:val="center"/>
          </w:tcPr>
          <w:p w14:paraId="616B3C99">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企业业绩</w:t>
            </w:r>
          </w:p>
        </w:tc>
        <w:tc>
          <w:tcPr>
            <w:tcW w:w="506" w:type="pct"/>
            <w:vAlign w:val="center"/>
          </w:tcPr>
          <w:p w14:paraId="171E7930">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lang w:val="en-US" w:eastAsia="zh-CN"/>
              </w:rPr>
              <w:t>25</w:t>
            </w:r>
            <w:r>
              <w:rPr>
                <w:rFonts w:hint="eastAsia" w:cs="宋体" w:asciiTheme="minorEastAsia" w:hAnsiTheme="minorEastAsia" w:eastAsiaTheme="minorEastAsia"/>
                <w:sz w:val="24"/>
              </w:rPr>
              <w:t>.0分</w:t>
            </w:r>
          </w:p>
        </w:tc>
        <w:tc>
          <w:tcPr>
            <w:tcW w:w="3269" w:type="pct"/>
            <w:vAlign w:val="center"/>
          </w:tcPr>
          <w:p w14:paraId="3AA3D2C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1.合同标的为党政机关、事业单位</w:t>
            </w:r>
            <w:r>
              <w:rPr>
                <w:rFonts w:hint="eastAsia" w:cs="仿宋_GB2312" w:asciiTheme="minorEastAsia" w:hAnsiTheme="minorEastAsia" w:eastAsiaTheme="minorEastAsia"/>
                <w:sz w:val="24"/>
                <w:szCs w:val="24"/>
                <w:lang w:eastAsia="zh-CN"/>
              </w:rPr>
              <w:t>、国企</w:t>
            </w:r>
            <w:r>
              <w:rPr>
                <w:rFonts w:hint="eastAsia" w:cs="仿宋_GB2312" w:asciiTheme="minorEastAsia" w:hAnsiTheme="minorEastAsia" w:eastAsiaTheme="minorEastAsia"/>
                <w:sz w:val="24"/>
                <w:szCs w:val="24"/>
              </w:rPr>
              <w:t>公务车辆统一保险定点服务项目；车险零散个人保单、工程一切险、意外险等非公车统保合同不计分。</w:t>
            </w:r>
          </w:p>
          <w:p w14:paraId="2462D32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2.合同认定标准：必须提供完整合同关键页（封面、服务内容页、甲乙双方盖章页、签订日期页），仅提供合同发票、中标通知书不予计分；</w:t>
            </w:r>
          </w:p>
          <w:p w14:paraId="1CE47CA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3.同一项目合同不得重复计分；投标人关联公司签订的同类合同，不累计计入本投标人业绩。</w:t>
            </w:r>
          </w:p>
          <w:p w14:paraId="66C662AC">
            <w:pPr>
              <w:keepNext w:val="0"/>
              <w:keepLines w:val="0"/>
              <w:pageBreakBefore w:val="0"/>
              <w:widowControl w:val="0"/>
              <w:kinsoku/>
              <w:wordWrap/>
              <w:overflowPunct/>
              <w:topLinePunct w:val="0"/>
              <w:autoSpaceDE/>
              <w:autoSpaceDN/>
              <w:bidi w:val="0"/>
              <w:adjustRightInd/>
              <w:snapToGrid/>
              <w:spacing w:line="300" w:lineRule="auto"/>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en-US" w:eastAsia="zh-CN"/>
              </w:rPr>
              <w:t>4.</w:t>
            </w:r>
            <w:r>
              <w:rPr>
                <w:rFonts w:cs="仿宋_GB2312" w:asciiTheme="minorEastAsia" w:hAnsiTheme="minorEastAsia" w:eastAsiaTheme="minorEastAsia"/>
                <w:sz w:val="24"/>
                <w:szCs w:val="24"/>
              </w:rPr>
              <w:t>投标人自20</w:t>
            </w:r>
            <w:r>
              <w:rPr>
                <w:rFonts w:hint="eastAsia"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lang w:val="en-US" w:eastAsia="zh-CN"/>
              </w:rPr>
              <w:t>4</w:t>
            </w:r>
            <w:r>
              <w:rPr>
                <w:rFonts w:cs="仿宋_GB2312" w:asciiTheme="minorEastAsia" w:hAnsiTheme="minorEastAsia" w:eastAsiaTheme="minorEastAsia"/>
                <w:sz w:val="24"/>
                <w:szCs w:val="24"/>
              </w:rPr>
              <w:t>年1月1日起至今（以签订合同日期为准），承担过</w:t>
            </w:r>
            <w:r>
              <w:rPr>
                <w:rFonts w:hint="eastAsia" w:cs="仿宋_GB2312" w:asciiTheme="minorEastAsia" w:hAnsiTheme="minorEastAsia" w:eastAsiaTheme="minorEastAsia"/>
                <w:sz w:val="24"/>
                <w:szCs w:val="24"/>
                <w:lang w:eastAsia="zh-CN"/>
              </w:rPr>
              <w:t>党政</w:t>
            </w:r>
            <w:r>
              <w:rPr>
                <w:rFonts w:cs="仿宋_GB2312" w:asciiTheme="minorEastAsia" w:hAnsiTheme="minorEastAsia" w:eastAsiaTheme="minorEastAsia"/>
                <w:sz w:val="24"/>
                <w:szCs w:val="24"/>
              </w:rPr>
              <w:t>机关</w:t>
            </w:r>
            <w:r>
              <w:rPr>
                <w:rFonts w:hint="eastAsia" w:cs="仿宋_GB2312" w:asciiTheme="minorEastAsia" w:hAnsiTheme="minorEastAsia" w:eastAsiaTheme="minorEastAsia"/>
                <w:sz w:val="24"/>
                <w:szCs w:val="24"/>
                <w:lang w:eastAsia="zh-CN"/>
              </w:rPr>
              <w:t>、</w:t>
            </w:r>
            <w:r>
              <w:rPr>
                <w:rFonts w:cs="仿宋_GB2312" w:asciiTheme="minorEastAsia" w:hAnsiTheme="minorEastAsia" w:eastAsiaTheme="minorEastAsia"/>
                <w:sz w:val="24"/>
                <w:szCs w:val="24"/>
              </w:rPr>
              <w:t>事业单位</w:t>
            </w:r>
            <w:r>
              <w:rPr>
                <w:rFonts w:hint="eastAsia" w:cs="仿宋_GB2312" w:asciiTheme="minorEastAsia" w:hAnsiTheme="minorEastAsia" w:eastAsiaTheme="minorEastAsia"/>
                <w:sz w:val="24"/>
                <w:szCs w:val="24"/>
                <w:lang w:eastAsia="zh-CN"/>
              </w:rPr>
              <w:t>、</w:t>
            </w:r>
            <w:r>
              <w:rPr>
                <w:rFonts w:cs="仿宋_GB2312" w:asciiTheme="minorEastAsia" w:hAnsiTheme="minorEastAsia" w:eastAsiaTheme="minorEastAsia"/>
                <w:sz w:val="24"/>
                <w:szCs w:val="24"/>
              </w:rPr>
              <w:t>国企同类项目的业绩，每提供一个得</w:t>
            </w:r>
            <w:r>
              <w:rPr>
                <w:rFonts w:hint="eastAsia" w:cs="仿宋_GB2312" w:asciiTheme="minorEastAsia" w:hAnsiTheme="minorEastAsia" w:eastAsiaTheme="minorEastAsia"/>
                <w:sz w:val="24"/>
                <w:szCs w:val="24"/>
                <w:lang w:val="en-US" w:eastAsia="zh-CN"/>
              </w:rPr>
              <w:t>5</w:t>
            </w:r>
            <w:r>
              <w:rPr>
                <w:rFonts w:cs="仿宋_GB2312" w:asciiTheme="minorEastAsia" w:hAnsiTheme="minorEastAsia" w:eastAsiaTheme="minorEastAsia"/>
                <w:sz w:val="24"/>
                <w:szCs w:val="24"/>
              </w:rPr>
              <w:t>分，最多得</w:t>
            </w:r>
            <w:r>
              <w:rPr>
                <w:rFonts w:hint="eastAsia" w:cs="仿宋_GB2312" w:asciiTheme="minorEastAsia" w:hAnsiTheme="minorEastAsia" w:eastAsiaTheme="minorEastAsia"/>
                <w:sz w:val="24"/>
                <w:szCs w:val="24"/>
                <w:lang w:val="en-US" w:eastAsia="zh-CN"/>
              </w:rPr>
              <w:t>25</w:t>
            </w:r>
            <w:r>
              <w:rPr>
                <w:rFonts w:cs="仿宋_GB2312" w:asciiTheme="minorEastAsia" w:hAnsiTheme="minorEastAsia" w:eastAsiaTheme="minorEastAsia"/>
                <w:sz w:val="24"/>
                <w:szCs w:val="24"/>
              </w:rPr>
              <w:t>分。（提供</w:t>
            </w:r>
            <w:r>
              <w:rPr>
                <w:rFonts w:hint="eastAsia" w:cs="仿宋_GB2312" w:asciiTheme="minorEastAsia" w:hAnsiTheme="minorEastAsia" w:eastAsiaTheme="minorEastAsia"/>
                <w:sz w:val="24"/>
                <w:szCs w:val="24"/>
                <w:lang w:val="en-US" w:eastAsia="zh-CN"/>
              </w:rPr>
              <w:t>项目证明</w:t>
            </w:r>
            <w:r>
              <w:rPr>
                <w:rFonts w:cs="仿宋_GB2312" w:asciiTheme="minorEastAsia" w:hAnsiTheme="minorEastAsia" w:eastAsiaTheme="minorEastAsia"/>
                <w:sz w:val="24"/>
                <w:szCs w:val="24"/>
              </w:rPr>
              <w:t>并加盖单位公章）</w:t>
            </w:r>
          </w:p>
          <w:p w14:paraId="01209211">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优：5个（含）</w:t>
            </w:r>
            <w:r>
              <w:rPr>
                <w:rFonts w:hint="eastAsia" w:cs="仿宋_GB2312" w:asciiTheme="minorEastAsia" w:hAnsiTheme="minorEastAsia" w:eastAsiaTheme="minorEastAsia"/>
                <w:sz w:val="22"/>
                <w:szCs w:val="22"/>
              </w:rPr>
              <w:t>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7E1FACC3">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良：4个</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26D9A023">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一般：3个</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3BEC2E0D">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2"/>
                <w:szCs w:val="22"/>
                <w:lang w:val="en-US" w:eastAsia="zh-CN"/>
              </w:rPr>
              <w:t>以此类推，</w:t>
            </w:r>
            <w:r>
              <w:rPr>
                <w:rFonts w:hint="eastAsia"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lang w:val="en-US" w:eastAsia="zh-CN"/>
              </w:rPr>
              <w:t>未提交0分</w:t>
            </w:r>
          </w:p>
        </w:tc>
      </w:tr>
      <w:tr w14:paraId="0DBE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trPr>
        <w:tc>
          <w:tcPr>
            <w:tcW w:w="1224" w:type="pct"/>
            <w:gridSpan w:val="2"/>
            <w:vAlign w:val="center"/>
          </w:tcPr>
          <w:p w14:paraId="7CA80608">
            <w:pPr>
              <w:spacing w:line="276"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lang w:val="en-US" w:eastAsia="zh-CN"/>
              </w:rPr>
              <w:t>拟投入主要</w:t>
            </w:r>
            <w:r>
              <w:rPr>
                <w:rFonts w:hint="eastAsia" w:cs="仿宋" w:asciiTheme="minorEastAsia" w:hAnsiTheme="minorEastAsia" w:eastAsiaTheme="minorEastAsia"/>
                <w:sz w:val="24"/>
              </w:rPr>
              <w:t>人员</w:t>
            </w:r>
          </w:p>
        </w:tc>
        <w:tc>
          <w:tcPr>
            <w:tcW w:w="506" w:type="pct"/>
            <w:vAlign w:val="center"/>
          </w:tcPr>
          <w:p w14:paraId="6C49EF70">
            <w:pPr>
              <w:spacing w:line="276" w:lineRule="auto"/>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20</w:t>
            </w:r>
            <w:r>
              <w:rPr>
                <w:rFonts w:hint="eastAsia" w:cs="宋体" w:asciiTheme="minorEastAsia" w:hAnsiTheme="minorEastAsia" w:eastAsiaTheme="minorEastAsia"/>
                <w:sz w:val="24"/>
              </w:rPr>
              <w:t>.0分</w:t>
            </w:r>
          </w:p>
        </w:tc>
        <w:tc>
          <w:tcPr>
            <w:tcW w:w="3269" w:type="pct"/>
            <w:vAlign w:val="center"/>
          </w:tcPr>
          <w:p w14:paraId="08A755F5">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rPr>
              <w:t>考察投标人拟投入本项目的人员情况。人员数量达到</w:t>
            </w:r>
            <w:r>
              <w:rPr>
                <w:rFonts w:hint="eastAsia" w:cs="仿宋_GB2312" w:asciiTheme="minorEastAsia" w:hAnsiTheme="minorEastAsia" w:eastAsiaTheme="minorEastAsia"/>
                <w:sz w:val="24"/>
                <w:szCs w:val="24"/>
                <w:lang w:val="en-US" w:eastAsia="zh-CN"/>
              </w:rPr>
              <w:t>如下，对应相应得分。</w:t>
            </w:r>
          </w:p>
          <w:p w14:paraId="1CCD0CAD">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优：6</w:t>
            </w:r>
            <w:r>
              <w:rPr>
                <w:rFonts w:hint="eastAsia" w:cs="仿宋_GB2312" w:asciiTheme="minorEastAsia" w:hAnsiTheme="minorEastAsia" w:eastAsiaTheme="minorEastAsia"/>
                <w:sz w:val="22"/>
                <w:szCs w:val="22"/>
              </w:rPr>
              <w:t>人及以上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6A0DA5F5">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良4</w:t>
            </w:r>
            <w:r>
              <w:rPr>
                <w:rFonts w:hint="eastAsia" w:cs="仿宋_GB2312" w:asciiTheme="minorEastAsia" w:hAnsiTheme="minorEastAsia" w:eastAsiaTheme="minorEastAsia"/>
                <w:sz w:val="22"/>
                <w:szCs w:val="22"/>
              </w:rPr>
              <w:t>人</w:t>
            </w:r>
            <w:r>
              <w:rPr>
                <w:rFonts w:hint="eastAsia" w:cs="仿宋_GB2312" w:asciiTheme="minorEastAsia" w:hAnsiTheme="minorEastAsia" w:eastAsiaTheme="minorEastAsia"/>
                <w:sz w:val="22"/>
                <w:szCs w:val="22"/>
                <w:lang w:val="en-US" w:eastAsia="zh-CN"/>
              </w:rPr>
              <w:t>-5人</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0210E3D1">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一般：3人</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14:paraId="7BF84CB4">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lang w:val="en-US" w:eastAsia="zh-CN"/>
              </w:rPr>
              <w:t>合格：2</w:t>
            </w:r>
            <w:r>
              <w:rPr>
                <w:rFonts w:hint="eastAsia" w:cs="仿宋_GB2312" w:asciiTheme="minorEastAsia" w:hAnsiTheme="minorEastAsia" w:eastAsiaTheme="minorEastAsia"/>
                <w:sz w:val="22"/>
                <w:szCs w:val="22"/>
              </w:rPr>
              <w:t>人</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5</w:t>
            </w:r>
            <w:r>
              <w:rPr>
                <w:rFonts w:hint="eastAsia" w:cs="仿宋_GB2312" w:asciiTheme="minorEastAsia" w:hAnsiTheme="minorEastAsia" w:eastAsiaTheme="minorEastAsia"/>
                <w:sz w:val="22"/>
                <w:szCs w:val="22"/>
              </w:rPr>
              <w:t xml:space="preserve">分。 </w:t>
            </w:r>
          </w:p>
          <w:p w14:paraId="4B97CB0A">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cs="仿宋_GB2312" w:asciiTheme="minorEastAsia" w:hAnsiTheme="minorEastAsia" w:eastAsiaTheme="minorEastAsia"/>
                <w:sz w:val="22"/>
                <w:szCs w:val="22"/>
                <w:lang w:val="en-US" w:eastAsia="zh-CN"/>
              </w:rPr>
            </w:pPr>
            <w:r>
              <w:rPr>
                <w:rFonts w:hint="eastAsia" w:cs="仿宋_GB2312" w:asciiTheme="minorEastAsia" w:hAnsiTheme="minorEastAsia" w:eastAsiaTheme="minorEastAsia"/>
                <w:sz w:val="22"/>
                <w:szCs w:val="22"/>
                <w:lang w:val="en-US" w:eastAsia="zh-CN"/>
              </w:rPr>
              <w:t>未提交0分</w:t>
            </w:r>
          </w:p>
          <w:p w14:paraId="67981F1E">
            <w:pPr>
              <w:keepNext w:val="0"/>
              <w:keepLines w:val="0"/>
              <w:pageBreakBefore w:val="0"/>
              <w:widowControl w:val="0"/>
              <w:kinsoku/>
              <w:wordWrap/>
              <w:overflowPunct/>
              <w:topLinePunct w:val="0"/>
              <w:autoSpaceDE/>
              <w:autoSpaceDN/>
              <w:bidi w:val="0"/>
              <w:adjustRightInd/>
              <w:snapToGrid/>
              <w:spacing w:line="300" w:lineRule="auto"/>
              <w:textAlignment w:val="auto"/>
              <w:rPr>
                <w:rFonts w:asciiTheme="minorEastAsia" w:hAnsiTheme="minorEastAsia" w:eastAsiaTheme="minorEastAsia"/>
                <w:sz w:val="24"/>
                <w:szCs w:val="24"/>
              </w:rPr>
            </w:pPr>
            <w:r>
              <w:rPr>
                <w:rFonts w:hint="eastAsia" w:cs="仿宋_GB2312" w:asciiTheme="minorEastAsia" w:hAnsiTheme="minorEastAsia" w:eastAsiaTheme="minorEastAsia"/>
                <w:sz w:val="22"/>
                <w:szCs w:val="22"/>
              </w:rPr>
              <w:t>注：投标人应编制专职人员配备一览表，并提供</w:t>
            </w:r>
            <w:r>
              <w:rPr>
                <w:rFonts w:hint="eastAsia" w:cs="仿宋_GB2312" w:asciiTheme="minorEastAsia" w:hAnsiTheme="minorEastAsia" w:eastAsiaTheme="minorEastAsia"/>
                <w:sz w:val="22"/>
                <w:szCs w:val="22"/>
                <w:lang w:val="en-US" w:eastAsia="zh-CN"/>
              </w:rPr>
              <w:t>与</w:t>
            </w:r>
            <w:r>
              <w:rPr>
                <w:rFonts w:hint="eastAsia" w:cs="仿宋_GB2312" w:asciiTheme="minorEastAsia" w:hAnsiTheme="minorEastAsia" w:eastAsiaTheme="minorEastAsia"/>
                <w:sz w:val="22"/>
                <w:szCs w:val="22"/>
              </w:rPr>
              <w:t>投标人在项目所在地服务机构签订的劳动合同复印件及投标截止时间近三个月在投标人单位缴纳社保证明</w:t>
            </w:r>
            <w:r>
              <w:rPr>
                <w:rFonts w:hint="eastAsia" w:cs="仿宋_GB2312" w:asciiTheme="minorEastAsia" w:hAnsiTheme="minorEastAsia" w:eastAsiaTheme="minorEastAsia"/>
                <w:sz w:val="22"/>
                <w:szCs w:val="22"/>
                <w:lang w:eastAsia="zh-CN"/>
              </w:rPr>
              <w:t>、保险从业人员资格证</w:t>
            </w:r>
            <w:r>
              <w:rPr>
                <w:rFonts w:hint="eastAsia" w:cs="仿宋_GB2312" w:asciiTheme="minorEastAsia" w:hAnsiTheme="minorEastAsia" w:eastAsiaTheme="minorEastAsia"/>
                <w:sz w:val="22"/>
                <w:szCs w:val="22"/>
              </w:rPr>
              <w:t>复印件并加盖公章。</w:t>
            </w:r>
          </w:p>
        </w:tc>
      </w:tr>
      <w:tr w14:paraId="03D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224" w:type="pct"/>
            <w:gridSpan w:val="2"/>
            <w:vAlign w:val="center"/>
          </w:tcPr>
          <w:p w14:paraId="6D6B6F6C">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lang w:val="zh-CN"/>
              </w:rPr>
              <w:t>报价</w:t>
            </w:r>
          </w:p>
        </w:tc>
        <w:tc>
          <w:tcPr>
            <w:tcW w:w="506" w:type="pct"/>
            <w:vAlign w:val="center"/>
          </w:tcPr>
          <w:p w14:paraId="2BFA81A6">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rPr>
              <w:t>10.0分</w:t>
            </w:r>
          </w:p>
        </w:tc>
        <w:tc>
          <w:tcPr>
            <w:tcW w:w="3269" w:type="pct"/>
            <w:vAlign w:val="center"/>
          </w:tcPr>
          <w:p w14:paraId="6DB0575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 w:asciiTheme="minorEastAsia" w:hAnsiTheme="minorEastAsia" w:eastAsiaTheme="minorEastAsia"/>
                <w:sz w:val="24"/>
                <w:szCs w:val="24"/>
                <w:lang w:val="en-US" w:eastAsia="zh-CN"/>
              </w:rPr>
            </w:pPr>
            <w:bookmarkStart w:id="2" w:name="OLE_LINK4"/>
            <w:r>
              <w:rPr>
                <w:rFonts w:hint="eastAsia" w:cs="仿宋" w:asciiTheme="minorEastAsia" w:hAnsiTheme="minorEastAsia" w:eastAsiaTheme="minorEastAsia"/>
                <w:sz w:val="24"/>
                <w:szCs w:val="24"/>
                <w:lang w:val="en-US" w:eastAsia="zh-CN"/>
              </w:rPr>
              <w:t>设置报价区间，按该公式计算得分：</w:t>
            </w:r>
          </w:p>
          <w:p w14:paraId="4E9DB35D">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szCs w:val="24"/>
                <w:lang w:val="zh-CN"/>
              </w:rPr>
              <w:t>得分＝</w:t>
            </w:r>
            <w:r>
              <w:rPr>
                <w:rFonts w:hint="eastAsia" w:cs="仿宋" w:asciiTheme="minorEastAsia" w:hAnsiTheme="minorEastAsia" w:eastAsiaTheme="minorEastAsia"/>
                <w:sz w:val="24"/>
                <w:szCs w:val="24"/>
                <w:lang w:val="en-US" w:eastAsia="zh-CN"/>
              </w:rPr>
              <w:t>10*</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4"/>
                <w:szCs w:val="24"/>
                <w:lang w:val="en-US" w:eastAsia="zh-CN"/>
              </w:rPr>
              <w:t>最高优惠系数-报价</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4"/>
                <w:szCs w:val="24"/>
                <w:lang w:val="en-US" w:eastAsia="zh-CN"/>
              </w:rPr>
              <w:t>/(最高优惠系数-最低优惠系数)</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2"/>
                <w:szCs w:val="22"/>
                <w:lang w:val="zh-CN"/>
              </w:rPr>
              <w:t>注：</w:t>
            </w:r>
            <w:r>
              <w:rPr>
                <w:rFonts w:hint="eastAsia" w:cs="仿宋" w:asciiTheme="minorEastAsia" w:hAnsiTheme="minorEastAsia" w:eastAsiaTheme="minorEastAsia"/>
                <w:sz w:val="22"/>
                <w:szCs w:val="22"/>
                <w:lang w:val="en-US" w:eastAsia="zh-CN"/>
              </w:rPr>
              <w:t>1、</w:t>
            </w:r>
            <w:r>
              <w:rPr>
                <w:rFonts w:hint="eastAsia" w:cs="仿宋" w:asciiTheme="minorEastAsia" w:hAnsiTheme="minorEastAsia" w:eastAsiaTheme="minorEastAsia"/>
                <w:sz w:val="24"/>
                <w:szCs w:val="24"/>
                <w:lang w:val="en-US" w:eastAsia="zh-CN"/>
              </w:rPr>
              <w:t>最高优惠系数是指符合采购要求的投标单位报价最高价。</w:t>
            </w:r>
            <w:r>
              <w:rPr>
                <w:rFonts w:hint="eastAsia" w:cs="仿宋" w:asciiTheme="minorEastAsia" w:hAnsiTheme="minorEastAsia" w:eastAsiaTheme="minorEastAsia"/>
                <w:sz w:val="22"/>
                <w:szCs w:val="22"/>
                <w:lang w:val="zh-CN"/>
              </w:rPr>
              <w:t>最低报价不是中标的唯一依据；</w:t>
            </w:r>
            <w:r>
              <w:rPr>
                <w:rFonts w:hint="eastAsia" w:cs="仿宋" w:asciiTheme="minorEastAsia" w:hAnsiTheme="minorEastAsia" w:eastAsiaTheme="minorEastAsia"/>
                <w:sz w:val="22"/>
                <w:szCs w:val="22"/>
                <w:lang w:val="en-US" w:eastAsia="zh-CN"/>
              </w:rPr>
              <w:t>2、报价统一格式填写优惠系数(指自主定价系数）；3.计算结果保留小数点后2位数</w:t>
            </w:r>
            <w:bookmarkEnd w:id="2"/>
            <w:r>
              <w:rPr>
                <w:rFonts w:hint="eastAsia" w:cs="仿宋" w:asciiTheme="minorEastAsia" w:hAnsiTheme="minorEastAsia" w:eastAsiaTheme="minorEastAsia"/>
                <w:sz w:val="22"/>
                <w:szCs w:val="22"/>
                <w:lang w:val="en-US" w:eastAsia="zh-CN"/>
              </w:rPr>
              <w:t>；4.统一用油车优惠系数计分。电车占车辆比例不足6%，不参与计分。</w:t>
            </w:r>
          </w:p>
        </w:tc>
      </w:tr>
      <w:tr w14:paraId="737A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224" w:type="pct"/>
            <w:gridSpan w:val="2"/>
            <w:vAlign w:val="center"/>
          </w:tcPr>
          <w:p w14:paraId="0D2C4780">
            <w:pPr>
              <w:spacing w:line="276" w:lineRule="auto"/>
              <w:jc w:val="center"/>
              <w:rPr>
                <w:rFonts w:hint="default" w:cs="宋体"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行业履约信誉</w:t>
            </w:r>
          </w:p>
        </w:tc>
        <w:tc>
          <w:tcPr>
            <w:tcW w:w="506" w:type="pct"/>
            <w:vAlign w:val="center"/>
          </w:tcPr>
          <w:p w14:paraId="49FD0E50">
            <w:pPr>
              <w:spacing w:line="276" w:lineRule="auto"/>
              <w:jc w:val="center"/>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15.0分</w:t>
            </w:r>
          </w:p>
        </w:tc>
        <w:tc>
          <w:tcPr>
            <w:tcW w:w="3269" w:type="pct"/>
            <w:vAlign w:val="center"/>
          </w:tcPr>
          <w:p w14:paraId="5051B46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 w:asciiTheme="minorEastAsia" w:hAnsiTheme="minorEastAsia" w:eastAsiaTheme="minorEastAsia"/>
                <w:sz w:val="24"/>
                <w:szCs w:val="24"/>
                <w:highlight w:val="none"/>
                <w:lang w:val="zh-CN"/>
              </w:rPr>
            </w:pPr>
            <w:bookmarkStart w:id="3" w:name="OLE_LINK1"/>
            <w:r>
              <w:rPr>
                <w:rFonts w:hint="eastAsia" w:cs="仿宋" w:asciiTheme="minorEastAsia" w:hAnsiTheme="minorEastAsia" w:eastAsiaTheme="minorEastAsia"/>
                <w:sz w:val="24"/>
                <w:szCs w:val="24"/>
                <w:highlight w:val="none"/>
                <w:lang w:val="zh-CN"/>
              </w:rPr>
              <w:t>提供在中国保险行业协会202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lang w:val="zh-CN"/>
              </w:rPr>
              <w:t>年第一季度偿付能力报告或</w:t>
            </w:r>
            <w:r>
              <w:rPr>
                <w:rFonts w:hint="eastAsia" w:cs="仿宋" w:asciiTheme="minorEastAsia" w:hAnsiTheme="minorEastAsia" w:eastAsiaTheme="minorEastAsia"/>
                <w:sz w:val="24"/>
                <w:szCs w:val="24"/>
                <w:highlight w:val="none"/>
                <w:lang w:val="en-US" w:eastAsia="zh-CN"/>
              </w:rPr>
              <w:t>2025年第四季度</w:t>
            </w:r>
            <w:r>
              <w:rPr>
                <w:rFonts w:hint="eastAsia" w:cs="仿宋" w:asciiTheme="minorEastAsia" w:hAnsiTheme="minorEastAsia" w:eastAsiaTheme="minorEastAsia"/>
                <w:sz w:val="24"/>
                <w:szCs w:val="24"/>
                <w:highlight w:val="none"/>
                <w:lang w:val="zh-CN"/>
              </w:rPr>
              <w:t>偿付能力报告。按</w:t>
            </w:r>
            <w:r>
              <w:rPr>
                <w:rFonts w:hint="eastAsia" w:cs="仿宋" w:asciiTheme="minorEastAsia" w:hAnsiTheme="minorEastAsia" w:eastAsiaTheme="minorEastAsia"/>
                <w:sz w:val="24"/>
                <w:szCs w:val="24"/>
                <w:highlight w:val="none"/>
                <w:lang w:val="en-US" w:eastAsia="zh-CN"/>
              </w:rPr>
              <w:t>核心</w:t>
            </w:r>
            <w:r>
              <w:rPr>
                <w:rFonts w:hint="eastAsia" w:cs="仿宋" w:asciiTheme="minorEastAsia" w:hAnsiTheme="minorEastAsia" w:eastAsiaTheme="minorEastAsia"/>
                <w:sz w:val="24"/>
                <w:szCs w:val="24"/>
                <w:highlight w:val="none"/>
                <w:lang w:val="zh-CN"/>
              </w:rPr>
              <w:t xml:space="preserve">偿付能力充足率分四个档次进行评分： </w:t>
            </w:r>
          </w:p>
          <w:p w14:paraId="24C2D4E4">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优：充足率达200%(含)及以上得15分</w:t>
            </w:r>
            <w:r>
              <w:rPr>
                <w:rFonts w:hint="eastAsia" w:cs="仿宋" w:asciiTheme="minorEastAsia" w:hAnsiTheme="minorEastAsia" w:eastAsiaTheme="minorEastAsia"/>
                <w:sz w:val="22"/>
                <w:szCs w:val="22"/>
                <w:highlight w:val="none"/>
                <w:lang w:val="zh-CN"/>
              </w:rPr>
              <w:t xml:space="preserve">； </w:t>
            </w:r>
          </w:p>
          <w:p w14:paraId="0AD8F415">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良：</w:t>
            </w:r>
            <w:r>
              <w:rPr>
                <w:rFonts w:hint="eastAsia" w:cs="仿宋" w:asciiTheme="minorEastAsia" w:hAnsiTheme="minorEastAsia" w:eastAsiaTheme="minorEastAsia"/>
                <w:sz w:val="22"/>
                <w:szCs w:val="22"/>
                <w:highlight w:val="none"/>
                <w:lang w:val="zh-CN"/>
              </w:rPr>
              <w:t>充足率180%</w:t>
            </w:r>
            <w:r>
              <w:rPr>
                <w:rFonts w:hint="eastAsia" w:cs="仿宋" w:asciiTheme="minorEastAsia" w:hAnsiTheme="minorEastAsia" w:eastAsiaTheme="minorEastAsia"/>
                <w:sz w:val="22"/>
                <w:szCs w:val="22"/>
                <w:highlight w:val="none"/>
                <w:lang w:val="en-US" w:eastAsia="zh-CN"/>
              </w:rPr>
              <w:t>(含)-200%</w:t>
            </w:r>
            <w:r>
              <w:rPr>
                <w:rFonts w:hint="eastAsia" w:cs="仿宋" w:asciiTheme="minorEastAsia" w:hAnsiTheme="minorEastAsia" w:eastAsiaTheme="minorEastAsia"/>
                <w:sz w:val="22"/>
                <w:szCs w:val="22"/>
                <w:highlight w:val="none"/>
                <w:lang w:val="zh-CN"/>
              </w:rPr>
              <w:t xml:space="preserve">可得10分； </w:t>
            </w:r>
          </w:p>
          <w:p w14:paraId="3C461F3F">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一般：</w:t>
            </w:r>
            <w:r>
              <w:rPr>
                <w:rFonts w:hint="eastAsia" w:cs="仿宋" w:asciiTheme="minorEastAsia" w:hAnsiTheme="minorEastAsia" w:eastAsiaTheme="minorEastAsia"/>
                <w:sz w:val="22"/>
                <w:szCs w:val="22"/>
                <w:highlight w:val="none"/>
                <w:lang w:val="zh-CN"/>
              </w:rPr>
              <w:t>充足率150</w:t>
            </w:r>
            <w:r>
              <w:rPr>
                <w:rFonts w:hint="eastAsia" w:cs="仿宋" w:asciiTheme="minorEastAsia" w:hAnsiTheme="minorEastAsia" w:eastAsiaTheme="minorEastAsia"/>
                <w:sz w:val="22"/>
                <w:szCs w:val="22"/>
                <w:highlight w:val="none"/>
                <w:lang w:val="en-US" w:eastAsia="zh-CN"/>
              </w:rPr>
              <w:t>%(含)-</w:t>
            </w:r>
            <w:r>
              <w:rPr>
                <w:rFonts w:hint="eastAsia" w:cs="仿宋" w:asciiTheme="minorEastAsia" w:hAnsiTheme="minorEastAsia" w:eastAsiaTheme="minorEastAsia"/>
                <w:sz w:val="22"/>
                <w:szCs w:val="22"/>
                <w:highlight w:val="none"/>
                <w:lang w:val="zh-CN"/>
              </w:rPr>
              <w:t>180%可得5分；</w:t>
            </w:r>
          </w:p>
          <w:p w14:paraId="5EFB1F03">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zh-CN"/>
              </w:rPr>
              <w:t>150%以下不得分</w:t>
            </w:r>
          </w:p>
          <w:p w14:paraId="6FC5D0B8">
            <w:pPr>
              <w:keepNext w:val="0"/>
              <w:keepLines w:val="0"/>
              <w:pageBreakBefore w:val="0"/>
              <w:widowControl w:val="0"/>
              <w:kinsoku/>
              <w:wordWrap/>
              <w:overflowPunct/>
              <w:topLinePunct w:val="0"/>
              <w:autoSpaceDE/>
              <w:autoSpaceDN/>
              <w:bidi w:val="0"/>
              <w:adjustRightInd/>
              <w:snapToGrid/>
              <w:spacing w:line="300" w:lineRule="auto"/>
              <w:textAlignment w:val="auto"/>
              <w:rPr>
                <w:rFonts w:cs="仿宋_GB2312" w:asciiTheme="minorEastAsia" w:hAnsiTheme="minorEastAsia" w:eastAsiaTheme="minorEastAsia"/>
                <w:sz w:val="24"/>
                <w:szCs w:val="24"/>
                <w:highlight w:val="none"/>
              </w:rPr>
            </w:pPr>
            <w:r>
              <w:rPr>
                <w:rFonts w:hint="eastAsia" w:cs="仿宋" w:asciiTheme="minorEastAsia" w:hAnsiTheme="minorEastAsia" w:eastAsiaTheme="minorEastAsia"/>
                <w:sz w:val="22"/>
                <w:szCs w:val="22"/>
                <w:highlight w:val="none"/>
                <w:shd w:val="clear"/>
                <w:lang w:val="zh-CN"/>
              </w:rPr>
              <w:t>(</w:t>
            </w:r>
            <w:r>
              <w:rPr>
                <w:rFonts w:hint="eastAsia" w:cs="仿宋" w:asciiTheme="minorEastAsia" w:hAnsiTheme="minorEastAsia" w:eastAsiaTheme="minorEastAsia"/>
                <w:sz w:val="22"/>
                <w:szCs w:val="22"/>
                <w:highlight w:val="none"/>
                <w:shd w:val="clear"/>
                <w:lang w:val="en-US" w:eastAsia="zh-CN"/>
              </w:rPr>
              <w:t>注：</w:t>
            </w:r>
            <w:r>
              <w:rPr>
                <w:rFonts w:hint="eastAsia" w:cs="仿宋" w:asciiTheme="minorEastAsia" w:hAnsiTheme="minorEastAsia" w:eastAsiaTheme="minorEastAsia"/>
                <w:sz w:val="22"/>
                <w:szCs w:val="22"/>
                <w:highlight w:val="none"/>
                <w:shd w:val="clear"/>
                <w:lang w:val="zh-CN"/>
              </w:rPr>
              <w:t>银保监会官网公示偿付能力截图、加盖公章的复印件均有效，认可合法电子公章。)</w:t>
            </w:r>
            <w:bookmarkEnd w:id="3"/>
          </w:p>
        </w:tc>
      </w:tr>
      <w:tr w14:paraId="6EED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224" w:type="pct"/>
            <w:gridSpan w:val="2"/>
            <w:vAlign w:val="center"/>
          </w:tcPr>
          <w:p w14:paraId="0D27FC57">
            <w:pPr>
              <w:spacing w:line="276"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合计</w:t>
            </w:r>
          </w:p>
        </w:tc>
        <w:tc>
          <w:tcPr>
            <w:tcW w:w="506" w:type="pct"/>
            <w:vAlign w:val="center"/>
          </w:tcPr>
          <w:p w14:paraId="5854F63D">
            <w:pPr>
              <w:spacing w:line="276"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100分</w:t>
            </w:r>
          </w:p>
        </w:tc>
        <w:tc>
          <w:tcPr>
            <w:tcW w:w="3269" w:type="pct"/>
            <w:vAlign w:val="center"/>
          </w:tcPr>
          <w:p w14:paraId="16D27A61">
            <w:pPr>
              <w:spacing w:line="360" w:lineRule="auto"/>
              <w:rPr>
                <w:rFonts w:hint="eastAsia" w:cs="仿宋" w:asciiTheme="minorEastAsia" w:hAnsiTheme="minorEastAsia" w:eastAsiaTheme="minorEastAsia"/>
                <w:sz w:val="24"/>
                <w:lang w:val="zh-CN"/>
              </w:rPr>
            </w:pPr>
          </w:p>
        </w:tc>
      </w:tr>
    </w:tbl>
    <w:p w14:paraId="21D7E8D4">
      <w:pPr>
        <w:spacing w:line="500" w:lineRule="exact"/>
        <w:rPr>
          <w:rFonts w:asciiTheme="minorEastAsia" w:hAnsiTheme="minorEastAsia" w:eastAsiaTheme="minorEastAsia"/>
          <w:sz w:val="36"/>
          <w:szCs w:val="36"/>
        </w:rPr>
      </w:pPr>
    </w:p>
    <w:sectPr>
      <w:footerReference r:id="rId5" w:type="default"/>
      <w:pgSz w:w="11906" w:h="16838"/>
      <w:pgMar w:top="1440" w:right="146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44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F60A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F60A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D352E"/>
    <w:multiLevelType w:val="singleLevel"/>
    <w:tmpl w:val="AAFD35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YzBkZTEzNDg0MzZlZTllN2Y5YWJiNjU5ZTAyYTQifQ=="/>
    <w:docVar w:name="KGWebUrl" w:val="http://19.121.241.45/seeyon/officeservlet"/>
  </w:docVars>
  <w:rsids>
    <w:rsidRoot w:val="00470229"/>
    <w:rsid w:val="000115E4"/>
    <w:rsid w:val="000249C6"/>
    <w:rsid w:val="000265AB"/>
    <w:rsid w:val="000412E9"/>
    <w:rsid w:val="00072E99"/>
    <w:rsid w:val="00123BCF"/>
    <w:rsid w:val="0013246A"/>
    <w:rsid w:val="001677BA"/>
    <w:rsid w:val="001B7CC7"/>
    <w:rsid w:val="001C7F5A"/>
    <w:rsid w:val="002A2B40"/>
    <w:rsid w:val="002B1176"/>
    <w:rsid w:val="002C6EF6"/>
    <w:rsid w:val="002E7E52"/>
    <w:rsid w:val="0031642A"/>
    <w:rsid w:val="00335720"/>
    <w:rsid w:val="00345C61"/>
    <w:rsid w:val="0037525E"/>
    <w:rsid w:val="003C5840"/>
    <w:rsid w:val="003E0468"/>
    <w:rsid w:val="003E1BBD"/>
    <w:rsid w:val="003E266E"/>
    <w:rsid w:val="00401340"/>
    <w:rsid w:val="004015EE"/>
    <w:rsid w:val="004100D0"/>
    <w:rsid w:val="00425F6F"/>
    <w:rsid w:val="00453422"/>
    <w:rsid w:val="00461DC9"/>
    <w:rsid w:val="00470229"/>
    <w:rsid w:val="00475426"/>
    <w:rsid w:val="00493BEE"/>
    <w:rsid w:val="004A1AA5"/>
    <w:rsid w:val="004A36CF"/>
    <w:rsid w:val="004E00FB"/>
    <w:rsid w:val="005019A2"/>
    <w:rsid w:val="00570FB9"/>
    <w:rsid w:val="005A53EA"/>
    <w:rsid w:val="005D0535"/>
    <w:rsid w:val="0062369F"/>
    <w:rsid w:val="00630481"/>
    <w:rsid w:val="006309AE"/>
    <w:rsid w:val="00643C61"/>
    <w:rsid w:val="006D0722"/>
    <w:rsid w:val="006E3029"/>
    <w:rsid w:val="006E5525"/>
    <w:rsid w:val="006F2EAA"/>
    <w:rsid w:val="00731794"/>
    <w:rsid w:val="00742E5C"/>
    <w:rsid w:val="00753951"/>
    <w:rsid w:val="00754C49"/>
    <w:rsid w:val="007607E7"/>
    <w:rsid w:val="0078181E"/>
    <w:rsid w:val="0078489F"/>
    <w:rsid w:val="007C0520"/>
    <w:rsid w:val="007E5D30"/>
    <w:rsid w:val="00815980"/>
    <w:rsid w:val="0082077C"/>
    <w:rsid w:val="00826BCC"/>
    <w:rsid w:val="008309CA"/>
    <w:rsid w:val="00831AC8"/>
    <w:rsid w:val="0088634C"/>
    <w:rsid w:val="008B4E78"/>
    <w:rsid w:val="008B60BD"/>
    <w:rsid w:val="008D3582"/>
    <w:rsid w:val="00937072"/>
    <w:rsid w:val="009441DA"/>
    <w:rsid w:val="0095606D"/>
    <w:rsid w:val="00981230"/>
    <w:rsid w:val="00981447"/>
    <w:rsid w:val="009B7C07"/>
    <w:rsid w:val="009C450B"/>
    <w:rsid w:val="00A07CBE"/>
    <w:rsid w:val="00A6282C"/>
    <w:rsid w:val="00A6517B"/>
    <w:rsid w:val="00AB77C5"/>
    <w:rsid w:val="00AE1C33"/>
    <w:rsid w:val="00B12F0C"/>
    <w:rsid w:val="00B63F24"/>
    <w:rsid w:val="00B66194"/>
    <w:rsid w:val="00C01A5B"/>
    <w:rsid w:val="00C1242C"/>
    <w:rsid w:val="00C3771E"/>
    <w:rsid w:val="00C46390"/>
    <w:rsid w:val="00C92A8A"/>
    <w:rsid w:val="00C92C69"/>
    <w:rsid w:val="00CB098E"/>
    <w:rsid w:val="00CD261A"/>
    <w:rsid w:val="00CD51FD"/>
    <w:rsid w:val="00CD6286"/>
    <w:rsid w:val="00CE1485"/>
    <w:rsid w:val="00D25E62"/>
    <w:rsid w:val="00D3477B"/>
    <w:rsid w:val="00D44748"/>
    <w:rsid w:val="00D5316B"/>
    <w:rsid w:val="00D60C94"/>
    <w:rsid w:val="00D83786"/>
    <w:rsid w:val="00D90599"/>
    <w:rsid w:val="00DF0C4A"/>
    <w:rsid w:val="00E01CF8"/>
    <w:rsid w:val="00E04518"/>
    <w:rsid w:val="00E358A9"/>
    <w:rsid w:val="00E436BB"/>
    <w:rsid w:val="00E469B0"/>
    <w:rsid w:val="00E51CC3"/>
    <w:rsid w:val="00E66DCC"/>
    <w:rsid w:val="00E96C49"/>
    <w:rsid w:val="00EA23C5"/>
    <w:rsid w:val="00EC49C6"/>
    <w:rsid w:val="00F04DC4"/>
    <w:rsid w:val="00F14927"/>
    <w:rsid w:val="00F609B0"/>
    <w:rsid w:val="00F7624A"/>
    <w:rsid w:val="00FB5321"/>
    <w:rsid w:val="00FE11DE"/>
    <w:rsid w:val="00FE3B61"/>
    <w:rsid w:val="0822638A"/>
    <w:rsid w:val="09D05E45"/>
    <w:rsid w:val="0BEE32EB"/>
    <w:rsid w:val="122101F2"/>
    <w:rsid w:val="14A20770"/>
    <w:rsid w:val="1DE975E3"/>
    <w:rsid w:val="1F0725D9"/>
    <w:rsid w:val="21040870"/>
    <w:rsid w:val="212A2A86"/>
    <w:rsid w:val="22472B4C"/>
    <w:rsid w:val="25897AC4"/>
    <w:rsid w:val="27B21B85"/>
    <w:rsid w:val="2B406EDC"/>
    <w:rsid w:val="2B637148"/>
    <w:rsid w:val="2C38056F"/>
    <w:rsid w:val="2DE63F4E"/>
    <w:rsid w:val="3246569E"/>
    <w:rsid w:val="390E0E70"/>
    <w:rsid w:val="3AAE25E9"/>
    <w:rsid w:val="3E1F4352"/>
    <w:rsid w:val="433B4132"/>
    <w:rsid w:val="45AE166D"/>
    <w:rsid w:val="4C797A6C"/>
    <w:rsid w:val="51A655AB"/>
    <w:rsid w:val="53342F91"/>
    <w:rsid w:val="542B571F"/>
    <w:rsid w:val="54D75FCC"/>
    <w:rsid w:val="5AAD2CD6"/>
    <w:rsid w:val="5C3536FE"/>
    <w:rsid w:val="5CC45E6F"/>
    <w:rsid w:val="5DEF1EB3"/>
    <w:rsid w:val="5FDA449D"/>
    <w:rsid w:val="667C0ECD"/>
    <w:rsid w:val="672E75A8"/>
    <w:rsid w:val="685811C0"/>
    <w:rsid w:val="68C03FB7"/>
    <w:rsid w:val="6C9E6F79"/>
    <w:rsid w:val="6E8711FB"/>
    <w:rsid w:val="70611DAE"/>
    <w:rsid w:val="738C2DDE"/>
    <w:rsid w:val="74B52571"/>
    <w:rsid w:val="7BED28C4"/>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paragraph" w:styleId="2">
    <w:name w:val="heading 6"/>
    <w:basedOn w:val="1"/>
    <w:next w:val="1"/>
    <w:link w:val="12"/>
    <w:qFormat/>
    <w:uiPriority w:val="0"/>
    <w:pPr>
      <w:keepNext/>
      <w:keepLines/>
      <w:tabs>
        <w:tab w:val="left" w:pos="1152"/>
      </w:tabs>
      <w:adjustRightInd w:val="0"/>
      <w:spacing w:before="240" w:after="64" w:line="320" w:lineRule="auto"/>
      <w:ind w:left="1152" w:hanging="1152"/>
      <w:outlineLvl w:val="5"/>
    </w:pPr>
    <w:rPr>
      <w:rFonts w:ascii="Arial" w:hAnsi="Arial" w:eastAsia="黑体"/>
      <w:b/>
      <w:bCs/>
      <w:sz w:val="24"/>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pPr>
      <w:adjustRightInd w:val="0"/>
      <w:spacing w:line="360" w:lineRule="atLeast"/>
      <w:jc w:val="left"/>
      <w:textAlignment w:val="baseline"/>
    </w:pPr>
    <w:rPr>
      <w:rFonts w:ascii="宋体" w:hAnsi="Courier New" w:eastAsia="宋体"/>
      <w:kern w:val="0"/>
      <w:sz w:val="20"/>
      <w:szCs w:val="20"/>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纯文本 字符"/>
    <w:basedOn w:val="8"/>
    <w:link w:val="3"/>
    <w:qFormat/>
    <w:uiPriority w:val="0"/>
    <w:rPr>
      <w:rFonts w:ascii="宋体" w:hAnsi="Courier New" w:eastAsia="宋体" w:cs="Times New Roman"/>
      <w:kern w:val="0"/>
      <w:sz w:val="20"/>
      <w:szCs w:val="20"/>
    </w:rPr>
  </w:style>
  <w:style w:type="character" w:customStyle="1" w:styleId="12">
    <w:name w:val="标题 6 字符"/>
    <w:basedOn w:val="8"/>
    <w:link w:val="2"/>
    <w:qFormat/>
    <w:uiPriority w:val="0"/>
    <w:rPr>
      <w:rFonts w:ascii="Arial" w:hAnsi="Arial" w:eastAsia="黑体" w:cs="Times New Roman"/>
      <w:b/>
      <w:bCs/>
      <w:sz w:val="24"/>
      <w:szCs w:val="24"/>
      <w:lang w:val="zh-CN" w:eastAsia="zh-CN"/>
    </w:rPr>
  </w:style>
  <w:style w:type="paragraph" w:styleId="13">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4">
    <w:name w:val="批注框文本 字符"/>
    <w:basedOn w:val="8"/>
    <w:link w:val="4"/>
    <w:semiHidden/>
    <w:qFormat/>
    <w:uiPriority w:val="99"/>
    <w:rPr>
      <w:rFonts w:ascii="Times New Roman" w:hAnsi="Times New Roman" w:eastAsia="仿宋_GB2312" w:cs="Times New Roman"/>
      <w:sz w:val="18"/>
      <w:szCs w:val="18"/>
    </w:rPr>
  </w:style>
  <w:style w:type="paragraph" w:customStyle="1" w:styleId="15">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60FC02-82FF-4A96-9E59-A5EA1A696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1970</Words>
  <Characters>2078</Characters>
  <Lines>11</Lines>
  <Paragraphs>3</Paragraphs>
  <TotalTime>72</TotalTime>
  <ScaleCrop>false</ScaleCrop>
  <LinksUpToDate>false</LinksUpToDate>
  <CharactersWithSpaces>2096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2024-06-23T06:55:00Z</dcterms:created>
  <dc:creator>郭家明</dc:creator>
  <cp:lastModifiedBy>梁志雄</cp:lastModifiedBy>
  <cp:lastPrinted>2024-06-25T04:53:00Z</cp:lastPrinted>
  <dcterms:modified xsi:type="dcterms:W3CDTF">2026-06-28T09:21:02Z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D1EBD8D63D6642EA907CC3A3F9678C8D</vt:lpwstr>
  </property>
  <property fmtid="{D5CDD505-2E9C-101B-9397-08002B2CF9AE}" pid="4" name="KSOTemplateDocerSaveRecord">
    <vt:lpwstr>eyJoZGlkIjoiOTZiYzBkZTEzNDg0MzZlZTllN2Y5YWJiNjU5ZTAyYTQiLCJ1c2VySWQiOiIxMDE0Njk5NDE1In0=</vt:lpwstr>
  </property>
</Properties>
</file>