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0BBF8">
      <w:pPr>
        <w:spacing w:line="560" w:lineRule="exact"/>
        <w:jc w:val="center"/>
        <w:rPr>
          <w:rFonts w:hint="eastAsia" w:ascii="Times New Roman" w:hAnsi="Times New Roman" w:eastAsia="方正小标宋_GBK" w:cs="Times New Roman"/>
          <w:b w:val="0"/>
          <w:bCs w:val="0"/>
          <w:sz w:val="36"/>
          <w:szCs w:val="36"/>
          <w:lang w:val="en-US" w:eastAsia="zh-CN"/>
        </w:rPr>
      </w:pPr>
      <w:r>
        <w:rPr>
          <w:rFonts w:hint="eastAsia" w:ascii="Times New Roman" w:hAnsi="Times New Roman" w:eastAsia="方正小标宋_GBK" w:cs="Times New Roman"/>
          <w:b w:val="0"/>
          <w:bCs w:val="0"/>
          <w:sz w:val="36"/>
          <w:szCs w:val="36"/>
          <w:lang w:val="en-US" w:eastAsia="zh-CN"/>
        </w:rPr>
        <w:t>江门市蓬江区2026年排污许可证</w:t>
      </w:r>
    </w:p>
    <w:p w14:paraId="4BEA0492">
      <w:pPr>
        <w:spacing w:line="560" w:lineRule="exact"/>
        <w:jc w:val="center"/>
        <w:rPr>
          <w:rFonts w:hint="default" w:ascii="Times New Roman" w:hAnsi="Times New Roman" w:eastAsia="方正小标宋_GBK" w:cs="Times New Roman"/>
          <w:b w:val="0"/>
          <w:bCs w:val="0"/>
          <w:sz w:val="36"/>
          <w:szCs w:val="36"/>
          <w:lang w:eastAsia="zh-CN"/>
        </w:rPr>
      </w:pPr>
      <w:r>
        <w:rPr>
          <w:rFonts w:hint="eastAsia" w:ascii="Times New Roman" w:hAnsi="Times New Roman" w:eastAsia="方正小标宋_GBK" w:cs="Times New Roman"/>
          <w:b w:val="0"/>
          <w:bCs w:val="0"/>
          <w:sz w:val="36"/>
          <w:szCs w:val="36"/>
          <w:lang w:val="en-US" w:eastAsia="zh-CN"/>
        </w:rPr>
        <w:t>核发技术审查服务项目</w:t>
      </w:r>
      <w:r>
        <w:rPr>
          <w:rFonts w:hint="default" w:ascii="Times New Roman" w:hAnsi="Times New Roman" w:eastAsia="方正小标宋_GBK" w:cs="Times New Roman"/>
          <w:b w:val="0"/>
          <w:bCs w:val="0"/>
          <w:sz w:val="36"/>
          <w:szCs w:val="36"/>
          <w:lang w:eastAsia="zh-CN"/>
        </w:rPr>
        <w:t>采购公告</w:t>
      </w:r>
    </w:p>
    <w:p w14:paraId="51F435AC">
      <w:pPr>
        <w:wordWrap w:val="0"/>
        <w:spacing w:line="540" w:lineRule="exact"/>
        <w:rPr>
          <w:rFonts w:hint="default" w:ascii="Times New Roman" w:hAnsi="Times New Roman" w:eastAsia="仿宋_GB2312" w:cs="Times New Roman"/>
          <w:sz w:val="32"/>
          <w:szCs w:val="32"/>
        </w:rPr>
      </w:pPr>
    </w:p>
    <w:p w14:paraId="3D41F9C5">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根据《中华人民共和国政府采购法》等有关法律法规的规定，按照公开、公平、公正的原则，欢迎有意向并符合条件的供应商前来响应并报价。</w:t>
      </w:r>
    </w:p>
    <w:p w14:paraId="2A8FAD92">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项目名称</w:t>
      </w:r>
    </w:p>
    <w:p w14:paraId="3ABCD9A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江门市蓬江区2026年排污许可证核发技术审查服务项目</w:t>
      </w:r>
    </w:p>
    <w:p w14:paraId="6135FF5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CN"/>
        </w:rPr>
        <w:t>二、服务</w:t>
      </w:r>
      <w:r>
        <w:rPr>
          <w:rFonts w:hint="eastAsia" w:ascii="仿宋_GB2312" w:hAnsi="仿宋_GB2312" w:eastAsia="仿宋_GB2312" w:cs="仿宋_GB2312"/>
          <w:b/>
          <w:bCs/>
          <w:color w:val="auto"/>
          <w:sz w:val="32"/>
          <w:szCs w:val="32"/>
        </w:rPr>
        <w:t>内容及需求</w:t>
      </w:r>
    </w:p>
    <w:p w14:paraId="0D35147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（1）协助江门市生态环境局蓬江分局对辖区内排污单位2026年提交的排污许可证网上申请材料进行全面审查，在规定时间内向核发机关出具第三方技术审核意见。</w:t>
      </w:r>
      <w:r>
        <w:rPr>
          <w:rFonts w:hint="default" w:ascii="仿宋_GB2312" w:hAnsi="仿宋_GB2312" w:eastAsia="仿宋_GB2312" w:cs="仿宋_GB2312"/>
          <w:color w:val="auto"/>
          <w:sz w:val="32"/>
          <w:szCs w:val="32"/>
          <w:lang w:val="en-US" w:eastAsia="zh-CN"/>
        </w:rPr>
        <w:t>结算费用按照服务单价、完成数量计算</w:t>
      </w:r>
      <w:r>
        <w:rPr>
          <w:rFonts w:hint="eastAsia" w:ascii="仿宋_GB2312" w:hAnsi="仿宋_GB2312" w:eastAsia="仿宋_GB2312" w:cs="仿宋_GB2312"/>
          <w:color w:val="auto"/>
          <w:sz w:val="32"/>
          <w:szCs w:val="32"/>
          <w:lang w:val="en-US" w:eastAsia="zh-CN"/>
        </w:rPr>
        <w:t>，初步估计共需审核辖区内排污许可证约150张左右。</w:t>
      </w:r>
    </w:p>
    <w:p w14:paraId="6286926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（2）报价供应商应对本项目所有的采购内容进行报价，不允许只对其中部分内容进行报价。</w:t>
      </w:r>
    </w:p>
    <w:p w14:paraId="3CBEC1F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rPr>
        <w:t>三、服务</w:t>
      </w:r>
      <w:r>
        <w:rPr>
          <w:rFonts w:hint="eastAsia" w:ascii="仿宋_GB2312" w:hAnsi="仿宋_GB2312" w:eastAsia="仿宋_GB2312" w:cs="仿宋_GB2312"/>
          <w:b/>
          <w:bCs/>
          <w:color w:val="auto"/>
          <w:sz w:val="32"/>
          <w:szCs w:val="32"/>
          <w:lang w:eastAsia="zh-CN"/>
        </w:rPr>
        <w:t>期限</w:t>
      </w:r>
    </w:p>
    <w:p w14:paraId="6FA5154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项目服务期限自合同签订之日起至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日前。</w:t>
      </w:r>
    </w:p>
    <w:p w14:paraId="16F0537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四、服务费用</w:t>
      </w:r>
    </w:p>
    <w:p w14:paraId="2E2FB417">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项目最高限价</w:t>
      </w:r>
      <w:r>
        <w:rPr>
          <w:rFonts w:hint="eastAsia" w:ascii="仿宋_GB2312" w:hAnsi="仿宋_GB2312" w:eastAsia="仿宋_GB2312" w:cs="仿宋_GB2312"/>
          <w:color w:val="auto"/>
          <w:sz w:val="32"/>
          <w:szCs w:val="32"/>
        </w:rPr>
        <w:t>: 人民币</w:t>
      </w:r>
      <w:r>
        <w:rPr>
          <w:rFonts w:hint="eastAsia" w:ascii="仿宋_GB2312" w:hAnsi="仿宋_GB2312" w:eastAsia="仿宋_GB2312" w:cs="仿宋_GB2312"/>
          <w:color w:val="auto"/>
          <w:sz w:val="32"/>
          <w:szCs w:val="32"/>
          <w:lang w:val="en-US" w:eastAsia="zh-CN"/>
        </w:rPr>
        <w:t>180000</w:t>
      </w:r>
      <w:r>
        <w:rPr>
          <w:rFonts w:hint="eastAsia" w:ascii="仿宋_GB2312" w:hAnsi="仿宋_GB2312" w:eastAsia="仿宋_GB2312" w:cs="仿宋_GB2312"/>
          <w:color w:val="auto"/>
          <w:sz w:val="32"/>
          <w:szCs w:val="32"/>
        </w:rPr>
        <w:t>.00元</w:t>
      </w:r>
      <w:r>
        <w:rPr>
          <w:rFonts w:hint="eastAsia" w:ascii="仿宋_GB2312" w:hAnsi="仿宋_GB2312" w:eastAsia="仿宋_GB2312" w:cs="仿宋_GB2312"/>
          <w:color w:val="auto"/>
          <w:sz w:val="32"/>
          <w:szCs w:val="32"/>
          <w:lang w:eastAsia="zh-CN"/>
        </w:rPr>
        <w:t>（大写：拾捌万元整），</w:t>
      </w:r>
      <w:r>
        <w:rPr>
          <w:rFonts w:hint="eastAsia" w:ascii="仿宋_GB2312" w:hAnsi="仿宋_GB2312" w:eastAsia="仿宋_GB2312" w:cs="仿宋_GB2312"/>
          <w:color w:val="auto"/>
          <w:sz w:val="32"/>
          <w:szCs w:val="32"/>
        </w:rPr>
        <w:t>以实际审核排污</w:t>
      </w:r>
      <w:r>
        <w:rPr>
          <w:rFonts w:hint="eastAsia" w:ascii="仿宋_GB2312" w:hAnsi="仿宋_GB2312" w:eastAsia="仿宋_GB2312" w:cs="仿宋_GB2312"/>
          <w:color w:val="auto"/>
          <w:sz w:val="32"/>
          <w:szCs w:val="32"/>
          <w:lang w:eastAsia="zh-CN"/>
        </w:rPr>
        <w:t>许可证</w:t>
      </w:r>
      <w:r>
        <w:rPr>
          <w:rFonts w:hint="eastAsia" w:ascii="仿宋_GB2312" w:hAnsi="仿宋_GB2312" w:eastAsia="仿宋_GB2312" w:cs="仿宋_GB2312"/>
          <w:color w:val="auto"/>
          <w:sz w:val="32"/>
          <w:szCs w:val="32"/>
        </w:rPr>
        <w:t>的数量结算，每</w:t>
      </w:r>
      <w:r>
        <w:rPr>
          <w:rFonts w:hint="eastAsia" w:ascii="仿宋_GB2312" w:hAnsi="仿宋_GB2312" w:eastAsia="仿宋_GB2312" w:cs="仿宋_GB2312"/>
          <w:color w:val="auto"/>
          <w:sz w:val="32"/>
          <w:szCs w:val="32"/>
          <w:lang w:eastAsia="zh-CN"/>
        </w:rPr>
        <w:t>张</w:t>
      </w:r>
      <w:r>
        <w:rPr>
          <w:rFonts w:hint="eastAsia" w:ascii="仿宋_GB2312" w:hAnsi="仿宋_GB2312" w:eastAsia="仿宋_GB2312" w:cs="仿宋_GB2312"/>
          <w:color w:val="auto"/>
          <w:sz w:val="32"/>
          <w:szCs w:val="32"/>
        </w:rPr>
        <w:t>服务费用不超过人民币</w:t>
      </w:r>
      <w:r>
        <w:rPr>
          <w:rFonts w:hint="eastAsia" w:ascii="仿宋_GB2312" w:hAnsi="仿宋_GB2312" w:eastAsia="仿宋_GB2312" w:cs="仿宋_GB2312"/>
          <w:color w:val="auto"/>
          <w:sz w:val="32"/>
          <w:szCs w:val="32"/>
          <w:lang w:val="en-US" w:eastAsia="zh-CN"/>
        </w:rPr>
        <w:t>1200</w:t>
      </w:r>
      <w:r>
        <w:rPr>
          <w:rFonts w:hint="eastAsia" w:ascii="仿宋_GB2312" w:hAnsi="仿宋_GB2312" w:eastAsia="仿宋_GB2312" w:cs="仿宋_GB2312"/>
          <w:color w:val="auto"/>
          <w:sz w:val="32"/>
          <w:szCs w:val="32"/>
        </w:rPr>
        <w:t>.00元</w:t>
      </w:r>
      <w:r>
        <w:rPr>
          <w:rFonts w:hint="eastAsia" w:ascii="仿宋_GB2312" w:hAnsi="仿宋_GB2312" w:eastAsia="仿宋_GB2312" w:cs="仿宋_GB2312"/>
          <w:color w:val="auto"/>
          <w:sz w:val="32"/>
          <w:szCs w:val="32"/>
          <w:lang w:eastAsia="zh-CN"/>
        </w:rPr>
        <w:t>（大写：壹仟贰佰元整）</w:t>
      </w:r>
      <w:r>
        <w:rPr>
          <w:rFonts w:hint="eastAsia" w:ascii="仿宋_GB2312" w:hAnsi="仿宋_GB2312" w:eastAsia="仿宋_GB2312" w:cs="仿宋_GB2312"/>
          <w:color w:val="auto"/>
          <w:sz w:val="32"/>
          <w:szCs w:val="32"/>
        </w:rPr>
        <w:t>。 大于此报价为无效报价。最后费用以经采购程序后签订的合同为准。</w:t>
      </w:r>
    </w:p>
    <w:p w14:paraId="33998BC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五、供应商应具备的资格条件 (要同时全部满足)</w:t>
      </w:r>
    </w:p>
    <w:p w14:paraId="38D6E7D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供应商应当是具有独立承担民事责任能力的在中华人民共和国境内注册的法人或其他组织或自然人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提供相关证明复印件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并加盖单位公章</w:t>
      </w:r>
      <w:r>
        <w:rPr>
          <w:rFonts w:hint="eastAsia" w:ascii="仿宋_GB2312" w:hAnsi="仿宋_GB2312" w:eastAsia="仿宋_GB2312" w:cs="仿宋_GB2312"/>
          <w:color w:val="auto"/>
          <w:sz w:val="32"/>
          <w:szCs w:val="32"/>
          <w:lang w:eastAsia="zh-CN"/>
        </w:rPr>
        <w:t>）。</w:t>
      </w:r>
    </w:p>
    <w:p w14:paraId="4127A8B1">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供应商应当具有良好的商业信誉和健全的财务会计</w:t>
      </w:r>
      <w:r>
        <w:rPr>
          <w:rFonts w:hint="eastAsia" w:ascii="仿宋_GB2312" w:hAnsi="仿宋_GB2312" w:eastAsia="仿宋_GB2312" w:cs="仿宋_GB2312"/>
          <w:color w:val="auto"/>
          <w:w w:val="80"/>
          <w:sz w:val="32"/>
          <w:szCs w:val="32"/>
        </w:rPr>
        <w:t>制度</w:t>
      </w:r>
      <w:r>
        <w:rPr>
          <w:rFonts w:hint="eastAsia" w:ascii="仿宋_GB2312" w:hAnsi="仿宋_GB2312" w:eastAsia="仿宋_GB2312" w:cs="仿宋_GB2312"/>
          <w:color w:val="auto"/>
          <w:w w:val="80"/>
          <w:sz w:val="32"/>
          <w:szCs w:val="32"/>
          <w:lang w:eastAsia="zh-CN"/>
        </w:rPr>
        <w:t>。</w:t>
      </w:r>
      <w:r>
        <w:rPr>
          <w:rFonts w:hint="eastAsia" w:ascii="仿宋_GB2312" w:hAnsi="仿宋_GB2312" w:eastAsia="仿宋_GB2312" w:cs="仿宋_GB2312"/>
          <w:color w:val="auto"/>
          <w:w w:val="80"/>
          <w:sz w:val="32"/>
          <w:szCs w:val="32"/>
        </w:rPr>
        <w:t>未被“信用中国”网站（www-creditchina-gov-cn.ssl.6aas.cn）</w:t>
      </w:r>
      <w:r>
        <w:rPr>
          <w:rFonts w:hint="eastAsia" w:ascii="仿宋_GB2312" w:hAnsi="仿宋_GB2312" w:eastAsia="仿宋_GB2312" w:cs="仿宋_GB2312"/>
          <w:color w:val="auto"/>
          <w:sz w:val="32"/>
          <w:szCs w:val="32"/>
        </w:rPr>
        <w:t>、中国政府采购网（www.ccgp.gov.cn）列入失信被执行人、重大税收违法案件当事人名单、政府采购严重失信行为记录名单（提供网页查询截图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并加盖单位公章）；有依法缴纳税收和社会保障资金的良好记录（提供报价截止日前</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个月依法缴纳税收和社会保障资金的相关材料或提供书面承诺书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如依法免税或不需要缴纳社会保障资金的，提供相应证明材料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并加盖单位公章）。</w:t>
      </w:r>
    </w:p>
    <w:p w14:paraId="2B4BFDBF">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团队技术人员需包含高级职称技术人员至少</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名，中级职称技术人员至少</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提供职称证明</w:t>
      </w:r>
      <w:r>
        <w:rPr>
          <w:rFonts w:hint="eastAsia"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rPr>
        <w:t>职业资格证书复印件、学历证书复印件、拟派人员由社保机构出具的在响应时间截止前</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个月载有社保部门公章的社保证明材料复印件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并加盖单位公章</w:t>
      </w:r>
      <w:r>
        <w:rPr>
          <w:rFonts w:hint="eastAsia" w:ascii="仿宋_GB2312" w:hAnsi="仿宋_GB2312" w:eastAsia="仿宋_GB2312" w:cs="仿宋_GB2312"/>
          <w:color w:val="auto"/>
          <w:sz w:val="32"/>
          <w:szCs w:val="32"/>
          <w:lang w:eastAsia="zh-CN"/>
        </w:rPr>
        <w:t>）。</w:t>
      </w:r>
    </w:p>
    <w:p w14:paraId="4647D904">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年以来，承担过</w:t>
      </w:r>
      <w:r>
        <w:rPr>
          <w:rFonts w:hint="eastAsia" w:ascii="仿宋_GB2312" w:hAnsi="仿宋_GB2312" w:eastAsia="仿宋_GB2312" w:cs="仿宋_GB2312"/>
          <w:color w:val="auto"/>
          <w:sz w:val="32"/>
          <w:szCs w:val="32"/>
          <w:lang w:val="en-US"/>
        </w:rPr>
        <w:t>县（区）</w:t>
      </w:r>
      <w:r>
        <w:rPr>
          <w:rFonts w:hint="eastAsia" w:ascii="仿宋_GB2312" w:hAnsi="仿宋_GB2312" w:eastAsia="仿宋_GB2312" w:cs="仿宋_GB2312"/>
          <w:color w:val="auto"/>
          <w:sz w:val="32"/>
          <w:szCs w:val="32"/>
        </w:rPr>
        <w:t>及以上政府部门排污许可相关项目至少</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提供项目合同首页、签名页的复印件，并加盖单位公章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1687800F">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、加盖</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公章的项目报价文件。</w:t>
      </w:r>
    </w:p>
    <w:p w14:paraId="23A4A49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、本项目不接受联合体报价。</w:t>
      </w:r>
    </w:p>
    <w:p w14:paraId="02DCE08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六、评选方式及评选标准</w:t>
      </w:r>
    </w:p>
    <w:p w14:paraId="51849AB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在符合报名条件的供应商中通过评选确定一家供应商。</w:t>
      </w:r>
    </w:p>
    <w:p w14:paraId="6C9060F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由我局采购小组抽取成员组成评选小组，分别按照《项目评分表》（见附件）进行评分，综合得分最高的确定为中标供应商。</w:t>
      </w:r>
    </w:p>
    <w:p w14:paraId="51958F9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评选结果公示3个工作日，若公示期间无异议，我局将在30日内与中标供应商签订采购合同。</w:t>
      </w:r>
    </w:p>
    <w:p w14:paraId="6AF101F4">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报价截止时间</w:t>
      </w:r>
    </w:p>
    <w:p w14:paraId="25F435F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sz w:val="32"/>
          <w:szCs w:val="32"/>
        </w:rPr>
        <w:t>日</w:t>
      </w:r>
    </w:p>
    <w:p w14:paraId="2F0C106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八</w:t>
      </w:r>
      <w:r>
        <w:rPr>
          <w:rFonts w:hint="eastAsia" w:ascii="仿宋_GB2312" w:hAnsi="仿宋_GB2312" w:eastAsia="仿宋_GB2312" w:cs="仿宋_GB2312"/>
          <w:b/>
          <w:bCs/>
          <w:color w:val="auto"/>
          <w:sz w:val="32"/>
          <w:szCs w:val="32"/>
        </w:rPr>
        <w:t>、报价文件递交地点</w:t>
      </w:r>
      <w:r>
        <w:rPr>
          <w:rFonts w:hint="eastAsia" w:ascii="仿宋_GB2312" w:hAnsi="仿宋_GB2312" w:eastAsia="仿宋_GB2312" w:cs="仿宋_GB2312"/>
          <w:b/>
          <w:bCs/>
          <w:color w:val="auto"/>
          <w:sz w:val="32"/>
          <w:szCs w:val="32"/>
          <w:lang w:eastAsia="zh-CN"/>
        </w:rPr>
        <w:t>及联系人</w:t>
      </w:r>
    </w:p>
    <w:p w14:paraId="3226C7F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采购人：江门市生态环境局蓬江分局</w:t>
      </w:r>
    </w:p>
    <w:p w14:paraId="4F61F68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2、采购</w:t>
      </w:r>
      <w:r>
        <w:rPr>
          <w:rFonts w:hint="eastAsia" w:ascii="仿宋_GB2312" w:hAnsi="仿宋_GB2312" w:eastAsia="仿宋_GB2312" w:cs="仿宋_GB2312"/>
          <w:color w:val="auto"/>
          <w:sz w:val="32"/>
          <w:szCs w:val="32"/>
        </w:rPr>
        <w:t>地址：江门市蓬江区胜利路152号珠西创谷自编1号楼5楼</w:t>
      </w:r>
    </w:p>
    <w:p w14:paraId="6D9996C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联系人：</w:t>
      </w:r>
      <w:r>
        <w:rPr>
          <w:rFonts w:hint="eastAsia" w:ascii="仿宋_GB2312" w:hAnsi="仿宋_GB2312" w:eastAsia="仿宋_GB2312" w:cs="仿宋_GB2312"/>
          <w:color w:val="auto"/>
          <w:sz w:val="32"/>
          <w:szCs w:val="32"/>
          <w:lang w:eastAsia="zh-CN"/>
        </w:rPr>
        <w:t>唐小姐</w:t>
      </w:r>
    </w:p>
    <w:p w14:paraId="61ADA817">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联系电话：0750-</w:t>
      </w:r>
      <w:r>
        <w:rPr>
          <w:rFonts w:hint="eastAsia" w:ascii="仿宋_GB2312" w:hAnsi="仿宋_GB2312" w:eastAsia="仿宋_GB2312" w:cs="仿宋_GB2312"/>
          <w:color w:val="auto"/>
          <w:sz w:val="32"/>
          <w:szCs w:val="32"/>
          <w:lang w:val="en-US" w:eastAsia="zh-CN"/>
        </w:rPr>
        <w:t>3291786</w:t>
      </w:r>
    </w:p>
    <w:p w14:paraId="3DAD0C4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联系电子邮箱：jmssthjjpjfj@jiangmen.gov.cn</w:t>
      </w:r>
    </w:p>
    <w:p w14:paraId="2F610FB2">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color w:val="auto"/>
          <w:sz w:val="32"/>
          <w:szCs w:val="32"/>
        </w:rPr>
        <w:t>、其他事项说明</w:t>
      </w:r>
    </w:p>
    <w:p w14:paraId="222D587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1、超过本项目最高限价的报价为无效报价。</w:t>
      </w:r>
    </w:p>
    <w:p w14:paraId="6BA939B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2、逾期送达的响应文件恕不接收。</w:t>
      </w:r>
    </w:p>
    <w:p w14:paraId="7EAF0F97">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3、供应商需对所提供的资料真实性负责，如发现弄虚作假，取消供应商报价资格，并依法追究其法律责任。</w:t>
      </w:r>
    </w:p>
    <w:p w14:paraId="4059B08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4、本次项目的</w:t>
      </w:r>
      <w:r>
        <w:rPr>
          <w:rFonts w:hint="eastAsia" w:ascii="仿宋_GB2312" w:hAnsi="仿宋_GB2312" w:eastAsia="仿宋_GB2312" w:cs="仿宋_GB2312"/>
          <w:color w:val="auto"/>
          <w:sz w:val="32"/>
          <w:szCs w:val="32"/>
          <w:lang w:eastAsia="zh-CN"/>
        </w:rPr>
        <w:t>采购</w:t>
      </w:r>
      <w:r>
        <w:rPr>
          <w:rFonts w:hint="eastAsia" w:ascii="仿宋_GB2312" w:hAnsi="仿宋_GB2312" w:eastAsia="仿宋_GB2312" w:cs="仿宋_GB2312"/>
          <w:color w:val="auto"/>
          <w:sz w:val="32"/>
          <w:szCs w:val="32"/>
        </w:rPr>
        <w:t>结果在江门市生态环境局的网站上公布，不再另行公告或通知。</w:t>
      </w:r>
    </w:p>
    <w:p w14:paraId="05752F72">
      <w:pPr>
        <w:wordWrap w:val="0"/>
        <w:spacing w:line="540" w:lineRule="exact"/>
        <w:ind w:firstLine="1280" w:firstLineChars="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附件：1、报价单</w:t>
      </w:r>
    </w:p>
    <w:p w14:paraId="65D1262E">
      <w:pPr>
        <w:wordWrap w:val="0"/>
        <w:spacing w:line="540" w:lineRule="exact"/>
        <w:ind w:firstLine="2240" w:firstLineChars="7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2、评分表</w:t>
      </w:r>
    </w:p>
    <w:p w14:paraId="60BC74C7">
      <w:pPr>
        <w:wordWrap w:val="0"/>
        <w:spacing w:line="540" w:lineRule="exact"/>
        <w:ind w:firstLine="2240" w:firstLineChars="7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3、中小企业声明函</w:t>
      </w:r>
    </w:p>
    <w:p w14:paraId="7F52AC1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p>
    <w:p w14:paraId="155F56C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p>
    <w:p w14:paraId="02039D42">
      <w:pPr>
        <w:spacing w:line="520" w:lineRule="exact"/>
        <w:jc w:val="center"/>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 xml:space="preserve">                           江门市生态环境局</w:t>
      </w:r>
      <w:r>
        <w:rPr>
          <w:rFonts w:hint="eastAsia" w:eastAsia="仿宋_GB2312" w:cs="Times New Roman"/>
          <w:color w:val="auto"/>
          <w:sz w:val="32"/>
          <w:szCs w:val="32"/>
          <w:highlight w:val="none"/>
          <w:lang w:eastAsia="zh-CN"/>
        </w:rPr>
        <w:t>蓬江分局</w:t>
      </w:r>
    </w:p>
    <w:p w14:paraId="4EA18BD3">
      <w:pPr>
        <w:spacing w:line="520" w:lineRule="exact"/>
        <w:jc w:val="center"/>
        <w:rPr>
          <w:rFonts w:ascii="Times New Roman" w:hAnsi="Times New Roman" w:eastAsia="仿宋_GB2312" w:cs="Times New Roman"/>
          <w:color w:val="auto"/>
          <w:sz w:val="32"/>
          <w:szCs w:val="32"/>
          <w:highlight w:val="none"/>
        </w:rPr>
        <w:sectPr>
          <w:footerReference r:id="rId3" w:type="default"/>
          <w:pgSz w:w="11906" w:h="16838"/>
          <w:pgMar w:top="1418" w:right="1474" w:bottom="1701" w:left="1474" w:header="851" w:footer="1020" w:gutter="0"/>
          <w:pgNumType w:fmt="decimal"/>
          <w:cols w:space="720" w:num="1"/>
          <w:docGrid w:type="linesAndChars" w:linePitch="435" w:charSpace="0"/>
        </w:sectPr>
      </w:pPr>
      <w:r>
        <w:rPr>
          <w:rFonts w:ascii="Times New Roman" w:hAnsi="Times New Roman" w:eastAsia="仿宋_GB2312" w:cs="Times New Roman"/>
          <w:color w:val="auto"/>
          <w:sz w:val="32"/>
          <w:szCs w:val="32"/>
          <w:highlight w:val="none"/>
        </w:rPr>
        <w:t xml:space="preserve">                           202</w:t>
      </w:r>
      <w:r>
        <w:rPr>
          <w:rFonts w:hint="eastAsia"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年</w:t>
      </w:r>
      <w:r>
        <w:rPr>
          <w:rFonts w:hint="eastAsia"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月</w:t>
      </w:r>
      <w:r>
        <w:rPr>
          <w:rFonts w:hint="eastAsia" w:eastAsia="仿宋_GB2312" w:cs="Times New Roman"/>
          <w:color w:val="auto"/>
          <w:sz w:val="32"/>
          <w:szCs w:val="32"/>
          <w:highlight w:val="none"/>
          <w:lang w:val="en-US" w:eastAsia="zh-CN"/>
        </w:rPr>
        <w:t>29</w:t>
      </w:r>
      <w:bookmarkStart w:id="0" w:name="_GoBack"/>
      <w:bookmarkEnd w:id="0"/>
      <w:r>
        <w:rPr>
          <w:rFonts w:ascii="Times New Roman" w:hAnsi="Times New Roman" w:eastAsia="仿宋_GB2312" w:cs="Times New Roman"/>
          <w:color w:val="auto"/>
          <w:sz w:val="32"/>
          <w:szCs w:val="32"/>
          <w:highlight w:val="none"/>
        </w:rPr>
        <w:t>日</w:t>
      </w:r>
    </w:p>
    <w:p w14:paraId="5CB5FC9B">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5E949BCE">
      <w:pPr>
        <w:spacing w:line="560" w:lineRule="exact"/>
        <w:jc w:val="center"/>
        <w:rPr>
          <w:rFonts w:hint="default" w:ascii="Times New Roman" w:hAnsi="Times New Roman" w:eastAsia="方正小标宋_GBK" w:cs="Times New Roman"/>
          <w:bCs/>
          <w:color w:val="auto"/>
          <w:kern w:val="0"/>
          <w:sz w:val="36"/>
          <w:szCs w:val="36"/>
          <w:highlight w:val="none"/>
          <w:lang w:val="en"/>
        </w:rPr>
      </w:pPr>
      <w:r>
        <w:rPr>
          <w:rFonts w:hint="default" w:ascii="Times New Roman" w:hAnsi="Times New Roman" w:eastAsia="方正小标宋_GBK" w:cs="Times New Roman"/>
          <w:bCs/>
          <w:color w:val="auto"/>
          <w:kern w:val="0"/>
          <w:sz w:val="36"/>
          <w:szCs w:val="36"/>
          <w:highlight w:val="none"/>
          <w:lang w:val="en"/>
        </w:rPr>
        <w:t>采购项目报价单</w:t>
      </w:r>
    </w:p>
    <w:p w14:paraId="77B5FBFE">
      <w:pPr>
        <w:rPr>
          <w:rFonts w:hint="default" w:ascii="Times New Roman" w:hAnsi="Times New Roman" w:eastAsia="仿宋" w:cs="Times New Roman"/>
          <w:sz w:val="32"/>
          <w:szCs w:val="32"/>
        </w:rPr>
      </w:pPr>
    </w:p>
    <w:tbl>
      <w:tblPr>
        <w:tblStyle w:val="13"/>
        <w:tblW w:w="4949"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3257"/>
        <w:gridCol w:w="5907"/>
      </w:tblGrid>
      <w:tr w14:paraId="52B6F3F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621" w:hRule="atLeast"/>
        </w:trPr>
        <w:tc>
          <w:tcPr>
            <w:tcW w:w="1777"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3CB52586">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报价单位（</w:t>
            </w:r>
            <w:r>
              <w:rPr>
                <w:rFonts w:hint="eastAsia" w:ascii="仿宋_GB2312" w:hAnsi="仿宋_GB2312" w:eastAsia="仿宋_GB2312" w:cs="仿宋_GB2312"/>
                <w:sz w:val="32"/>
                <w:szCs w:val="32"/>
                <w:lang w:eastAsia="zh-CN"/>
              </w:rPr>
              <w:t>加</w:t>
            </w:r>
            <w:r>
              <w:rPr>
                <w:rFonts w:hint="eastAsia" w:ascii="仿宋_GB2312" w:hAnsi="仿宋_GB2312" w:eastAsia="仿宋_GB2312" w:cs="仿宋_GB2312"/>
                <w:sz w:val="32"/>
                <w:szCs w:val="32"/>
              </w:rPr>
              <w:t>盖公章）</w:t>
            </w:r>
          </w:p>
        </w:tc>
        <w:tc>
          <w:tcPr>
            <w:tcW w:w="3222"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114B25C8">
            <w:pPr>
              <w:jc w:val="center"/>
              <w:rPr>
                <w:rFonts w:hint="eastAsia" w:ascii="仿宋_GB2312" w:hAnsi="仿宋_GB2312" w:eastAsia="仿宋_GB2312" w:cs="仿宋_GB2312"/>
                <w:sz w:val="32"/>
                <w:szCs w:val="32"/>
              </w:rPr>
            </w:pPr>
          </w:p>
        </w:tc>
      </w:tr>
      <w:tr w14:paraId="359BE3A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47" w:hRule="atLeast"/>
        </w:trPr>
        <w:tc>
          <w:tcPr>
            <w:tcW w:w="1777"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28F7D9E0">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联系人及联系方式</w:t>
            </w:r>
          </w:p>
        </w:tc>
        <w:tc>
          <w:tcPr>
            <w:tcW w:w="3222"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369C2BFB">
            <w:pPr>
              <w:jc w:val="center"/>
              <w:rPr>
                <w:rFonts w:hint="eastAsia" w:ascii="仿宋_GB2312" w:hAnsi="仿宋_GB2312" w:eastAsia="仿宋_GB2312" w:cs="仿宋_GB2312"/>
                <w:sz w:val="32"/>
                <w:szCs w:val="32"/>
              </w:rPr>
            </w:pPr>
          </w:p>
        </w:tc>
      </w:tr>
      <w:tr w14:paraId="66D9DB8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2" w:hRule="atLeast"/>
        </w:trPr>
        <w:tc>
          <w:tcPr>
            <w:tcW w:w="1777"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3D8676C6">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项目名称</w:t>
            </w:r>
          </w:p>
        </w:tc>
        <w:tc>
          <w:tcPr>
            <w:tcW w:w="3222"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20828C56">
            <w:pPr>
              <w:jc w:val="center"/>
              <w:rPr>
                <w:rFonts w:hint="eastAsia" w:ascii="仿宋_GB2312" w:hAnsi="仿宋_GB2312" w:eastAsia="仿宋_GB2312" w:cs="仿宋_GB2312"/>
                <w:sz w:val="32"/>
                <w:szCs w:val="32"/>
              </w:rPr>
            </w:pPr>
          </w:p>
        </w:tc>
      </w:tr>
      <w:tr w14:paraId="3AAA0C6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53" w:hRule="atLeast"/>
        </w:trPr>
        <w:tc>
          <w:tcPr>
            <w:tcW w:w="1777"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282C3E90">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项目公告日期</w:t>
            </w:r>
          </w:p>
        </w:tc>
        <w:tc>
          <w:tcPr>
            <w:tcW w:w="3222"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2FC48EB2">
            <w:pPr>
              <w:jc w:val="center"/>
              <w:rPr>
                <w:rFonts w:hint="eastAsia" w:ascii="仿宋_GB2312" w:hAnsi="仿宋_GB2312" w:eastAsia="仿宋_GB2312" w:cs="仿宋_GB2312"/>
                <w:sz w:val="32"/>
                <w:szCs w:val="32"/>
              </w:rPr>
            </w:pPr>
          </w:p>
        </w:tc>
      </w:tr>
      <w:tr w14:paraId="3A7B1F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59" w:hRule="atLeast"/>
        </w:trPr>
        <w:tc>
          <w:tcPr>
            <w:tcW w:w="1777"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044339B2">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投报</w:t>
            </w:r>
            <w:r>
              <w:rPr>
                <w:rFonts w:hint="eastAsia" w:ascii="仿宋_GB2312" w:hAnsi="仿宋_GB2312" w:eastAsia="仿宋_GB2312" w:cs="仿宋_GB2312"/>
                <w:sz w:val="32"/>
                <w:szCs w:val="32"/>
                <w:lang w:eastAsia="zh-CN"/>
              </w:rPr>
              <w:t>总价</w:t>
            </w:r>
          </w:p>
        </w:tc>
        <w:tc>
          <w:tcPr>
            <w:tcW w:w="3222" w:type="pct"/>
            <w:tcBorders>
              <w:top w:val="single" w:color="000000" w:sz="8" w:space="0"/>
              <w:left w:val="single" w:color="000000" w:sz="8" w:space="0"/>
              <w:bottom w:val="single" w:color="000000" w:sz="8" w:space="0"/>
              <w:right w:val="single" w:color="000000" w:sz="8" w:space="0"/>
            </w:tcBorders>
            <w:noWrap w:val="0"/>
            <w:tcMar>
              <w:top w:w="75" w:type="dxa"/>
              <w:left w:w="150" w:type="dxa"/>
              <w:bottom w:w="75" w:type="dxa"/>
              <w:right w:w="150" w:type="dxa"/>
            </w:tcMar>
            <w:vAlign w:val="center"/>
          </w:tcPr>
          <w:p w14:paraId="16AB6845">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元（大写：            ）</w:t>
            </w:r>
          </w:p>
        </w:tc>
      </w:tr>
    </w:tbl>
    <w:p w14:paraId="30A1B112">
      <w:pPr>
        <w:rPr>
          <w:rFonts w:hint="default" w:ascii="Times New Roman" w:hAnsi="Times New Roman" w:eastAsia="仿宋" w:cs="Times New Roman"/>
          <w:sz w:val="32"/>
          <w:szCs w:val="32"/>
        </w:rPr>
      </w:pPr>
    </w:p>
    <w:p w14:paraId="59F69CB6">
      <w:pPr>
        <w:rPr>
          <w:rFonts w:hint="default" w:ascii="Times New Roman" w:hAnsi="Times New Roman" w:eastAsia="仿宋" w:cs="Times New Roman"/>
          <w:sz w:val="32"/>
          <w:szCs w:val="32"/>
        </w:rPr>
      </w:pPr>
    </w:p>
    <w:p w14:paraId="31D9602A">
      <w:pPr>
        <w:rPr>
          <w:rFonts w:hint="default" w:ascii="Times New Roman" w:hAnsi="Times New Roman" w:eastAsia="仿宋" w:cs="Times New Roman"/>
          <w:sz w:val="32"/>
          <w:szCs w:val="32"/>
        </w:rPr>
      </w:pPr>
    </w:p>
    <w:p w14:paraId="44436E3D">
      <w:pPr>
        <w:rPr>
          <w:rFonts w:hint="default" w:ascii="Times New Roman" w:hAnsi="Times New Roman" w:eastAsia="仿宋" w:cs="Times New Roman"/>
          <w:sz w:val="32"/>
          <w:szCs w:val="32"/>
        </w:rPr>
      </w:pPr>
    </w:p>
    <w:p w14:paraId="32F7F8E2">
      <w:pPr>
        <w:rPr>
          <w:rFonts w:hint="default" w:ascii="Times New Roman" w:hAnsi="Times New Roman" w:eastAsia="仿宋" w:cs="Times New Roman"/>
          <w:sz w:val="32"/>
          <w:szCs w:val="32"/>
        </w:rPr>
      </w:pPr>
    </w:p>
    <w:p w14:paraId="1E0C18B0">
      <w:pPr>
        <w:rPr>
          <w:rFonts w:hint="default" w:ascii="Times New Roman" w:hAnsi="Times New Roman" w:eastAsia="仿宋" w:cs="Times New Roman"/>
          <w:sz w:val="32"/>
          <w:szCs w:val="32"/>
        </w:rPr>
      </w:pPr>
    </w:p>
    <w:p w14:paraId="76949A62">
      <w:pPr>
        <w:rPr>
          <w:rFonts w:hint="default" w:ascii="Times New Roman" w:hAnsi="Times New Roman" w:eastAsia="仿宋" w:cs="Times New Roman"/>
          <w:sz w:val="32"/>
          <w:szCs w:val="32"/>
        </w:rPr>
      </w:pPr>
    </w:p>
    <w:p w14:paraId="407F6B9A">
      <w:pPr>
        <w:rPr>
          <w:rFonts w:hint="default" w:ascii="Times New Roman" w:hAnsi="Times New Roman" w:eastAsia="仿宋" w:cs="Times New Roman"/>
          <w:sz w:val="32"/>
          <w:szCs w:val="32"/>
        </w:rPr>
      </w:pPr>
    </w:p>
    <w:p w14:paraId="276ED24F">
      <w:pPr>
        <w:rPr>
          <w:rFonts w:hint="default" w:ascii="Times New Roman" w:hAnsi="Times New Roman" w:eastAsia="仿宋" w:cs="Times New Roman"/>
          <w:sz w:val="32"/>
          <w:szCs w:val="32"/>
        </w:rPr>
      </w:pPr>
    </w:p>
    <w:p w14:paraId="41597F6B">
      <w:pPr>
        <w:rPr>
          <w:rFonts w:hint="default" w:ascii="Times New Roman" w:hAnsi="Times New Roman" w:eastAsia="仿宋" w:cs="Times New Roman"/>
          <w:sz w:val="32"/>
          <w:szCs w:val="32"/>
        </w:rPr>
      </w:pPr>
    </w:p>
    <w:p w14:paraId="5BD07111">
      <w:pPr>
        <w:rPr>
          <w:rFonts w:hint="default" w:ascii="Times New Roman" w:hAnsi="Times New Roman" w:eastAsia="仿宋" w:cs="Times New Roman"/>
          <w:sz w:val="32"/>
          <w:szCs w:val="32"/>
        </w:rPr>
      </w:pPr>
    </w:p>
    <w:p w14:paraId="46E42EAB">
      <w:pPr>
        <w:rPr>
          <w:rFonts w:hint="default" w:ascii="Times New Roman" w:hAnsi="Times New Roman" w:eastAsia="仿宋" w:cs="Times New Roman"/>
          <w:sz w:val="32"/>
          <w:szCs w:val="32"/>
        </w:rPr>
      </w:pPr>
    </w:p>
    <w:p w14:paraId="78256BFB">
      <w:pPr>
        <w:rPr>
          <w:rFonts w:hint="default" w:ascii="Times New Roman" w:hAnsi="Times New Roman" w:eastAsia="仿宋" w:cs="Times New Roman"/>
          <w:sz w:val="32"/>
          <w:szCs w:val="32"/>
        </w:rPr>
      </w:pPr>
    </w:p>
    <w:p w14:paraId="7DB8C512">
      <w:pPr>
        <w:rPr>
          <w:rFonts w:hint="default" w:ascii="Times New Roman" w:hAnsi="Times New Roman" w:eastAsia="仿宋" w:cs="Times New Roman"/>
          <w:sz w:val="32"/>
          <w:szCs w:val="32"/>
        </w:rPr>
      </w:pPr>
    </w:p>
    <w:p w14:paraId="6088C208">
      <w:pPr>
        <w:rPr>
          <w:rFonts w:hint="default" w:ascii="Times New Roman" w:hAnsi="Times New Roman" w:eastAsia="仿宋" w:cs="Times New Roman"/>
          <w:sz w:val="32"/>
          <w:szCs w:val="32"/>
        </w:rPr>
      </w:pPr>
    </w:p>
    <w:p w14:paraId="223C8B61">
      <w:pPr>
        <w:rPr>
          <w:rFonts w:hint="default" w:ascii="Times New Roman" w:hAnsi="Times New Roman" w:eastAsia="仿宋" w:cs="Times New Roman"/>
          <w:sz w:val="32"/>
          <w:szCs w:val="32"/>
        </w:rPr>
      </w:pPr>
    </w:p>
    <w:p w14:paraId="655C47ED">
      <w:pPr>
        <w:rPr>
          <w:rFonts w:hint="default" w:ascii="Times New Roman" w:hAnsi="Times New Roman" w:eastAsia="仿宋" w:cs="Times New Roman"/>
          <w:sz w:val="32"/>
          <w:szCs w:val="32"/>
        </w:rPr>
      </w:pPr>
    </w:p>
    <w:p w14:paraId="5C50506F">
      <w:pPr>
        <w:rPr>
          <w:rFonts w:hint="default" w:ascii="Times New Roman" w:hAnsi="Times New Roman" w:eastAsia="仿宋" w:cs="Times New Roman"/>
          <w:sz w:val="32"/>
          <w:szCs w:val="32"/>
        </w:rPr>
      </w:pPr>
    </w:p>
    <w:p w14:paraId="23B6CC21">
      <w:pPr>
        <w:rPr>
          <w:rFonts w:hint="default" w:ascii="Times New Roman" w:hAnsi="Times New Roman" w:eastAsia="仿宋" w:cs="Times New Roman"/>
          <w:sz w:val="32"/>
          <w:szCs w:val="32"/>
        </w:rPr>
      </w:pPr>
    </w:p>
    <w:p w14:paraId="316839BE">
      <w:pPr>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2</w:t>
      </w:r>
    </w:p>
    <w:p w14:paraId="59BCECA0">
      <w:pPr>
        <w:pStyle w:val="6"/>
        <w:snapToGrid w:val="0"/>
        <w:ind w:firstLine="480"/>
        <w:jc w:val="center"/>
        <w:rPr>
          <w:rFonts w:ascii="仿宋" w:hAnsi="仿宋" w:eastAsia="仿宋"/>
          <w:b/>
          <w:sz w:val="36"/>
          <w:szCs w:val="28"/>
        </w:rPr>
      </w:pPr>
      <w:r>
        <w:rPr>
          <w:rFonts w:hint="eastAsia" w:ascii="仿宋" w:hAnsi="仿宋" w:eastAsia="仿宋"/>
          <w:b/>
          <w:sz w:val="36"/>
          <w:szCs w:val="28"/>
          <w:lang w:val="en-US" w:eastAsia="zh-CN"/>
        </w:rPr>
        <w:t>项目</w:t>
      </w:r>
      <w:r>
        <w:rPr>
          <w:rFonts w:hint="eastAsia" w:ascii="仿宋" w:hAnsi="仿宋" w:eastAsia="仿宋"/>
          <w:b/>
          <w:sz w:val="36"/>
          <w:szCs w:val="28"/>
        </w:rPr>
        <w:t>评分表</w:t>
      </w:r>
    </w:p>
    <w:tbl>
      <w:tblPr>
        <w:tblStyle w:val="13"/>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317"/>
        <w:gridCol w:w="6182"/>
        <w:gridCol w:w="826"/>
      </w:tblGrid>
      <w:tr w14:paraId="72D3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341" w:type="pct"/>
            <w:noWrap w:val="0"/>
            <w:vAlign w:val="center"/>
          </w:tcPr>
          <w:p w14:paraId="5E498750">
            <w:pPr>
              <w:snapToGrid w:val="0"/>
              <w:jc w:val="center"/>
              <w:rPr>
                <w:rFonts w:ascii="仿宋" w:hAnsi="仿宋" w:eastAsia="仿宋"/>
                <w:b/>
                <w:sz w:val="28"/>
                <w:szCs w:val="28"/>
              </w:rPr>
            </w:pPr>
            <w:r>
              <w:rPr>
                <w:rFonts w:hint="eastAsia" w:ascii="仿宋" w:hAnsi="仿宋" w:eastAsia="仿宋"/>
                <w:b/>
                <w:sz w:val="28"/>
                <w:szCs w:val="28"/>
              </w:rPr>
              <w:t>序号</w:t>
            </w:r>
          </w:p>
        </w:tc>
        <w:tc>
          <w:tcPr>
            <w:tcW w:w="737" w:type="pct"/>
            <w:noWrap w:val="0"/>
            <w:vAlign w:val="center"/>
          </w:tcPr>
          <w:p w14:paraId="47E09278">
            <w:pPr>
              <w:snapToGrid w:val="0"/>
              <w:jc w:val="center"/>
              <w:rPr>
                <w:rFonts w:ascii="仿宋" w:hAnsi="仿宋" w:eastAsia="仿宋"/>
                <w:b/>
                <w:sz w:val="28"/>
                <w:szCs w:val="28"/>
              </w:rPr>
            </w:pPr>
            <w:r>
              <w:rPr>
                <w:rFonts w:hint="eastAsia" w:ascii="仿宋" w:hAnsi="仿宋" w:eastAsia="仿宋"/>
                <w:b/>
                <w:sz w:val="28"/>
                <w:szCs w:val="28"/>
              </w:rPr>
              <w:t>评分项目及权重</w:t>
            </w:r>
          </w:p>
        </w:tc>
        <w:tc>
          <w:tcPr>
            <w:tcW w:w="3460" w:type="pct"/>
            <w:noWrap w:val="0"/>
            <w:vAlign w:val="center"/>
          </w:tcPr>
          <w:p w14:paraId="31601DDD">
            <w:pPr>
              <w:pStyle w:val="6"/>
              <w:snapToGrid w:val="0"/>
              <w:ind w:firstLine="480"/>
              <w:jc w:val="center"/>
              <w:rPr>
                <w:rFonts w:ascii="仿宋" w:hAnsi="仿宋" w:eastAsia="仿宋"/>
                <w:b/>
                <w:sz w:val="28"/>
                <w:szCs w:val="28"/>
              </w:rPr>
            </w:pPr>
            <w:r>
              <w:rPr>
                <w:rFonts w:hint="eastAsia" w:ascii="仿宋" w:hAnsi="仿宋" w:eastAsia="仿宋"/>
                <w:b/>
                <w:sz w:val="28"/>
                <w:szCs w:val="28"/>
              </w:rPr>
              <w:t>评分标准</w:t>
            </w:r>
          </w:p>
        </w:tc>
        <w:tc>
          <w:tcPr>
            <w:tcW w:w="462" w:type="pct"/>
            <w:noWrap w:val="0"/>
            <w:vAlign w:val="center"/>
          </w:tcPr>
          <w:p w14:paraId="5E90317A">
            <w:pPr>
              <w:pStyle w:val="6"/>
              <w:snapToGrid w:val="0"/>
              <w:jc w:val="center"/>
              <w:rPr>
                <w:rFonts w:ascii="仿宋" w:hAnsi="仿宋" w:eastAsia="仿宋"/>
                <w:b/>
                <w:sz w:val="28"/>
                <w:szCs w:val="28"/>
              </w:rPr>
            </w:pPr>
            <w:r>
              <w:rPr>
                <w:rFonts w:hint="eastAsia" w:ascii="仿宋" w:hAnsi="仿宋" w:eastAsia="仿宋"/>
                <w:b/>
                <w:sz w:val="28"/>
                <w:szCs w:val="28"/>
              </w:rPr>
              <w:t>得分</w:t>
            </w:r>
          </w:p>
        </w:tc>
      </w:tr>
      <w:tr w14:paraId="482B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2" w:hRule="atLeast"/>
          <w:jc w:val="center"/>
        </w:trPr>
        <w:tc>
          <w:tcPr>
            <w:tcW w:w="341" w:type="pct"/>
            <w:noWrap w:val="0"/>
            <w:vAlign w:val="center"/>
          </w:tcPr>
          <w:p w14:paraId="3E4CFF01">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1</w:t>
            </w:r>
          </w:p>
        </w:tc>
        <w:tc>
          <w:tcPr>
            <w:tcW w:w="737" w:type="pct"/>
            <w:noWrap w:val="0"/>
            <w:vAlign w:val="center"/>
          </w:tcPr>
          <w:p w14:paraId="2C463275">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实施方案</w:t>
            </w:r>
          </w:p>
          <w:p w14:paraId="1F7955B1">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 w:eastAsia="zh-CN"/>
              </w:rPr>
              <w:t>20</w:t>
            </w:r>
            <w:r>
              <w:rPr>
                <w:rFonts w:hint="eastAsia" w:ascii="仿宋_GB2312" w:hAnsi="宋体" w:eastAsia="仿宋_GB2312" w:cs="宋体"/>
                <w:kern w:val="0"/>
                <w:sz w:val="24"/>
                <w:szCs w:val="24"/>
                <w:lang w:val="en"/>
              </w:rPr>
              <w:t>分）</w:t>
            </w:r>
          </w:p>
        </w:tc>
        <w:tc>
          <w:tcPr>
            <w:tcW w:w="3460" w:type="pct"/>
            <w:noWrap w:val="0"/>
            <w:vAlign w:val="center"/>
          </w:tcPr>
          <w:p w14:paraId="10F8CBEC">
            <w:pPr>
              <w:snapToGrid w:val="0"/>
              <w:spacing w:line="240" w:lineRule="atLeast"/>
              <w:rPr>
                <w:rFonts w:ascii="仿宋_GB2312" w:hAnsi="宋体" w:eastAsia="仿宋_GB2312" w:cs="宋体"/>
                <w:kern w:val="0"/>
                <w:sz w:val="24"/>
                <w:szCs w:val="24"/>
                <w:lang w:val="en"/>
              </w:rPr>
            </w:pPr>
            <w:r>
              <w:rPr>
                <w:rFonts w:ascii="仿宋_GB2312" w:hAnsi="宋体" w:eastAsia="仿宋_GB2312" w:cs="宋体"/>
                <w:kern w:val="0"/>
                <w:sz w:val="24"/>
                <w:szCs w:val="24"/>
                <w:lang w:val="en"/>
              </w:rPr>
              <w:t>对项目要求分析准确，具体方案全面、详细合理；服务实施流程科学、可行</w:t>
            </w:r>
            <w:r>
              <w:rPr>
                <w:rFonts w:hint="eastAsia" w:ascii="仿宋_GB2312" w:hAnsi="宋体" w:eastAsia="仿宋_GB2312" w:cs="宋体"/>
                <w:kern w:val="0"/>
                <w:sz w:val="24"/>
                <w:szCs w:val="24"/>
                <w:lang w:val="en"/>
              </w:rPr>
              <w:t>，完全</w:t>
            </w:r>
            <w:r>
              <w:rPr>
                <w:rFonts w:ascii="仿宋_GB2312" w:hAnsi="宋体" w:eastAsia="仿宋_GB2312" w:cs="宋体"/>
                <w:kern w:val="0"/>
                <w:sz w:val="24"/>
                <w:szCs w:val="24"/>
                <w:lang w:val="en"/>
              </w:rPr>
              <w:t>满足用户需求</w:t>
            </w:r>
            <w:r>
              <w:rPr>
                <w:rFonts w:hint="eastAsia" w:ascii="仿宋_GB2312" w:hAnsi="宋体" w:eastAsia="仿宋_GB2312" w:cs="宋体"/>
                <w:kern w:val="0"/>
                <w:sz w:val="24"/>
                <w:szCs w:val="24"/>
                <w:lang w:val="en"/>
              </w:rPr>
              <w:t>，得20分</w:t>
            </w:r>
            <w:r>
              <w:rPr>
                <w:rFonts w:ascii="仿宋_GB2312" w:hAnsi="宋体" w:eastAsia="仿宋_GB2312" w:cs="宋体"/>
                <w:kern w:val="0"/>
                <w:sz w:val="24"/>
                <w:szCs w:val="24"/>
                <w:lang w:val="en"/>
              </w:rPr>
              <w:t>；</w:t>
            </w:r>
          </w:p>
          <w:p w14:paraId="156CF71E">
            <w:pPr>
              <w:snapToGrid w:val="0"/>
              <w:spacing w:line="240" w:lineRule="atLeast"/>
              <w:rPr>
                <w:rFonts w:ascii="仿宋_GB2312" w:hAnsi="宋体" w:eastAsia="仿宋_GB2312" w:cs="宋体"/>
                <w:kern w:val="0"/>
                <w:sz w:val="24"/>
                <w:szCs w:val="24"/>
                <w:lang w:val="en"/>
              </w:rPr>
            </w:pPr>
            <w:r>
              <w:rPr>
                <w:rFonts w:ascii="仿宋_GB2312" w:hAnsi="宋体" w:eastAsia="仿宋_GB2312" w:cs="宋体"/>
                <w:kern w:val="0"/>
                <w:sz w:val="24"/>
                <w:szCs w:val="24"/>
                <w:lang w:val="en"/>
              </w:rPr>
              <w:t>对项目要求分析</w:t>
            </w:r>
            <w:r>
              <w:rPr>
                <w:rFonts w:hint="eastAsia" w:ascii="仿宋_GB2312" w:hAnsi="宋体" w:eastAsia="仿宋_GB2312" w:cs="宋体"/>
                <w:kern w:val="0"/>
                <w:sz w:val="24"/>
                <w:szCs w:val="24"/>
                <w:lang w:val="en"/>
              </w:rPr>
              <w:t>较</w:t>
            </w:r>
            <w:r>
              <w:rPr>
                <w:rFonts w:ascii="仿宋_GB2312" w:hAnsi="宋体" w:eastAsia="仿宋_GB2312" w:cs="宋体"/>
                <w:kern w:val="0"/>
                <w:sz w:val="24"/>
                <w:szCs w:val="24"/>
                <w:lang w:val="en"/>
              </w:rPr>
              <w:t>准确，具体方案较全面、较合理；服务实施流程</w:t>
            </w:r>
            <w:r>
              <w:rPr>
                <w:rFonts w:hint="eastAsia" w:ascii="仿宋_GB2312" w:hAnsi="宋体" w:eastAsia="仿宋_GB2312" w:cs="宋体"/>
                <w:kern w:val="0"/>
                <w:sz w:val="24"/>
                <w:szCs w:val="24"/>
                <w:lang w:val="en"/>
              </w:rPr>
              <w:t>较</w:t>
            </w:r>
            <w:r>
              <w:rPr>
                <w:rFonts w:ascii="仿宋_GB2312" w:hAnsi="宋体" w:eastAsia="仿宋_GB2312" w:cs="宋体"/>
                <w:kern w:val="0"/>
                <w:sz w:val="24"/>
                <w:szCs w:val="24"/>
                <w:lang w:val="en"/>
              </w:rPr>
              <w:t>可行</w:t>
            </w:r>
            <w:r>
              <w:rPr>
                <w:rFonts w:hint="eastAsia" w:ascii="仿宋_GB2312" w:hAnsi="宋体" w:eastAsia="仿宋_GB2312" w:cs="宋体"/>
                <w:kern w:val="0"/>
                <w:sz w:val="24"/>
                <w:szCs w:val="24"/>
                <w:lang w:val="en"/>
              </w:rPr>
              <w:t>，</w:t>
            </w:r>
            <w:r>
              <w:rPr>
                <w:rFonts w:ascii="仿宋_GB2312" w:hAnsi="宋体" w:eastAsia="仿宋_GB2312" w:cs="宋体"/>
                <w:kern w:val="0"/>
                <w:sz w:val="24"/>
                <w:szCs w:val="24"/>
                <w:lang w:val="en"/>
              </w:rPr>
              <w:t>满足用户需求</w:t>
            </w:r>
            <w:r>
              <w:rPr>
                <w:rFonts w:hint="eastAsia" w:ascii="仿宋_GB2312" w:hAnsi="宋体" w:eastAsia="仿宋_GB2312" w:cs="宋体"/>
                <w:kern w:val="0"/>
                <w:sz w:val="24"/>
                <w:szCs w:val="24"/>
                <w:lang w:val="en"/>
              </w:rPr>
              <w:t>，得16分</w:t>
            </w:r>
            <w:r>
              <w:rPr>
                <w:rFonts w:ascii="仿宋_GB2312" w:hAnsi="宋体" w:eastAsia="仿宋_GB2312" w:cs="宋体"/>
                <w:kern w:val="0"/>
                <w:sz w:val="24"/>
                <w:szCs w:val="24"/>
                <w:lang w:val="en"/>
              </w:rPr>
              <w:t>；</w:t>
            </w:r>
          </w:p>
          <w:p w14:paraId="11628B13">
            <w:pPr>
              <w:snapToGrid w:val="0"/>
              <w:spacing w:line="240" w:lineRule="atLeast"/>
              <w:rPr>
                <w:rFonts w:ascii="仿宋_GB2312" w:hAnsi="宋体" w:eastAsia="仿宋_GB2312" w:cs="宋体"/>
                <w:kern w:val="0"/>
                <w:sz w:val="24"/>
                <w:szCs w:val="24"/>
                <w:lang w:val="en"/>
              </w:rPr>
            </w:pPr>
            <w:r>
              <w:rPr>
                <w:rFonts w:ascii="仿宋_GB2312" w:hAnsi="宋体" w:eastAsia="仿宋_GB2312" w:cs="宋体"/>
                <w:kern w:val="0"/>
                <w:sz w:val="24"/>
                <w:szCs w:val="24"/>
                <w:lang w:val="en"/>
              </w:rPr>
              <w:t>对项目要求分析基本准确，具体方案</w:t>
            </w:r>
            <w:r>
              <w:rPr>
                <w:rFonts w:hint="eastAsia" w:ascii="仿宋_GB2312" w:hAnsi="宋体" w:eastAsia="仿宋_GB2312" w:cs="宋体"/>
                <w:kern w:val="0"/>
                <w:sz w:val="24"/>
                <w:szCs w:val="24"/>
                <w:lang w:val="en"/>
              </w:rPr>
              <w:t>基本</w:t>
            </w:r>
            <w:r>
              <w:rPr>
                <w:rFonts w:ascii="仿宋_GB2312" w:hAnsi="宋体" w:eastAsia="仿宋_GB2312" w:cs="宋体"/>
                <w:kern w:val="0"/>
                <w:sz w:val="24"/>
                <w:szCs w:val="24"/>
                <w:lang w:val="en"/>
              </w:rPr>
              <w:t>全面、合理；服务实施流程</w:t>
            </w:r>
            <w:r>
              <w:rPr>
                <w:rFonts w:hint="eastAsia" w:ascii="仿宋_GB2312" w:hAnsi="宋体" w:eastAsia="仿宋_GB2312" w:cs="宋体"/>
                <w:kern w:val="0"/>
                <w:sz w:val="24"/>
                <w:szCs w:val="24"/>
                <w:lang w:val="en"/>
              </w:rPr>
              <w:t>基本</w:t>
            </w:r>
            <w:r>
              <w:rPr>
                <w:rFonts w:ascii="仿宋_GB2312" w:hAnsi="宋体" w:eastAsia="仿宋_GB2312" w:cs="宋体"/>
                <w:kern w:val="0"/>
                <w:sz w:val="24"/>
                <w:szCs w:val="24"/>
                <w:lang w:val="en"/>
              </w:rPr>
              <w:t>可行</w:t>
            </w:r>
            <w:r>
              <w:rPr>
                <w:rFonts w:hint="eastAsia" w:ascii="仿宋_GB2312" w:hAnsi="宋体" w:eastAsia="仿宋_GB2312" w:cs="宋体"/>
                <w:kern w:val="0"/>
                <w:sz w:val="24"/>
                <w:szCs w:val="24"/>
                <w:lang w:val="en"/>
              </w:rPr>
              <w:t>，基本</w:t>
            </w:r>
            <w:r>
              <w:rPr>
                <w:rFonts w:ascii="仿宋_GB2312" w:hAnsi="宋体" w:eastAsia="仿宋_GB2312" w:cs="宋体"/>
                <w:kern w:val="0"/>
                <w:sz w:val="24"/>
                <w:szCs w:val="24"/>
                <w:lang w:val="en"/>
              </w:rPr>
              <w:t>满足用户需求</w:t>
            </w:r>
            <w:r>
              <w:rPr>
                <w:rFonts w:hint="eastAsia" w:ascii="仿宋_GB2312" w:hAnsi="宋体" w:eastAsia="仿宋_GB2312" w:cs="宋体"/>
                <w:kern w:val="0"/>
                <w:sz w:val="24"/>
                <w:szCs w:val="24"/>
                <w:lang w:val="en"/>
              </w:rPr>
              <w:t>，得12分</w:t>
            </w:r>
            <w:r>
              <w:rPr>
                <w:rFonts w:ascii="仿宋_GB2312" w:hAnsi="宋体" w:eastAsia="仿宋_GB2312" w:cs="宋体"/>
                <w:kern w:val="0"/>
                <w:sz w:val="24"/>
                <w:szCs w:val="24"/>
                <w:lang w:val="en"/>
              </w:rPr>
              <w:t>；</w:t>
            </w:r>
          </w:p>
          <w:p w14:paraId="48E38F92">
            <w:pPr>
              <w:snapToGrid w:val="0"/>
              <w:spacing w:line="240" w:lineRule="atLeast"/>
              <w:rPr>
                <w:rFonts w:ascii="仿宋_GB2312" w:hAnsi="宋体" w:eastAsia="仿宋_GB2312" w:cs="宋体"/>
                <w:kern w:val="0"/>
                <w:sz w:val="24"/>
                <w:szCs w:val="24"/>
                <w:lang w:val="en"/>
              </w:rPr>
            </w:pPr>
            <w:r>
              <w:rPr>
                <w:rFonts w:ascii="仿宋_GB2312" w:hAnsi="宋体" w:eastAsia="仿宋_GB2312" w:cs="宋体"/>
                <w:kern w:val="0"/>
                <w:sz w:val="24"/>
                <w:szCs w:val="24"/>
                <w:lang w:val="en"/>
              </w:rPr>
              <w:t>对项目要求分析一般，具体方案</w:t>
            </w:r>
            <w:r>
              <w:rPr>
                <w:rFonts w:hint="eastAsia" w:ascii="仿宋_GB2312" w:hAnsi="宋体" w:eastAsia="仿宋_GB2312" w:cs="宋体"/>
                <w:kern w:val="0"/>
                <w:sz w:val="24"/>
                <w:szCs w:val="24"/>
                <w:lang w:val="en"/>
              </w:rPr>
              <w:t>不够全面、</w:t>
            </w:r>
            <w:r>
              <w:rPr>
                <w:rFonts w:ascii="仿宋_GB2312" w:hAnsi="宋体" w:eastAsia="仿宋_GB2312" w:cs="宋体"/>
                <w:kern w:val="0"/>
                <w:sz w:val="24"/>
                <w:szCs w:val="24"/>
                <w:lang w:val="en"/>
              </w:rPr>
              <w:t>合理；服务实施流程</w:t>
            </w:r>
            <w:r>
              <w:rPr>
                <w:rFonts w:hint="eastAsia" w:ascii="仿宋_GB2312" w:hAnsi="宋体" w:eastAsia="仿宋_GB2312" w:cs="宋体"/>
                <w:kern w:val="0"/>
                <w:sz w:val="24"/>
                <w:szCs w:val="24"/>
                <w:lang w:val="en"/>
              </w:rPr>
              <w:t>有一定可行性，</w:t>
            </w:r>
            <w:r>
              <w:rPr>
                <w:rFonts w:ascii="仿宋_GB2312" w:hAnsi="宋体" w:eastAsia="仿宋_GB2312" w:cs="宋体"/>
                <w:kern w:val="0"/>
                <w:sz w:val="24"/>
                <w:szCs w:val="24"/>
                <w:lang w:val="en"/>
              </w:rPr>
              <w:t>基本满足用户需求</w:t>
            </w:r>
            <w:r>
              <w:rPr>
                <w:rFonts w:hint="eastAsia" w:ascii="仿宋_GB2312" w:hAnsi="宋体" w:eastAsia="仿宋_GB2312" w:cs="宋体"/>
                <w:kern w:val="0"/>
                <w:sz w:val="24"/>
                <w:szCs w:val="24"/>
                <w:lang w:val="en"/>
              </w:rPr>
              <w:t>，得8分</w:t>
            </w:r>
            <w:r>
              <w:rPr>
                <w:rFonts w:ascii="仿宋_GB2312" w:hAnsi="宋体" w:eastAsia="仿宋_GB2312" w:cs="宋体"/>
                <w:kern w:val="0"/>
                <w:sz w:val="24"/>
                <w:szCs w:val="24"/>
                <w:lang w:val="en"/>
              </w:rPr>
              <w:t>；</w:t>
            </w:r>
          </w:p>
          <w:p w14:paraId="313F9861">
            <w:pPr>
              <w:snapToGrid w:val="0"/>
              <w:spacing w:line="240" w:lineRule="atLeas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对项目要求分析不准确，</w:t>
            </w:r>
            <w:r>
              <w:rPr>
                <w:rFonts w:ascii="仿宋_GB2312" w:hAnsi="宋体" w:eastAsia="仿宋_GB2312" w:cs="宋体"/>
                <w:kern w:val="0"/>
                <w:sz w:val="24"/>
                <w:szCs w:val="24"/>
                <w:lang w:val="en"/>
              </w:rPr>
              <w:t>具体方案不合理；服务实施流程</w:t>
            </w:r>
            <w:r>
              <w:rPr>
                <w:rFonts w:hint="eastAsia" w:ascii="仿宋_GB2312" w:hAnsi="宋体" w:eastAsia="仿宋_GB2312" w:cs="宋体"/>
                <w:kern w:val="0"/>
                <w:sz w:val="24"/>
                <w:szCs w:val="24"/>
                <w:lang w:val="en"/>
              </w:rPr>
              <w:t>可行性低，无法</w:t>
            </w:r>
            <w:r>
              <w:rPr>
                <w:rFonts w:ascii="仿宋_GB2312" w:hAnsi="宋体" w:eastAsia="仿宋_GB2312" w:cs="宋体"/>
                <w:kern w:val="0"/>
                <w:sz w:val="24"/>
                <w:szCs w:val="24"/>
                <w:lang w:val="en"/>
              </w:rPr>
              <w:t>满足用户需求</w:t>
            </w:r>
            <w:r>
              <w:rPr>
                <w:rFonts w:hint="eastAsia" w:ascii="仿宋_GB2312" w:hAnsi="宋体" w:eastAsia="仿宋_GB2312" w:cs="宋体"/>
                <w:kern w:val="0"/>
                <w:sz w:val="24"/>
                <w:szCs w:val="24"/>
                <w:lang w:val="en"/>
              </w:rPr>
              <w:t>或未提供方案的，得0分</w:t>
            </w:r>
            <w:r>
              <w:rPr>
                <w:rFonts w:ascii="仿宋_GB2312" w:hAnsi="宋体" w:eastAsia="仿宋_GB2312" w:cs="宋体"/>
                <w:kern w:val="0"/>
                <w:sz w:val="24"/>
                <w:szCs w:val="24"/>
                <w:lang w:val="en"/>
              </w:rPr>
              <w:t>。</w:t>
            </w:r>
          </w:p>
        </w:tc>
        <w:tc>
          <w:tcPr>
            <w:tcW w:w="462" w:type="pct"/>
            <w:noWrap w:val="0"/>
            <w:vAlign w:val="center"/>
          </w:tcPr>
          <w:p w14:paraId="11D17E6B">
            <w:pPr>
              <w:pStyle w:val="6"/>
              <w:snapToGrid w:val="0"/>
              <w:ind w:firstLine="480"/>
              <w:jc w:val="center"/>
              <w:rPr>
                <w:rFonts w:ascii="仿宋" w:hAnsi="仿宋" w:eastAsia="仿宋"/>
                <w:sz w:val="24"/>
                <w:szCs w:val="24"/>
              </w:rPr>
            </w:pPr>
          </w:p>
        </w:tc>
      </w:tr>
      <w:tr w14:paraId="1753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2" w:hRule="atLeast"/>
          <w:jc w:val="center"/>
        </w:trPr>
        <w:tc>
          <w:tcPr>
            <w:tcW w:w="341" w:type="pct"/>
            <w:noWrap w:val="0"/>
            <w:vAlign w:val="center"/>
          </w:tcPr>
          <w:p w14:paraId="5C00E682">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2</w:t>
            </w:r>
          </w:p>
        </w:tc>
        <w:tc>
          <w:tcPr>
            <w:tcW w:w="737" w:type="pct"/>
            <w:noWrap w:val="0"/>
            <w:vAlign w:val="center"/>
          </w:tcPr>
          <w:p w14:paraId="45187848">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进度保障措施（</w:t>
            </w:r>
            <w:r>
              <w:rPr>
                <w:rFonts w:hint="eastAsia" w:ascii="仿宋_GB2312" w:hAnsi="宋体" w:eastAsia="仿宋_GB2312" w:cs="宋体"/>
                <w:kern w:val="0"/>
                <w:sz w:val="24"/>
                <w:szCs w:val="24"/>
                <w:lang w:val="en" w:eastAsia="zh-CN"/>
              </w:rPr>
              <w:t>20</w:t>
            </w:r>
            <w:r>
              <w:rPr>
                <w:rFonts w:hint="eastAsia" w:ascii="仿宋_GB2312" w:hAnsi="宋体" w:eastAsia="仿宋_GB2312" w:cs="宋体"/>
                <w:kern w:val="0"/>
                <w:sz w:val="24"/>
                <w:szCs w:val="24"/>
                <w:lang w:val="en"/>
              </w:rPr>
              <w:t>分）</w:t>
            </w:r>
          </w:p>
        </w:tc>
        <w:tc>
          <w:tcPr>
            <w:tcW w:w="3460" w:type="pct"/>
            <w:noWrap w:val="0"/>
            <w:vAlign w:val="center"/>
          </w:tcPr>
          <w:p w14:paraId="39A7F4F4">
            <w:pPr>
              <w:snapToGrid w:val="0"/>
              <w:spacing w:line="240" w:lineRule="atLeas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项目管理、进度安排完善、具体、全面，项目管理及进度安排合理高效、可操作性强，有计划保障，得20分；</w:t>
            </w:r>
          </w:p>
          <w:p w14:paraId="1296FCC4">
            <w:pPr>
              <w:snapToGrid w:val="0"/>
              <w:spacing w:line="240" w:lineRule="atLeas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项目管理、进度安排较完善，项目管理及进度安排较合理高效、可操作性较强，得16分；</w:t>
            </w:r>
          </w:p>
          <w:p w14:paraId="146DCDB8">
            <w:pPr>
              <w:snapToGrid w:val="0"/>
              <w:spacing w:line="240" w:lineRule="atLeas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项目管理、进度安排基本完善，项目管理及进度安排不够合理、可操作性一般，得12分；</w:t>
            </w:r>
          </w:p>
          <w:p w14:paraId="531A7CFB">
            <w:pPr>
              <w:snapToGrid w:val="0"/>
              <w:spacing w:line="240" w:lineRule="atLeas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项目管理、进度安排不完善，项目管理及进度安排不合理、可操作性低，得</w:t>
            </w:r>
            <w:r>
              <w:rPr>
                <w:rFonts w:hint="eastAsia" w:ascii="仿宋_GB2312" w:hAnsi="宋体" w:eastAsia="仿宋_GB2312" w:cs="宋体"/>
                <w:kern w:val="0"/>
                <w:sz w:val="24"/>
                <w:szCs w:val="24"/>
              </w:rPr>
              <w:t>8</w:t>
            </w:r>
            <w:r>
              <w:rPr>
                <w:rFonts w:hint="eastAsia" w:ascii="仿宋_GB2312" w:hAnsi="宋体" w:eastAsia="仿宋_GB2312" w:cs="宋体"/>
                <w:kern w:val="0"/>
                <w:sz w:val="24"/>
                <w:szCs w:val="24"/>
                <w:lang w:val="en"/>
              </w:rPr>
              <w:t>分；</w:t>
            </w:r>
          </w:p>
          <w:p w14:paraId="2BE2DBA7">
            <w:pPr>
              <w:widowControl/>
              <w:shd w:val="clear" w:color="auto" w:fill="FFFFFF"/>
              <w:jc w:val="lef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没有项目管理、进度安排，得0分。</w:t>
            </w:r>
          </w:p>
        </w:tc>
        <w:tc>
          <w:tcPr>
            <w:tcW w:w="462" w:type="pct"/>
            <w:noWrap w:val="0"/>
            <w:vAlign w:val="center"/>
          </w:tcPr>
          <w:p w14:paraId="45B05ED9">
            <w:pPr>
              <w:pStyle w:val="6"/>
              <w:snapToGrid w:val="0"/>
              <w:ind w:firstLine="480"/>
              <w:jc w:val="center"/>
              <w:rPr>
                <w:rFonts w:ascii="仿宋" w:hAnsi="仿宋" w:eastAsia="仿宋"/>
                <w:sz w:val="24"/>
                <w:szCs w:val="24"/>
              </w:rPr>
            </w:pPr>
          </w:p>
        </w:tc>
      </w:tr>
      <w:tr w14:paraId="2064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1" w:hRule="atLeast"/>
          <w:jc w:val="center"/>
        </w:trPr>
        <w:tc>
          <w:tcPr>
            <w:tcW w:w="341" w:type="pct"/>
            <w:noWrap w:val="0"/>
            <w:vAlign w:val="center"/>
          </w:tcPr>
          <w:p w14:paraId="5532F8D6">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3</w:t>
            </w:r>
          </w:p>
        </w:tc>
        <w:tc>
          <w:tcPr>
            <w:tcW w:w="737" w:type="pct"/>
            <w:noWrap w:val="0"/>
            <w:vAlign w:val="center"/>
          </w:tcPr>
          <w:p w14:paraId="3DE71D60">
            <w:pPr>
              <w:snapToGrid w:val="0"/>
              <w:jc w:val="center"/>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成果质量保证措施</w:t>
            </w:r>
          </w:p>
          <w:p w14:paraId="64F7D992">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 w:eastAsia="zh-CN"/>
              </w:rPr>
              <w:t>20</w:t>
            </w:r>
            <w:r>
              <w:rPr>
                <w:rFonts w:hint="eastAsia" w:ascii="仿宋_GB2312" w:hAnsi="宋体" w:eastAsia="仿宋_GB2312" w:cs="宋体"/>
                <w:kern w:val="0"/>
                <w:sz w:val="24"/>
                <w:szCs w:val="24"/>
                <w:lang w:val="en"/>
              </w:rPr>
              <w:t>分）</w:t>
            </w:r>
          </w:p>
        </w:tc>
        <w:tc>
          <w:tcPr>
            <w:tcW w:w="3460" w:type="pct"/>
            <w:noWrap w:val="0"/>
            <w:vAlign w:val="center"/>
          </w:tcPr>
          <w:p w14:paraId="5B4C34D2">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对比项目成果质量保证措施是否全面、合理，保证措施是否得当，是否有针对本项目成果质量的保证措施。</w:t>
            </w:r>
          </w:p>
          <w:p w14:paraId="04A0AA08">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项目成果质量保证措施全面、合理、得当的，得20分；</w:t>
            </w:r>
          </w:p>
          <w:p w14:paraId="2811AF54">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 xml:space="preserve">项目成果质量保证措施较全面、较合理、较得当的，得16分； 项目成果质量保证措施一般的，得12分； </w:t>
            </w:r>
          </w:p>
          <w:p w14:paraId="111A0F94">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 xml:space="preserve">项目成果质量保证措施较差的，得8分； </w:t>
            </w:r>
          </w:p>
          <w:p w14:paraId="72A70E46">
            <w:pPr>
              <w:snapToGrid w:val="0"/>
              <w:spacing w:line="240" w:lineRule="atLeas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没有提供的，得</w:t>
            </w:r>
            <w:r>
              <w:rPr>
                <w:rFonts w:ascii="仿宋_GB2312" w:hAnsi="宋体" w:eastAsia="仿宋_GB2312" w:cs="宋体"/>
                <w:kern w:val="0"/>
                <w:sz w:val="24"/>
                <w:szCs w:val="24"/>
                <w:lang w:val="en"/>
              </w:rPr>
              <w:t>0</w:t>
            </w:r>
            <w:r>
              <w:rPr>
                <w:rFonts w:hint="eastAsia" w:ascii="仿宋_GB2312" w:hAnsi="宋体" w:eastAsia="仿宋_GB2312" w:cs="宋体"/>
                <w:kern w:val="0"/>
                <w:sz w:val="24"/>
                <w:szCs w:val="24"/>
                <w:lang w:val="en"/>
              </w:rPr>
              <w:t>分。</w:t>
            </w:r>
          </w:p>
        </w:tc>
        <w:tc>
          <w:tcPr>
            <w:tcW w:w="462" w:type="pct"/>
            <w:noWrap w:val="0"/>
            <w:vAlign w:val="center"/>
          </w:tcPr>
          <w:p w14:paraId="6FBF51DA">
            <w:pPr>
              <w:pStyle w:val="6"/>
              <w:snapToGrid w:val="0"/>
              <w:ind w:firstLine="480"/>
              <w:jc w:val="center"/>
              <w:rPr>
                <w:rFonts w:ascii="仿宋" w:hAnsi="仿宋" w:eastAsia="仿宋"/>
                <w:sz w:val="24"/>
                <w:szCs w:val="24"/>
              </w:rPr>
            </w:pPr>
          </w:p>
        </w:tc>
      </w:tr>
      <w:tr w14:paraId="5877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9" w:hRule="atLeast"/>
          <w:jc w:val="center"/>
        </w:trPr>
        <w:tc>
          <w:tcPr>
            <w:tcW w:w="341" w:type="pct"/>
            <w:noWrap w:val="0"/>
            <w:vAlign w:val="center"/>
          </w:tcPr>
          <w:p w14:paraId="39F61AE3">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4</w:t>
            </w:r>
          </w:p>
        </w:tc>
        <w:tc>
          <w:tcPr>
            <w:tcW w:w="737" w:type="pct"/>
            <w:noWrap w:val="0"/>
            <w:vAlign w:val="center"/>
          </w:tcPr>
          <w:p w14:paraId="78D3F971">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技术能力</w:t>
            </w:r>
          </w:p>
          <w:p w14:paraId="4BF12758">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US" w:eastAsia="zh-CN"/>
              </w:rPr>
              <w:t>15</w:t>
            </w:r>
            <w:r>
              <w:rPr>
                <w:rFonts w:hint="eastAsia" w:ascii="仿宋_GB2312" w:hAnsi="宋体" w:eastAsia="仿宋_GB2312" w:cs="宋体"/>
                <w:kern w:val="0"/>
                <w:sz w:val="24"/>
                <w:szCs w:val="24"/>
                <w:lang w:val="en"/>
              </w:rPr>
              <w:t>分）</w:t>
            </w:r>
          </w:p>
        </w:tc>
        <w:tc>
          <w:tcPr>
            <w:tcW w:w="3460" w:type="pct"/>
            <w:noWrap w:val="0"/>
            <w:vAlign w:val="center"/>
          </w:tcPr>
          <w:p w14:paraId="508F04BF">
            <w:pPr>
              <w:pStyle w:val="6"/>
              <w:numPr>
                <w:ilvl w:val="0"/>
                <w:numId w:val="3"/>
              </w:numPr>
              <w:snapToGrid w:val="0"/>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响应单位有完善的组织架构为优，得3分，次得2分，其他得1分。</w:t>
            </w:r>
          </w:p>
          <w:p w14:paraId="04D04467">
            <w:pPr>
              <w:pStyle w:val="6"/>
              <w:numPr>
                <w:ilvl w:val="0"/>
                <w:numId w:val="3"/>
              </w:numPr>
              <w:snapToGrid w:val="0"/>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US" w:eastAsia="zh-CN"/>
              </w:rPr>
              <w:t>投标人项目负责人具备环保相关专业高级职称的，得3分。</w:t>
            </w:r>
          </w:p>
          <w:p w14:paraId="47391113">
            <w:pPr>
              <w:pStyle w:val="6"/>
              <w:numPr>
                <w:ilvl w:val="0"/>
                <w:numId w:val="3"/>
              </w:numPr>
              <w:snapToGrid w:val="0"/>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投标人配备3名及以上具备环境影响评价工程师职业资格</w:t>
            </w:r>
            <w:r>
              <w:rPr>
                <w:rFonts w:hint="eastAsia" w:ascii="仿宋_GB2312" w:hAnsi="宋体" w:eastAsia="仿宋_GB2312" w:cs="宋体"/>
                <w:kern w:val="0"/>
                <w:sz w:val="24"/>
                <w:szCs w:val="24"/>
                <w:lang w:val="en" w:eastAsia="zh-CN"/>
              </w:rPr>
              <w:t>的人员</w:t>
            </w:r>
            <w:r>
              <w:rPr>
                <w:rFonts w:hint="eastAsia" w:ascii="仿宋_GB2312" w:hAnsi="宋体" w:eastAsia="仿宋_GB2312" w:cs="宋体"/>
                <w:kern w:val="0"/>
                <w:sz w:val="24"/>
                <w:szCs w:val="24"/>
                <w:lang w:val="en"/>
              </w:rPr>
              <w:t>和</w:t>
            </w:r>
            <w:r>
              <w:rPr>
                <w:rFonts w:hint="eastAsia" w:ascii="仿宋_GB2312" w:hAnsi="宋体" w:eastAsia="仿宋_GB2312" w:cs="宋体"/>
                <w:kern w:val="0"/>
                <w:sz w:val="24"/>
                <w:szCs w:val="24"/>
                <w:lang w:val="en-US" w:eastAsia="zh-CN"/>
              </w:rPr>
              <w:t>2</w:t>
            </w:r>
            <w:r>
              <w:rPr>
                <w:rFonts w:hint="eastAsia" w:ascii="仿宋_GB2312" w:hAnsi="宋体" w:eastAsia="仿宋_GB2312" w:cs="宋体"/>
                <w:kern w:val="0"/>
                <w:sz w:val="24"/>
                <w:szCs w:val="24"/>
                <w:lang w:val="en"/>
              </w:rPr>
              <w:t>名及以上环保相关专业高级工程师，每人得2分，本项最高得</w:t>
            </w:r>
            <w:r>
              <w:rPr>
                <w:rFonts w:hint="eastAsia" w:ascii="仿宋_GB2312" w:hAnsi="宋体" w:eastAsia="仿宋_GB2312" w:cs="宋体"/>
                <w:kern w:val="0"/>
                <w:sz w:val="24"/>
                <w:szCs w:val="24"/>
                <w:lang w:val="en-US" w:eastAsia="zh-CN"/>
              </w:rPr>
              <w:t>9</w:t>
            </w:r>
            <w:r>
              <w:rPr>
                <w:rFonts w:hint="eastAsia" w:ascii="仿宋_GB2312" w:hAnsi="宋体" w:eastAsia="仿宋_GB2312" w:cs="宋体"/>
                <w:kern w:val="0"/>
                <w:sz w:val="24"/>
                <w:szCs w:val="24"/>
                <w:lang w:val="en"/>
              </w:rPr>
              <w:t>分。</w:t>
            </w:r>
          </w:p>
          <w:p w14:paraId="1D827242">
            <w:pPr>
              <w:pStyle w:val="6"/>
              <w:snapToGrid w:val="0"/>
              <w:spacing w:before="156" w:beforeLines="50"/>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注：须提供上述（</w:t>
            </w:r>
            <w:r>
              <w:rPr>
                <w:rFonts w:hint="eastAsia" w:ascii="仿宋_GB2312" w:hAnsi="宋体" w:eastAsia="仿宋_GB2312" w:cs="宋体"/>
                <w:kern w:val="0"/>
                <w:sz w:val="24"/>
                <w:szCs w:val="24"/>
                <w:lang w:val="en-US" w:eastAsia="zh-CN"/>
              </w:rPr>
              <w:t>2</w:t>
            </w: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US" w:eastAsia="zh-CN"/>
              </w:rPr>
              <w:t>3</w:t>
            </w:r>
            <w:r>
              <w:rPr>
                <w:rFonts w:hint="eastAsia" w:ascii="仿宋_GB2312" w:hAnsi="宋体" w:eastAsia="仿宋_GB2312" w:cs="宋体"/>
                <w:kern w:val="0"/>
                <w:sz w:val="24"/>
                <w:szCs w:val="24"/>
                <w:lang w:val="en"/>
              </w:rPr>
              <w:t>）人员环境影响评价工程师</w:t>
            </w:r>
            <w:r>
              <w:rPr>
                <w:rFonts w:hint="eastAsia" w:ascii="仿宋_GB2312" w:hAnsi="宋体" w:eastAsia="仿宋_GB2312" w:cs="宋体"/>
                <w:kern w:val="0"/>
                <w:sz w:val="24"/>
                <w:szCs w:val="24"/>
                <w:lang w:val="en" w:eastAsia="zh-CN"/>
              </w:rPr>
              <w:t>执业</w:t>
            </w:r>
            <w:r>
              <w:rPr>
                <w:rFonts w:hint="eastAsia" w:ascii="仿宋_GB2312" w:hAnsi="宋体" w:eastAsia="仿宋_GB2312" w:cs="宋体"/>
                <w:kern w:val="0"/>
                <w:sz w:val="24"/>
                <w:szCs w:val="24"/>
                <w:lang w:val="en"/>
              </w:rPr>
              <w:t>证书复印件、高级工程师职称证书复印件</w:t>
            </w:r>
            <w:r>
              <w:rPr>
                <w:rFonts w:hint="eastAsia" w:ascii="仿宋_GB2312" w:hAnsi="宋体" w:eastAsia="仿宋_GB2312" w:cs="宋体"/>
                <w:kern w:val="0"/>
                <w:sz w:val="24"/>
                <w:szCs w:val="24"/>
                <w:lang w:val="en" w:eastAsia="zh-CN"/>
              </w:rPr>
              <w:t>，</w:t>
            </w:r>
            <w:r>
              <w:rPr>
                <w:rFonts w:hint="eastAsia" w:ascii="仿宋_GB2312" w:hAnsi="宋体" w:eastAsia="仿宋_GB2312" w:cs="宋体"/>
                <w:kern w:val="0"/>
                <w:sz w:val="24"/>
                <w:szCs w:val="24"/>
                <w:lang w:val="en"/>
              </w:rPr>
              <w:t>三个月及以上的在职社保证明复印件并加盖公章。</w:t>
            </w:r>
          </w:p>
        </w:tc>
        <w:tc>
          <w:tcPr>
            <w:tcW w:w="462" w:type="pct"/>
            <w:noWrap w:val="0"/>
            <w:vAlign w:val="center"/>
          </w:tcPr>
          <w:p w14:paraId="1CE5BC03">
            <w:pPr>
              <w:pStyle w:val="6"/>
              <w:snapToGrid w:val="0"/>
              <w:ind w:firstLine="480"/>
              <w:jc w:val="center"/>
              <w:rPr>
                <w:rFonts w:ascii="仿宋" w:hAnsi="仿宋" w:eastAsia="仿宋"/>
                <w:sz w:val="24"/>
                <w:szCs w:val="24"/>
              </w:rPr>
            </w:pPr>
          </w:p>
        </w:tc>
      </w:tr>
      <w:tr w14:paraId="4B8C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8" w:hRule="atLeast"/>
          <w:jc w:val="center"/>
        </w:trPr>
        <w:tc>
          <w:tcPr>
            <w:tcW w:w="341" w:type="pct"/>
            <w:noWrap w:val="0"/>
            <w:vAlign w:val="center"/>
          </w:tcPr>
          <w:p w14:paraId="7CCED23F">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5</w:t>
            </w:r>
          </w:p>
        </w:tc>
        <w:tc>
          <w:tcPr>
            <w:tcW w:w="737" w:type="pct"/>
            <w:noWrap w:val="0"/>
            <w:vAlign w:val="center"/>
          </w:tcPr>
          <w:p w14:paraId="6C97F39F">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工作经验</w:t>
            </w:r>
          </w:p>
          <w:p w14:paraId="7059FD14">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US" w:eastAsia="zh-CN" w:bidi="ar-SA"/>
              </w:rPr>
              <w:t>10</w:t>
            </w:r>
            <w:r>
              <w:rPr>
                <w:rFonts w:hint="eastAsia" w:ascii="仿宋_GB2312" w:hAnsi="宋体" w:eastAsia="仿宋_GB2312" w:cs="宋体"/>
                <w:kern w:val="0"/>
                <w:sz w:val="24"/>
                <w:szCs w:val="24"/>
                <w:lang w:val="en" w:eastAsia="zh-CN" w:bidi="ar-SA"/>
              </w:rPr>
              <w:t>分</w:t>
            </w:r>
            <w:r>
              <w:rPr>
                <w:rFonts w:hint="eastAsia" w:ascii="仿宋_GB2312" w:hAnsi="宋体" w:eastAsia="仿宋_GB2312" w:cs="宋体"/>
                <w:kern w:val="0"/>
                <w:sz w:val="24"/>
                <w:szCs w:val="24"/>
                <w:lang w:val="en"/>
              </w:rPr>
              <w:t>）</w:t>
            </w:r>
          </w:p>
        </w:tc>
        <w:tc>
          <w:tcPr>
            <w:tcW w:w="3460" w:type="pct"/>
            <w:noWrap w:val="0"/>
            <w:vAlign w:val="center"/>
          </w:tcPr>
          <w:p w14:paraId="2982BC72">
            <w:pPr>
              <w:pStyle w:val="2"/>
              <w:snapToGrid w:val="0"/>
              <w:spacing w:line="240" w:lineRule="auto"/>
              <w:ind w:firstLine="0" w:firstLineChars="0"/>
              <w:jc w:val="left"/>
              <w:rPr>
                <w:rFonts w:hint="eastAsia" w:ascii="仿宋_GB2312" w:hAnsi="宋体" w:eastAsia="仿宋_GB2312" w:cs="宋体"/>
                <w:snapToGrid/>
                <w:szCs w:val="24"/>
                <w:lang w:val="en-US"/>
              </w:rPr>
            </w:pPr>
          </w:p>
          <w:p w14:paraId="7EE41416">
            <w:pPr>
              <w:pStyle w:val="2"/>
              <w:snapToGrid w:val="0"/>
              <w:spacing w:line="240" w:lineRule="auto"/>
              <w:ind w:firstLine="0" w:firstLineChars="0"/>
              <w:jc w:val="left"/>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lang w:val="en-US" w:eastAsia="zh-CN" w:bidi="ar-SA"/>
              </w:rPr>
              <w:t>投标人自2020以来，承接</w:t>
            </w:r>
            <w:r>
              <w:rPr>
                <w:rFonts w:hint="eastAsia" w:ascii="仿宋_GB2312" w:hAnsi="宋体" w:eastAsia="仿宋_GB2312" w:cs="宋体"/>
                <w:kern w:val="0"/>
                <w:sz w:val="24"/>
                <w:szCs w:val="24"/>
                <w:lang w:val="en" w:eastAsia="zh-CN" w:bidi="ar-SA"/>
              </w:rPr>
              <w:t>过</w:t>
            </w:r>
            <w:r>
              <w:rPr>
                <w:rFonts w:hint="eastAsia" w:ascii="仿宋_GB2312" w:hAnsi="宋体" w:eastAsia="仿宋_GB2312" w:cs="宋体"/>
                <w:kern w:val="0"/>
                <w:sz w:val="24"/>
                <w:szCs w:val="24"/>
                <w:lang w:val="en-US" w:eastAsia="zh-CN" w:bidi="ar-SA"/>
              </w:rPr>
              <w:t>县（区）</w:t>
            </w:r>
            <w:r>
              <w:rPr>
                <w:rFonts w:hint="eastAsia" w:ascii="仿宋_GB2312" w:hAnsi="宋体" w:eastAsia="仿宋_GB2312" w:cs="宋体"/>
                <w:kern w:val="0"/>
                <w:sz w:val="24"/>
                <w:szCs w:val="24"/>
                <w:lang w:val="en" w:eastAsia="zh-CN" w:bidi="ar-SA"/>
              </w:rPr>
              <w:t>及以上政府部门排污许可相关项目</w:t>
            </w:r>
            <w:r>
              <w:rPr>
                <w:rFonts w:hint="eastAsia" w:ascii="仿宋_GB2312" w:hAnsi="宋体" w:eastAsia="仿宋_GB2312" w:cs="宋体"/>
                <w:kern w:val="0"/>
                <w:sz w:val="24"/>
                <w:szCs w:val="24"/>
                <w:lang w:val="en-US" w:eastAsia="zh-CN" w:bidi="ar-SA"/>
              </w:rPr>
              <w:t>，每项得5分，本项最高得10分。</w:t>
            </w:r>
          </w:p>
          <w:p w14:paraId="7A5B5A2E">
            <w:pPr>
              <w:pStyle w:val="6"/>
              <w:snapToGrid w:val="0"/>
              <w:spacing w:before="156" w:beforeLines="50"/>
              <w:rPr>
                <w:rFonts w:ascii="仿宋_GB2312" w:hAnsi="宋体" w:eastAsia="仿宋_GB2312" w:cs="宋体"/>
                <w:snapToGrid w:val="0"/>
                <w:kern w:val="0"/>
                <w:sz w:val="24"/>
                <w:szCs w:val="24"/>
              </w:rPr>
            </w:pPr>
            <w:r>
              <w:rPr>
                <w:rFonts w:ascii="仿宋_GB2312" w:hAnsi="宋体" w:eastAsia="仿宋_GB2312" w:cs="宋体"/>
                <w:kern w:val="0"/>
                <w:sz w:val="24"/>
                <w:szCs w:val="24"/>
                <w:lang w:val="en"/>
              </w:rPr>
              <w:t>注：提供加盖公章的合同关</w:t>
            </w:r>
            <w:r>
              <w:rPr>
                <w:rFonts w:hint="eastAsia" w:ascii="仿宋_GB2312" w:hAnsi="宋体" w:eastAsia="仿宋_GB2312" w:cs="宋体"/>
                <w:kern w:val="0"/>
                <w:sz w:val="24"/>
                <w:szCs w:val="24"/>
                <w:lang w:val="en"/>
              </w:rPr>
              <w:t>键信息（含签订合同双方的单位名称、合同项目名称、服务内容与含签订合同双方的落款盖章、签订日期的关键页）</w:t>
            </w:r>
            <w:r>
              <w:rPr>
                <w:rFonts w:ascii="仿宋_GB2312" w:hAnsi="宋体" w:eastAsia="仿宋_GB2312" w:cs="宋体"/>
                <w:kern w:val="0"/>
                <w:sz w:val="24"/>
                <w:szCs w:val="24"/>
                <w:lang w:val="en"/>
              </w:rPr>
              <w:t>复印件作为得分依据</w:t>
            </w:r>
            <w:r>
              <w:rPr>
                <w:rFonts w:hint="eastAsia" w:ascii="仿宋_GB2312" w:hAnsi="宋体" w:eastAsia="仿宋_GB2312" w:cs="宋体"/>
                <w:kern w:val="0"/>
                <w:sz w:val="24"/>
                <w:szCs w:val="24"/>
                <w:lang w:val="en"/>
              </w:rPr>
              <w:t>。</w:t>
            </w:r>
          </w:p>
        </w:tc>
        <w:tc>
          <w:tcPr>
            <w:tcW w:w="462" w:type="pct"/>
            <w:noWrap w:val="0"/>
            <w:vAlign w:val="center"/>
          </w:tcPr>
          <w:p w14:paraId="50865C4D">
            <w:pPr>
              <w:pStyle w:val="6"/>
              <w:snapToGrid w:val="0"/>
              <w:ind w:firstLine="480"/>
              <w:jc w:val="center"/>
              <w:rPr>
                <w:rFonts w:ascii="仿宋" w:hAnsi="仿宋" w:eastAsia="仿宋"/>
                <w:sz w:val="24"/>
                <w:szCs w:val="24"/>
              </w:rPr>
            </w:pPr>
          </w:p>
        </w:tc>
      </w:tr>
      <w:tr w14:paraId="533B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8" w:hRule="atLeast"/>
          <w:jc w:val="center"/>
        </w:trPr>
        <w:tc>
          <w:tcPr>
            <w:tcW w:w="341" w:type="pct"/>
            <w:noWrap w:val="0"/>
            <w:vAlign w:val="center"/>
          </w:tcPr>
          <w:p w14:paraId="041D511E">
            <w:pPr>
              <w:snapToGrid w:val="0"/>
              <w:jc w:val="center"/>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6</w:t>
            </w:r>
          </w:p>
        </w:tc>
        <w:tc>
          <w:tcPr>
            <w:tcW w:w="737" w:type="pct"/>
            <w:noWrap w:val="0"/>
            <w:vAlign w:val="center"/>
          </w:tcPr>
          <w:p w14:paraId="61351AA9">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价格评分</w:t>
            </w:r>
          </w:p>
          <w:p w14:paraId="47B06E3B">
            <w:pPr>
              <w:snapToGrid w:val="0"/>
              <w:jc w:val="center"/>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US" w:eastAsia="zh-CN" w:bidi="ar-SA"/>
              </w:rPr>
              <w:t>15</w:t>
            </w:r>
            <w:r>
              <w:rPr>
                <w:rFonts w:hint="eastAsia" w:ascii="仿宋_GB2312" w:hAnsi="宋体" w:eastAsia="仿宋_GB2312" w:cs="宋体"/>
                <w:kern w:val="0"/>
                <w:sz w:val="24"/>
                <w:szCs w:val="24"/>
                <w:lang w:val="en" w:eastAsia="zh-CN" w:bidi="ar-SA"/>
              </w:rPr>
              <w:t>分</w:t>
            </w:r>
            <w:r>
              <w:rPr>
                <w:rFonts w:hint="eastAsia" w:ascii="仿宋_GB2312" w:hAnsi="宋体" w:eastAsia="仿宋_GB2312" w:cs="宋体"/>
                <w:kern w:val="0"/>
                <w:sz w:val="24"/>
                <w:szCs w:val="24"/>
                <w:lang w:val="en"/>
              </w:rPr>
              <w:t>）</w:t>
            </w:r>
          </w:p>
        </w:tc>
        <w:tc>
          <w:tcPr>
            <w:tcW w:w="3460" w:type="pct"/>
            <w:noWrap w:val="0"/>
            <w:vAlign w:val="center"/>
          </w:tcPr>
          <w:p w14:paraId="5DE2B60F">
            <w:pPr>
              <w:pStyle w:val="2"/>
              <w:snapToGrid w:val="0"/>
              <w:spacing w:line="240" w:lineRule="auto"/>
              <w:ind w:firstLine="0" w:firstLineChars="0"/>
              <w:jc w:val="left"/>
              <w:rPr>
                <w:rFonts w:hint="eastAsia" w:ascii="仿宋_GB2312" w:hAnsi="宋体" w:eastAsia="仿宋_GB2312" w:cs="宋体"/>
                <w:snapToGrid/>
                <w:szCs w:val="24"/>
                <w:lang w:val="en-US"/>
              </w:rPr>
            </w:pPr>
          </w:p>
          <w:p w14:paraId="599176F4">
            <w:pPr>
              <w:pStyle w:val="2"/>
              <w:snapToGrid w:val="0"/>
              <w:spacing w:line="240" w:lineRule="auto"/>
              <w:ind w:firstLine="0" w:firstLineChars="0"/>
              <w:jc w:val="left"/>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lang w:val="en-US" w:eastAsia="zh-CN" w:bidi="ar-SA"/>
              </w:rPr>
              <w:t>取满足采购文件要求且价格扣除后的最低报价作为评审基准价，其价格分为满分。其他供应商的价格分统一按照下列公式计算：价格扣除后的投标报价得分=（评标基准价/价格扣除后的投标报价）×15</w:t>
            </w:r>
          </w:p>
          <w:p w14:paraId="7A3113FB">
            <w:pPr>
              <w:pStyle w:val="2"/>
              <w:snapToGrid w:val="0"/>
              <w:spacing w:line="240" w:lineRule="auto"/>
              <w:ind w:firstLine="0" w:firstLineChars="0"/>
              <w:jc w:val="left"/>
              <w:rPr>
                <w:rFonts w:hint="eastAsia" w:ascii="仿宋_GB2312" w:hAnsi="宋体" w:eastAsia="仿宋_GB2312" w:cs="宋体"/>
                <w:kern w:val="0"/>
                <w:sz w:val="24"/>
                <w:szCs w:val="24"/>
                <w:lang w:val="en-US" w:eastAsia="zh-CN" w:bidi="ar-SA"/>
              </w:rPr>
            </w:pPr>
          </w:p>
          <w:p w14:paraId="126CC917">
            <w:pPr>
              <w:pStyle w:val="2"/>
              <w:snapToGrid w:val="0"/>
              <w:spacing w:line="240" w:lineRule="auto"/>
              <w:ind w:firstLine="0" w:firstLineChars="0"/>
              <w:jc w:val="left"/>
              <w:rPr>
                <w:rFonts w:hint="eastAsia"/>
              </w:rPr>
            </w:pPr>
            <w:r>
              <w:rPr>
                <w:rFonts w:hint="eastAsia" w:ascii="仿宋_GB2312" w:hAnsi="宋体" w:eastAsia="仿宋_GB2312" w:cs="宋体"/>
                <w:kern w:val="0"/>
                <w:sz w:val="24"/>
                <w:szCs w:val="24"/>
                <w:lang w:val="en-US" w:eastAsia="zh-CN" w:bidi="ar-SA"/>
              </w:rPr>
              <w:t>（对符合规定的小型和微型企业（监狱企业、残疾人福利单位视同小型、微型企业）报价给予10%的价格扣除。）</w:t>
            </w:r>
          </w:p>
        </w:tc>
        <w:tc>
          <w:tcPr>
            <w:tcW w:w="462" w:type="pct"/>
            <w:noWrap w:val="0"/>
            <w:vAlign w:val="center"/>
          </w:tcPr>
          <w:p w14:paraId="3BA03A59">
            <w:pPr>
              <w:pStyle w:val="6"/>
              <w:snapToGrid w:val="0"/>
              <w:ind w:firstLine="480"/>
              <w:jc w:val="center"/>
              <w:rPr>
                <w:rFonts w:ascii="仿宋" w:hAnsi="仿宋" w:eastAsia="仿宋"/>
                <w:sz w:val="24"/>
                <w:szCs w:val="24"/>
              </w:rPr>
            </w:pPr>
          </w:p>
        </w:tc>
      </w:tr>
      <w:tr w14:paraId="0FF2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jc w:val="center"/>
        </w:trPr>
        <w:tc>
          <w:tcPr>
            <w:tcW w:w="1078" w:type="pct"/>
            <w:gridSpan w:val="2"/>
            <w:noWrap w:val="0"/>
            <w:vAlign w:val="center"/>
          </w:tcPr>
          <w:p w14:paraId="4DFA4231">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综合得分</w:t>
            </w:r>
          </w:p>
        </w:tc>
        <w:tc>
          <w:tcPr>
            <w:tcW w:w="3460" w:type="pct"/>
            <w:noWrap w:val="0"/>
            <w:vAlign w:val="center"/>
          </w:tcPr>
          <w:p w14:paraId="2ECE2FFA">
            <w:pPr>
              <w:pStyle w:val="6"/>
              <w:spacing w:line="480" w:lineRule="exact"/>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100分</w:t>
            </w:r>
          </w:p>
        </w:tc>
        <w:tc>
          <w:tcPr>
            <w:tcW w:w="462" w:type="pct"/>
            <w:noWrap w:val="0"/>
            <w:vAlign w:val="center"/>
          </w:tcPr>
          <w:p w14:paraId="0485945E">
            <w:pPr>
              <w:pStyle w:val="2"/>
              <w:snapToGrid w:val="0"/>
              <w:spacing w:line="240" w:lineRule="auto"/>
              <w:ind w:firstLine="480"/>
              <w:jc w:val="center"/>
              <w:rPr>
                <w:rFonts w:ascii="仿宋" w:hAnsi="仿宋" w:eastAsia="仿宋"/>
                <w:szCs w:val="24"/>
              </w:rPr>
            </w:pPr>
          </w:p>
        </w:tc>
      </w:tr>
    </w:tbl>
    <w:p w14:paraId="3F9F618E"/>
    <w:p w14:paraId="5A0EBBFD">
      <w:pPr>
        <w:rPr>
          <w:rFonts w:hint="default" w:ascii="Times New Roman" w:hAnsi="Times New Roman" w:eastAsia="仿宋" w:cs="Times New Roman"/>
          <w:sz w:val="32"/>
          <w:szCs w:val="32"/>
        </w:rPr>
        <w:sectPr>
          <w:pgSz w:w="11906" w:h="16838"/>
          <w:pgMar w:top="1418" w:right="1474" w:bottom="1701" w:left="1474" w:header="851" w:footer="1020" w:gutter="0"/>
          <w:pgNumType w:fmt="decimal"/>
          <w:cols w:space="720" w:num="1"/>
          <w:docGrid w:type="linesAndChars" w:linePitch="435" w:charSpace="0"/>
        </w:sectPr>
      </w:pPr>
    </w:p>
    <w:p w14:paraId="14902DF6">
      <w:pPr>
        <w:spacing w:line="580" w:lineRule="exact"/>
        <w:jc w:val="left"/>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附件3</w:t>
      </w:r>
    </w:p>
    <w:p w14:paraId="79D2BA83">
      <w:pPr>
        <w:spacing w:line="500" w:lineRule="exact"/>
        <w:jc w:val="center"/>
        <w:rPr>
          <w:rFonts w:hint="default" w:ascii="Times New Roman" w:hAnsi="Times New Roman" w:eastAsia="方正小标宋_GBK" w:cs="Times New Roman"/>
          <w:b w:val="0"/>
          <w:bCs/>
          <w:sz w:val="36"/>
          <w:szCs w:val="36"/>
        </w:rPr>
      </w:pPr>
      <w:r>
        <w:rPr>
          <w:rFonts w:hint="default" w:ascii="Times New Roman" w:hAnsi="Times New Roman" w:eastAsia="方正小标宋_GBK" w:cs="Times New Roman"/>
          <w:b w:val="0"/>
          <w:bCs/>
          <w:sz w:val="36"/>
          <w:szCs w:val="36"/>
        </w:rPr>
        <w:t>中小企业声明函（服务）</w:t>
      </w:r>
    </w:p>
    <w:p w14:paraId="01CA8340">
      <w:pPr>
        <w:spacing w:line="460" w:lineRule="exact"/>
        <w:ind w:firstLine="65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本公司（联合体）郑重声明，根据《政府采购促进中小企业发展管理办法》（财库﹝2020﹞46 号）的规定，本公司（联合体）参加</w:t>
      </w:r>
      <w:r>
        <w:rPr>
          <w:rFonts w:hint="default" w:ascii="Times New Roman" w:hAnsi="Times New Roman" w:eastAsia="仿宋_GB2312" w:cs="Times New Roman"/>
          <w:sz w:val="32"/>
          <w:szCs w:val="32"/>
          <w:u w:val="single"/>
        </w:rPr>
        <w:t>（单位名称）</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u w:val="single"/>
        </w:rPr>
        <w:t>（项目名称）</w:t>
      </w:r>
      <w:r>
        <w:rPr>
          <w:rFonts w:hint="default" w:ascii="Times New Roman" w:hAnsi="Times New Roman" w:eastAsia="仿宋_GB2312" w:cs="Times New Roman"/>
          <w:sz w:val="32"/>
          <w:szCs w:val="32"/>
        </w:rPr>
        <w:t>采购活动，工程的施工单位全部为符合政策要求的中小企业（或者：服务全部由符合政策要求的中小企业承接）。相关企业（含联合体中的中小企业、签订分包意向协议的中小企业）的具体情况如下：</w:t>
      </w:r>
    </w:p>
    <w:p w14:paraId="4A6A1F2D">
      <w:pPr>
        <w:spacing w:line="460" w:lineRule="exact"/>
        <w:ind w:firstLine="65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 </w:t>
      </w:r>
      <w:r>
        <w:rPr>
          <w:rFonts w:hint="default" w:ascii="Times New Roman" w:hAnsi="Times New Roman" w:eastAsia="仿宋_GB2312" w:cs="Times New Roman"/>
          <w:sz w:val="32"/>
          <w:szCs w:val="32"/>
          <w:u w:val="single"/>
        </w:rPr>
        <w:t>（标的名称）</w:t>
      </w:r>
      <w:r>
        <w:rPr>
          <w:rFonts w:hint="default" w:ascii="Times New Roman" w:hAnsi="Times New Roman" w:eastAsia="仿宋_GB2312" w:cs="Times New Roman"/>
          <w:sz w:val="32"/>
          <w:szCs w:val="32"/>
        </w:rPr>
        <w:t xml:space="preserve"> ，属于</w:t>
      </w:r>
      <w:r>
        <w:rPr>
          <w:rFonts w:hint="default" w:ascii="Times New Roman" w:hAnsi="Times New Roman" w:eastAsia="仿宋_GB2312" w:cs="Times New Roman"/>
          <w:sz w:val="32"/>
          <w:szCs w:val="32"/>
          <w:u w:val="single"/>
        </w:rPr>
        <w:t>（采购文件中明确的所属行业）</w:t>
      </w:r>
      <w:r>
        <w:rPr>
          <w:rFonts w:hint="default" w:ascii="Times New Roman" w:hAnsi="Times New Roman" w:eastAsia="仿宋_GB2312" w:cs="Times New Roman"/>
          <w:sz w:val="32"/>
          <w:szCs w:val="32"/>
        </w:rPr>
        <w:t>；承建（承接）企业为</w:t>
      </w:r>
      <w:r>
        <w:rPr>
          <w:rFonts w:hint="default" w:ascii="Times New Roman" w:hAnsi="Times New Roman" w:eastAsia="仿宋_GB2312" w:cs="Times New Roman"/>
          <w:sz w:val="32"/>
          <w:szCs w:val="32"/>
          <w:u w:val="single"/>
        </w:rPr>
        <w:t>（企业名称）</w:t>
      </w:r>
      <w:r>
        <w:rPr>
          <w:rFonts w:hint="default" w:ascii="Times New Roman" w:hAnsi="Times New Roman" w:eastAsia="仿宋_GB2312" w:cs="Times New Roman"/>
          <w:sz w:val="32"/>
          <w:szCs w:val="32"/>
        </w:rPr>
        <w:t>，从业人员</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人，营业收入为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万元，资产总额为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万元，属于</w:t>
      </w:r>
      <w:r>
        <w:rPr>
          <w:rFonts w:hint="default" w:ascii="Times New Roman" w:hAnsi="Times New Roman" w:eastAsia="仿宋_GB2312" w:cs="Times New Roman"/>
          <w:sz w:val="32"/>
          <w:szCs w:val="32"/>
          <w:u w:val="single"/>
        </w:rPr>
        <w:t>（中型企业、小型企业、微型企业）</w:t>
      </w:r>
      <w:r>
        <w:rPr>
          <w:rFonts w:hint="default" w:ascii="Times New Roman" w:hAnsi="Times New Roman" w:eastAsia="仿宋_GB2312" w:cs="Times New Roman"/>
          <w:sz w:val="32"/>
          <w:szCs w:val="32"/>
        </w:rPr>
        <w:t>；</w:t>
      </w:r>
    </w:p>
    <w:p w14:paraId="220177E2">
      <w:pPr>
        <w:spacing w:line="460" w:lineRule="exact"/>
        <w:ind w:firstLine="65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 </w:t>
      </w:r>
      <w:r>
        <w:rPr>
          <w:rFonts w:hint="default" w:ascii="Times New Roman" w:hAnsi="Times New Roman" w:eastAsia="仿宋_GB2312" w:cs="Times New Roman"/>
          <w:sz w:val="32"/>
          <w:szCs w:val="32"/>
          <w:u w:val="single"/>
        </w:rPr>
        <w:t xml:space="preserve">（标的名称） </w:t>
      </w:r>
      <w:r>
        <w:rPr>
          <w:rFonts w:hint="default" w:ascii="Times New Roman" w:hAnsi="Times New Roman" w:eastAsia="仿宋_GB2312" w:cs="Times New Roman"/>
          <w:sz w:val="32"/>
          <w:szCs w:val="32"/>
        </w:rPr>
        <w:t>，属于</w:t>
      </w:r>
      <w:r>
        <w:rPr>
          <w:rFonts w:hint="default" w:ascii="Times New Roman" w:hAnsi="Times New Roman" w:eastAsia="仿宋_GB2312" w:cs="Times New Roman"/>
          <w:sz w:val="32"/>
          <w:szCs w:val="32"/>
          <w:u w:val="single"/>
        </w:rPr>
        <w:t>（采购文件中明确的所属行业）</w:t>
      </w:r>
      <w:r>
        <w:rPr>
          <w:rFonts w:hint="default" w:ascii="Times New Roman" w:hAnsi="Times New Roman" w:eastAsia="仿宋_GB2312" w:cs="Times New Roman"/>
          <w:sz w:val="32"/>
          <w:szCs w:val="32"/>
        </w:rPr>
        <w:t>；承建（承接）企业为</w:t>
      </w:r>
      <w:r>
        <w:rPr>
          <w:rFonts w:hint="default" w:ascii="Times New Roman" w:hAnsi="Times New Roman" w:eastAsia="仿宋_GB2312" w:cs="Times New Roman"/>
          <w:sz w:val="32"/>
          <w:szCs w:val="32"/>
          <w:u w:val="single"/>
        </w:rPr>
        <w:t>（企业名称）</w:t>
      </w:r>
      <w:r>
        <w:rPr>
          <w:rFonts w:hint="default" w:ascii="Times New Roman" w:hAnsi="Times New Roman" w:eastAsia="仿宋_GB2312" w:cs="Times New Roman"/>
          <w:sz w:val="32"/>
          <w:szCs w:val="32"/>
        </w:rPr>
        <w:t>，从业人员</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人，营业收入为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万元，资产总额为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万元，属于</w:t>
      </w:r>
      <w:r>
        <w:rPr>
          <w:rFonts w:hint="default" w:ascii="Times New Roman" w:hAnsi="Times New Roman" w:eastAsia="仿宋_GB2312" w:cs="Times New Roman"/>
          <w:sz w:val="32"/>
          <w:szCs w:val="32"/>
          <w:u w:val="single"/>
        </w:rPr>
        <w:t>（中型企业、小型企业、微型企业）</w:t>
      </w:r>
      <w:r>
        <w:rPr>
          <w:rFonts w:hint="default" w:ascii="Times New Roman" w:hAnsi="Times New Roman" w:eastAsia="仿宋_GB2312" w:cs="Times New Roman"/>
          <w:sz w:val="32"/>
          <w:szCs w:val="32"/>
        </w:rPr>
        <w:t>；</w:t>
      </w:r>
    </w:p>
    <w:p w14:paraId="19BD8340">
      <w:pPr>
        <w:spacing w:line="460" w:lineRule="exact"/>
        <w:ind w:firstLine="65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p w14:paraId="07039EE9">
      <w:pPr>
        <w:spacing w:line="460" w:lineRule="exact"/>
        <w:ind w:firstLine="65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以上企业，不属于大企业的分支机构，不存在控股股东为大企业的情形，也不存在与大企业的负责人为同一人的情形。</w:t>
      </w:r>
    </w:p>
    <w:p w14:paraId="3C91662C">
      <w:pPr>
        <w:spacing w:line="460" w:lineRule="exact"/>
        <w:ind w:firstLine="656"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本企业对上述声明内容的真实性负责。如有虚假，将依法承担相应责任。</w:t>
      </w:r>
    </w:p>
    <w:p w14:paraId="3BBB7975">
      <w:pPr>
        <w:spacing w:line="460" w:lineRule="exact"/>
        <w:ind w:firstLine="656" w:firstLineChars="200"/>
        <w:rPr>
          <w:rFonts w:hint="default" w:ascii="Times New Roman" w:hAnsi="Times New Roman" w:eastAsia="仿宋_GB2312" w:cs="Times New Roman"/>
          <w:sz w:val="32"/>
          <w:szCs w:val="32"/>
          <w:lang w:eastAsia="zh-CN"/>
        </w:rPr>
      </w:pPr>
    </w:p>
    <w:p w14:paraId="16711D43">
      <w:pPr>
        <w:spacing w:line="460" w:lineRule="exact"/>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企业名称（盖章）：</w:t>
      </w:r>
    </w:p>
    <w:p w14:paraId="2A158C1E">
      <w:pPr>
        <w:spacing w:line="460" w:lineRule="exact"/>
        <w:ind w:right="112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rPr>
        <w:t xml:space="preserve">         日 期：</w:t>
      </w:r>
    </w:p>
    <w:p w14:paraId="37DDC8A2">
      <w:pPr>
        <w:spacing w:line="500" w:lineRule="exact"/>
        <w:ind w:right="1120"/>
        <w:jc w:val="center"/>
        <w:rPr>
          <w:rFonts w:ascii="Times New Roman" w:hAnsi="Times New Roman" w:eastAsia="仿宋" w:cs="Times New Roman"/>
          <w:sz w:val="28"/>
          <w:szCs w:val="28"/>
        </w:rPr>
      </w:pPr>
    </w:p>
    <w:p w14:paraId="5ED3B5F3">
      <w:pPr>
        <w:spacing w:line="500" w:lineRule="exact"/>
        <w:ind w:right="1120"/>
        <w:jc w:val="left"/>
        <w:rPr>
          <w:rFonts w:ascii="Times New Roman" w:hAnsi="Times New Roman" w:eastAsia="仿宋" w:cs="Times New Roman"/>
          <w:sz w:val="28"/>
          <w:szCs w:val="28"/>
          <w:u w:val="single"/>
        </w:rPr>
      </w:pPr>
      <w:r>
        <w:rPr>
          <w:rFonts w:ascii="Times New Roman" w:hAnsi="Times New Roman" w:eastAsia="仿宋" w:cs="Times New Roman"/>
          <w:sz w:val="28"/>
          <w:szCs w:val="28"/>
          <w:u w:val="single"/>
        </w:rPr>
        <w:t xml:space="preserve">                                 </w:t>
      </w:r>
    </w:p>
    <w:p w14:paraId="0D2DAEDE">
      <w:pPr>
        <w:spacing w:line="500" w:lineRule="exact"/>
        <w:rPr>
          <w:rFonts w:ascii="Times New Roman" w:hAnsi="Times New Roman" w:cs="Times New Roman"/>
          <w:b/>
          <w:sz w:val="32"/>
          <w:szCs w:val="32"/>
        </w:rPr>
      </w:pPr>
      <w:r>
        <w:rPr>
          <w:rFonts w:hint="default" w:ascii="Times New Roman" w:hAnsi="Times New Roman" w:eastAsia="仿宋" w:cs="Times New Roman"/>
          <w:sz w:val="18"/>
          <w:szCs w:val="18"/>
        </w:rPr>
        <w:t>1 从业人员、营业收入、资产总额填报上一年度数据，无上一年度数据的新成立企业可不填报。</w:t>
      </w:r>
    </w:p>
    <w:p w14:paraId="24E37C4C">
      <w:pPr>
        <w:pStyle w:val="2"/>
        <w:ind w:left="0" w:leftChars="0" w:firstLine="0" w:firstLineChars="0"/>
        <w:rPr>
          <w:rFonts w:hint="default" w:ascii="Times New Roman" w:hAnsi="Times New Roman" w:eastAsia="仿宋" w:cs="Times New Roman"/>
          <w:sz w:val="32"/>
          <w:szCs w:val="32"/>
          <w:lang w:val="en"/>
        </w:rPr>
      </w:pPr>
    </w:p>
    <w:sectPr>
      <w:pgSz w:w="11906" w:h="16838"/>
      <w:pgMar w:top="1417" w:right="1474" w:bottom="1701" w:left="1474" w:header="851" w:footer="992" w:gutter="0"/>
      <w:pgNumType w:fmt="decimal"/>
      <w:cols w:space="720" w:num="1"/>
      <w:rtlGutter w:val="0"/>
      <w:docGrid w:type="linesAndChars" w:linePitch="447" w:charSpace="18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1803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658615">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6F658615">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41DA5C"/>
    <w:multiLevelType w:val="singleLevel"/>
    <w:tmpl w:val="0841DA5C"/>
    <w:lvl w:ilvl="0" w:tentative="0">
      <w:start w:val="7"/>
      <w:numFmt w:val="chineseCounting"/>
      <w:suff w:val="nothing"/>
      <w:lvlText w:val="%1、"/>
      <w:lvlJc w:val="left"/>
      <w:rPr>
        <w:rFonts w:hint="eastAsia"/>
      </w:rPr>
    </w:lvl>
  </w:abstractNum>
  <w:abstractNum w:abstractNumId="1">
    <w:nsid w:val="27723D59"/>
    <w:multiLevelType w:val="singleLevel"/>
    <w:tmpl w:val="27723D59"/>
    <w:lvl w:ilvl="0" w:tentative="0">
      <w:start w:val="1"/>
      <w:numFmt w:val="chineseCounting"/>
      <w:suff w:val="nothing"/>
      <w:lvlText w:val="%1、"/>
      <w:lvlJc w:val="left"/>
      <w:rPr>
        <w:rFonts w:hint="eastAsia"/>
      </w:rPr>
    </w:lvl>
  </w:abstractNum>
  <w:abstractNum w:abstractNumId="2">
    <w:nsid w:val="615F90B1"/>
    <w:multiLevelType w:val="singleLevel"/>
    <w:tmpl w:val="615F90B1"/>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54"/>
  <w:drawingGridVerticalSpacing w:val="22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820"/>
    <w:rsid w:val="00014EB8"/>
    <w:rsid w:val="0002456A"/>
    <w:rsid w:val="000277FE"/>
    <w:rsid w:val="00030DE7"/>
    <w:rsid w:val="00041D57"/>
    <w:rsid w:val="00044EF2"/>
    <w:rsid w:val="0005791E"/>
    <w:rsid w:val="0008294A"/>
    <w:rsid w:val="00096B4B"/>
    <w:rsid w:val="000B2CA7"/>
    <w:rsid w:val="000B3AA2"/>
    <w:rsid w:val="000B5FB8"/>
    <w:rsid w:val="000E263B"/>
    <w:rsid w:val="000F3FDD"/>
    <w:rsid w:val="00142167"/>
    <w:rsid w:val="001438E8"/>
    <w:rsid w:val="0014781B"/>
    <w:rsid w:val="00153BA9"/>
    <w:rsid w:val="0015690B"/>
    <w:rsid w:val="001672B1"/>
    <w:rsid w:val="00170CB2"/>
    <w:rsid w:val="001716BD"/>
    <w:rsid w:val="001845A4"/>
    <w:rsid w:val="00193C7F"/>
    <w:rsid w:val="001A069F"/>
    <w:rsid w:val="001A4EC8"/>
    <w:rsid w:val="001B0FB5"/>
    <w:rsid w:val="001B3ABB"/>
    <w:rsid w:val="001B6339"/>
    <w:rsid w:val="001E355B"/>
    <w:rsid w:val="001E3994"/>
    <w:rsid w:val="001E4506"/>
    <w:rsid w:val="001E4E68"/>
    <w:rsid w:val="001F6CCF"/>
    <w:rsid w:val="00205BF5"/>
    <w:rsid w:val="00220E5D"/>
    <w:rsid w:val="0023063F"/>
    <w:rsid w:val="00241A35"/>
    <w:rsid w:val="00260D2C"/>
    <w:rsid w:val="002626EC"/>
    <w:rsid w:val="00267A09"/>
    <w:rsid w:val="002761D7"/>
    <w:rsid w:val="00281F4F"/>
    <w:rsid w:val="002829D5"/>
    <w:rsid w:val="00286B56"/>
    <w:rsid w:val="002876CA"/>
    <w:rsid w:val="002A560F"/>
    <w:rsid w:val="002C4440"/>
    <w:rsid w:val="002C4746"/>
    <w:rsid w:val="002D7159"/>
    <w:rsid w:val="00313EA9"/>
    <w:rsid w:val="0032269B"/>
    <w:rsid w:val="00322B06"/>
    <w:rsid w:val="00325CE2"/>
    <w:rsid w:val="00332CB7"/>
    <w:rsid w:val="00336811"/>
    <w:rsid w:val="00341877"/>
    <w:rsid w:val="00341F08"/>
    <w:rsid w:val="00350412"/>
    <w:rsid w:val="00350E1A"/>
    <w:rsid w:val="00355162"/>
    <w:rsid w:val="003611C1"/>
    <w:rsid w:val="003668F7"/>
    <w:rsid w:val="003678C2"/>
    <w:rsid w:val="003755CC"/>
    <w:rsid w:val="003805CE"/>
    <w:rsid w:val="003944AB"/>
    <w:rsid w:val="00396C29"/>
    <w:rsid w:val="003C537F"/>
    <w:rsid w:val="003C6FA1"/>
    <w:rsid w:val="003E4102"/>
    <w:rsid w:val="003F0D65"/>
    <w:rsid w:val="003F2643"/>
    <w:rsid w:val="004338D9"/>
    <w:rsid w:val="00445881"/>
    <w:rsid w:val="004473AD"/>
    <w:rsid w:val="00451590"/>
    <w:rsid w:val="00453BE0"/>
    <w:rsid w:val="004554FB"/>
    <w:rsid w:val="00455D1F"/>
    <w:rsid w:val="00456A4F"/>
    <w:rsid w:val="004611A9"/>
    <w:rsid w:val="00463D1B"/>
    <w:rsid w:val="004647D2"/>
    <w:rsid w:val="0047517B"/>
    <w:rsid w:val="004903B4"/>
    <w:rsid w:val="004C73FC"/>
    <w:rsid w:val="004D3130"/>
    <w:rsid w:val="004D4426"/>
    <w:rsid w:val="004D5F4A"/>
    <w:rsid w:val="004D7BA2"/>
    <w:rsid w:val="004E20F1"/>
    <w:rsid w:val="004F3359"/>
    <w:rsid w:val="00506F75"/>
    <w:rsid w:val="005232C4"/>
    <w:rsid w:val="005240CC"/>
    <w:rsid w:val="0052636A"/>
    <w:rsid w:val="00537920"/>
    <w:rsid w:val="00546D77"/>
    <w:rsid w:val="00557AF5"/>
    <w:rsid w:val="00585DD9"/>
    <w:rsid w:val="00596B98"/>
    <w:rsid w:val="005A3E90"/>
    <w:rsid w:val="005A7D85"/>
    <w:rsid w:val="005C04EC"/>
    <w:rsid w:val="005C2C4B"/>
    <w:rsid w:val="005C331E"/>
    <w:rsid w:val="005E4B53"/>
    <w:rsid w:val="005E7D59"/>
    <w:rsid w:val="005F24FA"/>
    <w:rsid w:val="005F3F24"/>
    <w:rsid w:val="005F4C72"/>
    <w:rsid w:val="006118C0"/>
    <w:rsid w:val="0061524B"/>
    <w:rsid w:val="00623747"/>
    <w:rsid w:val="00641D11"/>
    <w:rsid w:val="00644B42"/>
    <w:rsid w:val="006505E7"/>
    <w:rsid w:val="006513B2"/>
    <w:rsid w:val="006546F0"/>
    <w:rsid w:val="00656AD6"/>
    <w:rsid w:val="006826F4"/>
    <w:rsid w:val="006A4F44"/>
    <w:rsid w:val="006A53F7"/>
    <w:rsid w:val="006B3D18"/>
    <w:rsid w:val="006B5042"/>
    <w:rsid w:val="006B73A0"/>
    <w:rsid w:val="006C26AA"/>
    <w:rsid w:val="006C2BB9"/>
    <w:rsid w:val="006C5F62"/>
    <w:rsid w:val="006C725B"/>
    <w:rsid w:val="006D4B26"/>
    <w:rsid w:val="006D660A"/>
    <w:rsid w:val="006E3994"/>
    <w:rsid w:val="006E7302"/>
    <w:rsid w:val="00701AAE"/>
    <w:rsid w:val="00703AE3"/>
    <w:rsid w:val="007103B6"/>
    <w:rsid w:val="00714873"/>
    <w:rsid w:val="00716D3A"/>
    <w:rsid w:val="0072250D"/>
    <w:rsid w:val="00723378"/>
    <w:rsid w:val="0073199C"/>
    <w:rsid w:val="007436C3"/>
    <w:rsid w:val="00743F65"/>
    <w:rsid w:val="00750E96"/>
    <w:rsid w:val="00766147"/>
    <w:rsid w:val="007802E0"/>
    <w:rsid w:val="007822AC"/>
    <w:rsid w:val="007841DD"/>
    <w:rsid w:val="00786A17"/>
    <w:rsid w:val="0079708F"/>
    <w:rsid w:val="007A6EDB"/>
    <w:rsid w:val="007B49D8"/>
    <w:rsid w:val="007C0F73"/>
    <w:rsid w:val="007C78B8"/>
    <w:rsid w:val="007D1321"/>
    <w:rsid w:val="007D19DD"/>
    <w:rsid w:val="007D29B4"/>
    <w:rsid w:val="008046FB"/>
    <w:rsid w:val="00806DAE"/>
    <w:rsid w:val="00820265"/>
    <w:rsid w:val="00835B99"/>
    <w:rsid w:val="008370FA"/>
    <w:rsid w:val="008438A2"/>
    <w:rsid w:val="00851BDB"/>
    <w:rsid w:val="00851DAD"/>
    <w:rsid w:val="00854C4F"/>
    <w:rsid w:val="0086605F"/>
    <w:rsid w:val="00874EFE"/>
    <w:rsid w:val="00874F39"/>
    <w:rsid w:val="00875EF9"/>
    <w:rsid w:val="00886233"/>
    <w:rsid w:val="008B24C2"/>
    <w:rsid w:val="008C5AC3"/>
    <w:rsid w:val="008C69D4"/>
    <w:rsid w:val="008D2226"/>
    <w:rsid w:val="008E1A4C"/>
    <w:rsid w:val="008F3E0E"/>
    <w:rsid w:val="009014E7"/>
    <w:rsid w:val="00904599"/>
    <w:rsid w:val="009067B2"/>
    <w:rsid w:val="00933BEB"/>
    <w:rsid w:val="0093508A"/>
    <w:rsid w:val="009357DB"/>
    <w:rsid w:val="00936E5A"/>
    <w:rsid w:val="00937968"/>
    <w:rsid w:val="0095554B"/>
    <w:rsid w:val="00961A66"/>
    <w:rsid w:val="00970CD7"/>
    <w:rsid w:val="0098090F"/>
    <w:rsid w:val="009C57BF"/>
    <w:rsid w:val="009C7EBF"/>
    <w:rsid w:val="009D4C18"/>
    <w:rsid w:val="009D6982"/>
    <w:rsid w:val="009E4AED"/>
    <w:rsid w:val="009F4086"/>
    <w:rsid w:val="009F42D1"/>
    <w:rsid w:val="009F43CD"/>
    <w:rsid w:val="00A0035F"/>
    <w:rsid w:val="00A178AC"/>
    <w:rsid w:val="00A21164"/>
    <w:rsid w:val="00A2138D"/>
    <w:rsid w:val="00A21A79"/>
    <w:rsid w:val="00A2582B"/>
    <w:rsid w:val="00A33670"/>
    <w:rsid w:val="00A52BB9"/>
    <w:rsid w:val="00A57478"/>
    <w:rsid w:val="00A7454C"/>
    <w:rsid w:val="00A7730A"/>
    <w:rsid w:val="00A83D4C"/>
    <w:rsid w:val="00A83F46"/>
    <w:rsid w:val="00AA316B"/>
    <w:rsid w:val="00AA5378"/>
    <w:rsid w:val="00AB565D"/>
    <w:rsid w:val="00AB7EB6"/>
    <w:rsid w:val="00AC1D46"/>
    <w:rsid w:val="00AC459B"/>
    <w:rsid w:val="00AC7247"/>
    <w:rsid w:val="00AE108A"/>
    <w:rsid w:val="00AE61E6"/>
    <w:rsid w:val="00AE7D9F"/>
    <w:rsid w:val="00B03319"/>
    <w:rsid w:val="00B05911"/>
    <w:rsid w:val="00B379FC"/>
    <w:rsid w:val="00B66DDB"/>
    <w:rsid w:val="00B810AD"/>
    <w:rsid w:val="00B95AC0"/>
    <w:rsid w:val="00BB2930"/>
    <w:rsid w:val="00BD552A"/>
    <w:rsid w:val="00BD757B"/>
    <w:rsid w:val="00BE0FE2"/>
    <w:rsid w:val="00BE55CB"/>
    <w:rsid w:val="00C2500D"/>
    <w:rsid w:val="00C261AB"/>
    <w:rsid w:val="00C4217E"/>
    <w:rsid w:val="00C432E7"/>
    <w:rsid w:val="00C54FE2"/>
    <w:rsid w:val="00C61930"/>
    <w:rsid w:val="00C67404"/>
    <w:rsid w:val="00C73B32"/>
    <w:rsid w:val="00C83045"/>
    <w:rsid w:val="00C87272"/>
    <w:rsid w:val="00C8728A"/>
    <w:rsid w:val="00C877EF"/>
    <w:rsid w:val="00C92240"/>
    <w:rsid w:val="00C930FC"/>
    <w:rsid w:val="00CA3D3B"/>
    <w:rsid w:val="00CA44CB"/>
    <w:rsid w:val="00CC06AF"/>
    <w:rsid w:val="00CC4D76"/>
    <w:rsid w:val="00CC69D1"/>
    <w:rsid w:val="00CD3A2A"/>
    <w:rsid w:val="00CE034B"/>
    <w:rsid w:val="00CE60DF"/>
    <w:rsid w:val="00CF36C0"/>
    <w:rsid w:val="00CF52FF"/>
    <w:rsid w:val="00D11D15"/>
    <w:rsid w:val="00D26B0D"/>
    <w:rsid w:val="00D46336"/>
    <w:rsid w:val="00D53624"/>
    <w:rsid w:val="00D5371D"/>
    <w:rsid w:val="00D708AE"/>
    <w:rsid w:val="00D7123B"/>
    <w:rsid w:val="00D72E0C"/>
    <w:rsid w:val="00D841D8"/>
    <w:rsid w:val="00DA5BC1"/>
    <w:rsid w:val="00DB03D9"/>
    <w:rsid w:val="00DB088D"/>
    <w:rsid w:val="00DC0983"/>
    <w:rsid w:val="00DC4624"/>
    <w:rsid w:val="00DC69C4"/>
    <w:rsid w:val="00DD0726"/>
    <w:rsid w:val="00DE0F25"/>
    <w:rsid w:val="00DF51EE"/>
    <w:rsid w:val="00DF5F2A"/>
    <w:rsid w:val="00E06B9B"/>
    <w:rsid w:val="00E13B67"/>
    <w:rsid w:val="00E13C5A"/>
    <w:rsid w:val="00E264D3"/>
    <w:rsid w:val="00E34B15"/>
    <w:rsid w:val="00E354BB"/>
    <w:rsid w:val="00E36D48"/>
    <w:rsid w:val="00E41D65"/>
    <w:rsid w:val="00E45DAC"/>
    <w:rsid w:val="00E46B63"/>
    <w:rsid w:val="00E50AF6"/>
    <w:rsid w:val="00E55A57"/>
    <w:rsid w:val="00E644F5"/>
    <w:rsid w:val="00E65898"/>
    <w:rsid w:val="00E77503"/>
    <w:rsid w:val="00E82F7C"/>
    <w:rsid w:val="00E915A4"/>
    <w:rsid w:val="00E950DA"/>
    <w:rsid w:val="00EA13CA"/>
    <w:rsid w:val="00EA3E8E"/>
    <w:rsid w:val="00EA5057"/>
    <w:rsid w:val="00EC74CB"/>
    <w:rsid w:val="00ED221D"/>
    <w:rsid w:val="00ED4BDC"/>
    <w:rsid w:val="00EE15F4"/>
    <w:rsid w:val="00EF6645"/>
    <w:rsid w:val="00F00F6F"/>
    <w:rsid w:val="00F06FF4"/>
    <w:rsid w:val="00F1249E"/>
    <w:rsid w:val="00F156E0"/>
    <w:rsid w:val="00F176D2"/>
    <w:rsid w:val="00F20ACD"/>
    <w:rsid w:val="00F3610F"/>
    <w:rsid w:val="00F4414F"/>
    <w:rsid w:val="00F471C2"/>
    <w:rsid w:val="00F60EEA"/>
    <w:rsid w:val="00F62E88"/>
    <w:rsid w:val="00F667A4"/>
    <w:rsid w:val="00F67B14"/>
    <w:rsid w:val="00F734B5"/>
    <w:rsid w:val="00F753EE"/>
    <w:rsid w:val="00F94F04"/>
    <w:rsid w:val="00FA61D4"/>
    <w:rsid w:val="00FB24BF"/>
    <w:rsid w:val="00FB3DA4"/>
    <w:rsid w:val="00FB7B02"/>
    <w:rsid w:val="00FC6833"/>
    <w:rsid w:val="00FE2590"/>
    <w:rsid w:val="00FE5346"/>
    <w:rsid w:val="00FE695C"/>
    <w:rsid w:val="00FF6829"/>
    <w:rsid w:val="01A761C5"/>
    <w:rsid w:val="01B529FA"/>
    <w:rsid w:val="03393105"/>
    <w:rsid w:val="037E4FBC"/>
    <w:rsid w:val="04090D29"/>
    <w:rsid w:val="04107E1E"/>
    <w:rsid w:val="04640655"/>
    <w:rsid w:val="04B844FD"/>
    <w:rsid w:val="06AB256C"/>
    <w:rsid w:val="07E37AE3"/>
    <w:rsid w:val="07E55609"/>
    <w:rsid w:val="0BCA3494"/>
    <w:rsid w:val="0C6236CC"/>
    <w:rsid w:val="0C743400"/>
    <w:rsid w:val="0D8633EB"/>
    <w:rsid w:val="0EA21A5A"/>
    <w:rsid w:val="0F7F6343"/>
    <w:rsid w:val="0F8C0263"/>
    <w:rsid w:val="0FFF6D36"/>
    <w:rsid w:val="10291224"/>
    <w:rsid w:val="10525806"/>
    <w:rsid w:val="11407D54"/>
    <w:rsid w:val="11BA3663"/>
    <w:rsid w:val="132A1D12"/>
    <w:rsid w:val="13712447"/>
    <w:rsid w:val="143E1D3C"/>
    <w:rsid w:val="15001CD4"/>
    <w:rsid w:val="16096967"/>
    <w:rsid w:val="17835AB1"/>
    <w:rsid w:val="180A4C18"/>
    <w:rsid w:val="183B1275"/>
    <w:rsid w:val="183D16C8"/>
    <w:rsid w:val="191B8070"/>
    <w:rsid w:val="19210C79"/>
    <w:rsid w:val="19E75211"/>
    <w:rsid w:val="1AFF2A2E"/>
    <w:rsid w:val="1CCB0E1A"/>
    <w:rsid w:val="1EFA59E6"/>
    <w:rsid w:val="1FF57F5C"/>
    <w:rsid w:val="1FFF99A4"/>
    <w:rsid w:val="20786578"/>
    <w:rsid w:val="20C20786"/>
    <w:rsid w:val="20D865CF"/>
    <w:rsid w:val="21FB3F4F"/>
    <w:rsid w:val="2208033D"/>
    <w:rsid w:val="23EB1DA2"/>
    <w:rsid w:val="2500187D"/>
    <w:rsid w:val="27493C6A"/>
    <w:rsid w:val="27D72D69"/>
    <w:rsid w:val="282835C4"/>
    <w:rsid w:val="28A80261"/>
    <w:rsid w:val="29C00392"/>
    <w:rsid w:val="2A0C4820"/>
    <w:rsid w:val="2B938C52"/>
    <w:rsid w:val="2BFB0A0E"/>
    <w:rsid w:val="2C210A56"/>
    <w:rsid w:val="2ED92314"/>
    <w:rsid w:val="2F7BA1C3"/>
    <w:rsid w:val="325F5703"/>
    <w:rsid w:val="32FDD0F0"/>
    <w:rsid w:val="33541711"/>
    <w:rsid w:val="33FEFF76"/>
    <w:rsid w:val="34A10CAB"/>
    <w:rsid w:val="34EE524E"/>
    <w:rsid w:val="35F8074B"/>
    <w:rsid w:val="36527A5E"/>
    <w:rsid w:val="36910587"/>
    <w:rsid w:val="37E51D25"/>
    <w:rsid w:val="38397128"/>
    <w:rsid w:val="39033292"/>
    <w:rsid w:val="39F71049"/>
    <w:rsid w:val="3A105C66"/>
    <w:rsid w:val="3A4818A4"/>
    <w:rsid w:val="3ADC150E"/>
    <w:rsid w:val="3AFF6E55"/>
    <w:rsid w:val="3DFD8A6B"/>
    <w:rsid w:val="3DFEE1C0"/>
    <w:rsid w:val="3EC51715"/>
    <w:rsid w:val="3ECA6D2C"/>
    <w:rsid w:val="3EFF698A"/>
    <w:rsid w:val="3F9B4224"/>
    <w:rsid w:val="3FBB358A"/>
    <w:rsid w:val="3FFCE4BB"/>
    <w:rsid w:val="3FFF53F3"/>
    <w:rsid w:val="3FFFCF49"/>
    <w:rsid w:val="3FFFE44A"/>
    <w:rsid w:val="40E02836"/>
    <w:rsid w:val="42081115"/>
    <w:rsid w:val="425103BC"/>
    <w:rsid w:val="42EB7271"/>
    <w:rsid w:val="43713C1A"/>
    <w:rsid w:val="43747266"/>
    <w:rsid w:val="446B8C98"/>
    <w:rsid w:val="449E7114"/>
    <w:rsid w:val="454F7F8B"/>
    <w:rsid w:val="45A100BA"/>
    <w:rsid w:val="45D0395D"/>
    <w:rsid w:val="45E71F71"/>
    <w:rsid w:val="46565349"/>
    <w:rsid w:val="46AE6F33"/>
    <w:rsid w:val="475E2707"/>
    <w:rsid w:val="47AF2F63"/>
    <w:rsid w:val="47E6DAC3"/>
    <w:rsid w:val="48036E0A"/>
    <w:rsid w:val="49997A26"/>
    <w:rsid w:val="4A69487C"/>
    <w:rsid w:val="4B5B0FF3"/>
    <w:rsid w:val="4BB9615E"/>
    <w:rsid w:val="4DD51249"/>
    <w:rsid w:val="4FAE2D01"/>
    <w:rsid w:val="50170BBE"/>
    <w:rsid w:val="515E50B1"/>
    <w:rsid w:val="525F7333"/>
    <w:rsid w:val="528A0854"/>
    <w:rsid w:val="530C74BB"/>
    <w:rsid w:val="539D45B7"/>
    <w:rsid w:val="53B67427"/>
    <w:rsid w:val="53BD07B5"/>
    <w:rsid w:val="556A04C9"/>
    <w:rsid w:val="56DD519B"/>
    <w:rsid w:val="57BB75D6"/>
    <w:rsid w:val="58450D79"/>
    <w:rsid w:val="5919648E"/>
    <w:rsid w:val="59576FB6"/>
    <w:rsid w:val="599E2E37"/>
    <w:rsid w:val="5A5CCFAF"/>
    <w:rsid w:val="5B4377F2"/>
    <w:rsid w:val="5B6339F0"/>
    <w:rsid w:val="5BE32D83"/>
    <w:rsid w:val="5D992397"/>
    <w:rsid w:val="5DF50B4C"/>
    <w:rsid w:val="5EC92704"/>
    <w:rsid w:val="5EF96E9A"/>
    <w:rsid w:val="5F4B3119"/>
    <w:rsid w:val="5FB50647"/>
    <w:rsid w:val="5FEEB215"/>
    <w:rsid w:val="5FF5EDC2"/>
    <w:rsid w:val="5FF9765D"/>
    <w:rsid w:val="600F05EB"/>
    <w:rsid w:val="617A5F38"/>
    <w:rsid w:val="64EC2CA8"/>
    <w:rsid w:val="64FF5E5B"/>
    <w:rsid w:val="65B60173"/>
    <w:rsid w:val="67E993F5"/>
    <w:rsid w:val="67F72F60"/>
    <w:rsid w:val="68C61A62"/>
    <w:rsid w:val="68F465CF"/>
    <w:rsid w:val="690031C6"/>
    <w:rsid w:val="6B23D66A"/>
    <w:rsid w:val="6BFE8B90"/>
    <w:rsid w:val="6CFE410D"/>
    <w:rsid w:val="6D9462DB"/>
    <w:rsid w:val="6DB12CE1"/>
    <w:rsid w:val="6DE7C770"/>
    <w:rsid w:val="6EAB14DE"/>
    <w:rsid w:val="6EB04D47"/>
    <w:rsid w:val="6F3C0FF9"/>
    <w:rsid w:val="6F6FA3F3"/>
    <w:rsid w:val="6F7FEBA1"/>
    <w:rsid w:val="6F9EB131"/>
    <w:rsid w:val="6FBECD37"/>
    <w:rsid w:val="6FEBF9A5"/>
    <w:rsid w:val="6FFE5F86"/>
    <w:rsid w:val="70074E3A"/>
    <w:rsid w:val="71883D59"/>
    <w:rsid w:val="724834E8"/>
    <w:rsid w:val="72A42E14"/>
    <w:rsid w:val="731D3AC2"/>
    <w:rsid w:val="76CA4E14"/>
    <w:rsid w:val="76FA3F46"/>
    <w:rsid w:val="77756B2D"/>
    <w:rsid w:val="77BEADED"/>
    <w:rsid w:val="77FF2AF3"/>
    <w:rsid w:val="77FF543E"/>
    <w:rsid w:val="78964FAD"/>
    <w:rsid w:val="78E33F6B"/>
    <w:rsid w:val="79FB061E"/>
    <w:rsid w:val="7B3B8ABB"/>
    <w:rsid w:val="7B5EA552"/>
    <w:rsid w:val="7B5F1FCE"/>
    <w:rsid w:val="7B7F441F"/>
    <w:rsid w:val="7BFE1662"/>
    <w:rsid w:val="7CC61BD9"/>
    <w:rsid w:val="7D6F4574"/>
    <w:rsid w:val="7DAB44AA"/>
    <w:rsid w:val="7E186464"/>
    <w:rsid w:val="7EBF7CDF"/>
    <w:rsid w:val="7ED514A6"/>
    <w:rsid w:val="7EE7AA71"/>
    <w:rsid w:val="7EF94DF6"/>
    <w:rsid w:val="7EFF1C84"/>
    <w:rsid w:val="7F1BB248"/>
    <w:rsid w:val="7F3D1C1C"/>
    <w:rsid w:val="7F5F6585"/>
    <w:rsid w:val="7FACFEBF"/>
    <w:rsid w:val="7FBFB409"/>
    <w:rsid w:val="7FC8CC3F"/>
    <w:rsid w:val="7FEC3E6F"/>
    <w:rsid w:val="7FEFE860"/>
    <w:rsid w:val="8DF90213"/>
    <w:rsid w:val="8F7F7449"/>
    <w:rsid w:val="99C933D4"/>
    <w:rsid w:val="9BE6DDA7"/>
    <w:rsid w:val="9BE8A12C"/>
    <w:rsid w:val="9E7E36C8"/>
    <w:rsid w:val="A12FD052"/>
    <w:rsid w:val="A6F2C693"/>
    <w:rsid w:val="AFD3805A"/>
    <w:rsid w:val="AFDE9F22"/>
    <w:rsid w:val="AFFAF914"/>
    <w:rsid w:val="B0D7294E"/>
    <w:rsid w:val="B373B965"/>
    <w:rsid w:val="B5AF4CFB"/>
    <w:rsid w:val="B9FF4B52"/>
    <w:rsid w:val="BAE52BCD"/>
    <w:rsid w:val="BAFFB622"/>
    <w:rsid w:val="BB3F8A36"/>
    <w:rsid w:val="BB6D0453"/>
    <w:rsid w:val="BD9D5CD4"/>
    <w:rsid w:val="BEBC5773"/>
    <w:rsid w:val="BEDACCDA"/>
    <w:rsid w:val="BEDFEBF0"/>
    <w:rsid w:val="BEF77772"/>
    <w:rsid w:val="BFBF107D"/>
    <w:rsid w:val="BFEF25DD"/>
    <w:rsid w:val="BFFC04F2"/>
    <w:rsid w:val="C3EFC176"/>
    <w:rsid w:val="C9FF2E4D"/>
    <w:rsid w:val="CA76A0D1"/>
    <w:rsid w:val="CB9B82B0"/>
    <w:rsid w:val="D8FD4DD7"/>
    <w:rsid w:val="DBDF45ED"/>
    <w:rsid w:val="DBFD400B"/>
    <w:rsid w:val="DCFACF7F"/>
    <w:rsid w:val="DDBFFFCE"/>
    <w:rsid w:val="DF67A063"/>
    <w:rsid w:val="DFD542D9"/>
    <w:rsid w:val="DFFF4BED"/>
    <w:rsid w:val="E7DC05FC"/>
    <w:rsid w:val="E7DFDACA"/>
    <w:rsid w:val="EB6F3F62"/>
    <w:rsid w:val="EBB5E125"/>
    <w:rsid w:val="ECC35E8F"/>
    <w:rsid w:val="ED51F6C6"/>
    <w:rsid w:val="ED76C55B"/>
    <w:rsid w:val="EDBD7706"/>
    <w:rsid w:val="EDDD09E5"/>
    <w:rsid w:val="EDDF105D"/>
    <w:rsid w:val="EDDFB3DE"/>
    <w:rsid w:val="EF2A9D97"/>
    <w:rsid w:val="EFD3AEED"/>
    <w:rsid w:val="F2EF6C48"/>
    <w:rsid w:val="F2FF5222"/>
    <w:rsid w:val="F75236C5"/>
    <w:rsid w:val="F9A79997"/>
    <w:rsid w:val="FAB3126B"/>
    <w:rsid w:val="FB6D8CF8"/>
    <w:rsid w:val="FB7DDE19"/>
    <w:rsid w:val="FB7FB086"/>
    <w:rsid w:val="FBEFCDCB"/>
    <w:rsid w:val="FBFDA38A"/>
    <w:rsid w:val="FCA5646E"/>
    <w:rsid w:val="FCBE68DC"/>
    <w:rsid w:val="FCFB3AEA"/>
    <w:rsid w:val="FD7F8EAA"/>
    <w:rsid w:val="FDFD7C19"/>
    <w:rsid w:val="FE7F1F9E"/>
    <w:rsid w:val="FEDE1B7A"/>
    <w:rsid w:val="FEEB6FD2"/>
    <w:rsid w:val="FEEF3B34"/>
    <w:rsid w:val="FEEF4385"/>
    <w:rsid w:val="FEF30D9C"/>
    <w:rsid w:val="FEFF902C"/>
    <w:rsid w:val="FF09A2AD"/>
    <w:rsid w:val="FF75F025"/>
    <w:rsid w:val="FFACABD1"/>
    <w:rsid w:val="FFF802A9"/>
    <w:rsid w:val="FFFB3DC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szCs w:val="24"/>
      <w:lang w:val="en-US" w:eastAsia="zh-CN" w:bidi="ar-SA"/>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w:basedOn w:val="1"/>
    <w:unhideWhenUsed/>
    <w:qFormat/>
    <w:uiPriority w:val="99"/>
    <w:pPr>
      <w:spacing w:after="120"/>
    </w:pPr>
  </w:style>
  <w:style w:type="paragraph" w:styleId="4">
    <w:name w:val="toa heading"/>
    <w:basedOn w:val="1"/>
    <w:next w:val="1"/>
    <w:qFormat/>
    <w:uiPriority w:val="99"/>
    <w:pPr>
      <w:spacing w:before="120"/>
    </w:pPr>
    <w:rPr>
      <w:rFonts w:ascii="Arial" w:hAnsi="Arial" w:eastAsia="仿宋" w:cs="Arial"/>
      <w:sz w:val="24"/>
    </w:rPr>
  </w:style>
  <w:style w:type="paragraph" w:styleId="5">
    <w:name w:val="annotation text"/>
    <w:basedOn w:val="1"/>
    <w:link w:val="17"/>
    <w:unhideWhenUsed/>
    <w:qFormat/>
    <w:uiPriority w:val="99"/>
    <w:pPr>
      <w:jc w:val="left"/>
    </w:pPr>
  </w:style>
  <w:style w:type="paragraph" w:styleId="6">
    <w:name w:val="Plain Text"/>
    <w:basedOn w:val="1"/>
    <w:qFormat/>
    <w:uiPriority w:val="0"/>
    <w:rPr>
      <w:rFonts w:ascii="宋体" w:hAnsi="Courier New" w:eastAsia="宋体" w:cs="Times New Roman"/>
    </w:rPr>
  </w:style>
  <w:style w:type="paragraph" w:styleId="7">
    <w:name w:val="Date"/>
    <w:basedOn w:val="1"/>
    <w:next w:val="1"/>
    <w:link w:val="18"/>
    <w:unhideWhenUsed/>
    <w:qFormat/>
    <w:uiPriority w:val="99"/>
    <w:pPr>
      <w:ind w:left="100" w:leftChars="2500"/>
    </w:pPr>
  </w:style>
  <w:style w:type="paragraph" w:styleId="8">
    <w:name w:val="Balloon Text"/>
    <w:basedOn w:val="1"/>
    <w:link w:val="19"/>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spacing w:line="240" w:lineRule="atLeast"/>
      <w:jc w:val="left"/>
    </w:pPr>
    <w:rPr>
      <w:rFonts w:ascii="Calibri" w:hAnsi="Calibri"/>
      <w:kern w:val="0"/>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kern w:val="0"/>
      <w:sz w:val="18"/>
      <w:szCs w:val="18"/>
    </w:rPr>
  </w:style>
  <w:style w:type="paragraph" w:styleId="11">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2">
    <w:name w:val="annotation subject"/>
    <w:basedOn w:val="5"/>
    <w:next w:val="5"/>
    <w:link w:val="22"/>
    <w:unhideWhenUsed/>
    <w:qFormat/>
    <w:uiPriority w:val="99"/>
    <w:rPr>
      <w:b/>
      <w:bCs/>
    </w:rPr>
  </w:style>
  <w:style w:type="character" w:styleId="15">
    <w:name w:val="page number"/>
    <w:basedOn w:val="14"/>
    <w:qFormat/>
    <w:uiPriority w:val="0"/>
  </w:style>
  <w:style w:type="character" w:styleId="16">
    <w:name w:val="annotation reference"/>
    <w:unhideWhenUsed/>
    <w:qFormat/>
    <w:uiPriority w:val="99"/>
    <w:rPr>
      <w:sz w:val="21"/>
      <w:szCs w:val="21"/>
    </w:rPr>
  </w:style>
  <w:style w:type="character" w:customStyle="1" w:styleId="17">
    <w:name w:val="批注文字 Char"/>
    <w:link w:val="5"/>
    <w:semiHidden/>
    <w:qFormat/>
    <w:uiPriority w:val="99"/>
    <w:rPr>
      <w:rFonts w:ascii="Times New Roman" w:hAnsi="Times New Roman"/>
      <w:kern w:val="2"/>
      <w:sz w:val="30"/>
      <w:szCs w:val="24"/>
    </w:rPr>
  </w:style>
  <w:style w:type="character" w:customStyle="1" w:styleId="18">
    <w:name w:val="日期 Char"/>
    <w:link w:val="7"/>
    <w:semiHidden/>
    <w:qFormat/>
    <w:uiPriority w:val="99"/>
    <w:rPr>
      <w:rFonts w:ascii="Times New Roman" w:hAnsi="Times New Roman"/>
      <w:kern w:val="2"/>
      <w:sz w:val="30"/>
      <w:szCs w:val="24"/>
    </w:rPr>
  </w:style>
  <w:style w:type="character" w:customStyle="1" w:styleId="19">
    <w:name w:val="批注框文本 Char"/>
    <w:link w:val="8"/>
    <w:semiHidden/>
    <w:qFormat/>
    <w:uiPriority w:val="99"/>
    <w:rPr>
      <w:rFonts w:ascii="Times New Roman" w:hAnsi="Times New Roman"/>
      <w:kern w:val="2"/>
      <w:sz w:val="18"/>
      <w:szCs w:val="18"/>
    </w:rPr>
  </w:style>
  <w:style w:type="character" w:customStyle="1" w:styleId="20">
    <w:name w:val="页脚 Char"/>
    <w:link w:val="9"/>
    <w:qFormat/>
    <w:uiPriority w:val="99"/>
    <w:rPr>
      <w:sz w:val="18"/>
      <w:szCs w:val="18"/>
    </w:rPr>
  </w:style>
  <w:style w:type="character" w:customStyle="1" w:styleId="21">
    <w:name w:val="页眉 Char"/>
    <w:link w:val="10"/>
    <w:qFormat/>
    <w:uiPriority w:val="99"/>
    <w:rPr>
      <w:sz w:val="18"/>
      <w:szCs w:val="18"/>
    </w:rPr>
  </w:style>
  <w:style w:type="character" w:customStyle="1" w:styleId="22">
    <w:name w:val="批注主题 Char"/>
    <w:link w:val="12"/>
    <w:semiHidden/>
    <w:qFormat/>
    <w:uiPriority w:val="99"/>
    <w:rPr>
      <w:rFonts w:ascii="Times New Roman" w:hAnsi="Times New Roman"/>
      <w:b/>
      <w:bCs/>
      <w:kern w:val="2"/>
      <w:sz w:val="30"/>
      <w:szCs w:val="24"/>
    </w:rPr>
  </w:style>
  <w:style w:type="character" w:customStyle="1" w:styleId="23">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gz</Company>
  <Pages>8</Pages>
  <Words>2430</Words>
  <Characters>2580</Characters>
  <Lines>24</Lines>
  <Paragraphs>6</Paragraphs>
  <TotalTime>5</TotalTime>
  <ScaleCrop>false</ScaleCrop>
  <LinksUpToDate>false</LinksUpToDate>
  <CharactersWithSpaces>2663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2021-07-06T15:00:00Z</dcterms:created>
  <dc:creator>何刚勇</dc:creator>
  <cp:lastModifiedBy>tsm</cp:lastModifiedBy>
  <cp:lastPrinted>2025-03-07T14:51:00Z</cp:lastPrinted>
  <dcterms:modified xsi:type="dcterms:W3CDTF">2026-06-26T08:06:29Z</dcterms:modified>
  <dc:title>关于在局公众网站公开信息的请示</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54F11997897861A64FD22D671E66F18A</vt:lpwstr>
  </property>
  <property fmtid="{D5CDD505-2E9C-101B-9397-08002B2CF9AE}" pid="4" name="KSOTemplateDocerSaveRecord">
    <vt:lpwstr>eyJoZGlkIjoiZTI1NTZlZDYxZTI5MWQ3NTlmNzFkNjg1ZjlkMzhiYjMiLCJ1c2VySWQiOiIyNzE4NDg2MTUifQ==</vt:lpwstr>
  </property>
</Properties>
</file>