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2525F">
      <w:pPr>
        <w:keepNext w:val="0"/>
        <w:keepLines w:val="0"/>
        <w:widowControl w:val="0"/>
        <w:suppressLineNumbers w:val="0"/>
        <w:spacing w:before="0" w:beforeAutospacing="0" w:after="0" w:afterAutospacing="0"/>
        <w:ind w:left="0" w:right="0"/>
        <w:jc w:val="both"/>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kern w:val="2"/>
          <w:sz w:val="32"/>
          <w:szCs w:val="32"/>
          <w:lang w:val="en-US" w:eastAsia="zh-CN" w:bidi="ar"/>
        </w:rPr>
        <w:t>附件2</w:t>
      </w:r>
    </w:p>
    <w:p w14:paraId="0BB38435">
      <w:pPr>
        <w:pStyle w:val="4"/>
        <w:widowControl/>
        <w:ind w:left="0" w:firstLine="440"/>
        <w:jc w:val="center"/>
        <w:rPr>
          <w:color w:val="auto"/>
          <w:sz w:val="44"/>
          <w:szCs w:val="44"/>
          <w:lang w:val="en-US"/>
        </w:rPr>
      </w:pPr>
      <w:r>
        <w:rPr>
          <w:rFonts w:hint="eastAsia" w:ascii="方正小标宋_GBK" w:hAnsi="方正小标宋_GBK" w:eastAsia="方正小标宋_GBK" w:cs="方正小标宋_GBK"/>
          <w:color w:val="auto"/>
          <w:sz w:val="44"/>
          <w:szCs w:val="44"/>
          <w:lang w:eastAsia="zh-CN"/>
        </w:rPr>
        <w:t>蓬江区土壤重点监管单位周边监测项目综合评分表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1242"/>
        <w:gridCol w:w="1703"/>
        <w:gridCol w:w="670"/>
        <w:gridCol w:w="6638"/>
        <w:gridCol w:w="964"/>
        <w:gridCol w:w="986"/>
        <w:gridCol w:w="960"/>
      </w:tblGrid>
      <w:tr w14:paraId="04A0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6" w:hRule="atLeast"/>
          <w:jc w:val="center"/>
        </w:trPr>
        <w:tc>
          <w:tcPr>
            <w:tcW w:w="1242" w:type="dxa"/>
            <w:vMerge w:val="restart"/>
            <w:tcBorders>
              <w:top w:val="single" w:color="auto" w:sz="4" w:space="0"/>
              <w:left w:val="single" w:color="auto" w:sz="4" w:space="0"/>
              <w:bottom w:val="single" w:color="auto" w:sz="4" w:space="0"/>
              <w:right w:val="single" w:color="auto" w:sz="4" w:space="0"/>
            </w:tcBorders>
            <w:shd w:val="clear"/>
            <w:vAlign w:val="center"/>
          </w:tcPr>
          <w:p w14:paraId="7C6AD776">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评审项目</w:t>
            </w:r>
          </w:p>
        </w:tc>
        <w:tc>
          <w:tcPr>
            <w:tcW w:w="1703" w:type="dxa"/>
            <w:vMerge w:val="restart"/>
            <w:tcBorders>
              <w:top w:val="single" w:color="auto" w:sz="4" w:space="0"/>
              <w:left w:val="single" w:color="auto" w:sz="4" w:space="0"/>
              <w:bottom w:val="single" w:color="auto" w:sz="4" w:space="0"/>
              <w:right w:val="single" w:color="auto" w:sz="4" w:space="0"/>
            </w:tcBorders>
            <w:shd w:val="clear"/>
            <w:vAlign w:val="center"/>
          </w:tcPr>
          <w:p w14:paraId="73693ACC">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评分标准</w:t>
            </w:r>
          </w:p>
        </w:tc>
        <w:tc>
          <w:tcPr>
            <w:tcW w:w="670" w:type="dxa"/>
            <w:vMerge w:val="restart"/>
            <w:tcBorders>
              <w:top w:val="single" w:color="auto" w:sz="4" w:space="0"/>
              <w:left w:val="single" w:color="auto" w:sz="4" w:space="0"/>
              <w:bottom w:val="single" w:color="auto" w:sz="4" w:space="0"/>
              <w:right w:val="single" w:color="auto" w:sz="4" w:space="0"/>
            </w:tcBorders>
            <w:shd w:val="clear"/>
            <w:vAlign w:val="center"/>
          </w:tcPr>
          <w:p w14:paraId="6C3B51F6">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分值</w:t>
            </w:r>
          </w:p>
        </w:tc>
        <w:tc>
          <w:tcPr>
            <w:tcW w:w="6638" w:type="dxa"/>
            <w:vMerge w:val="restart"/>
            <w:tcBorders>
              <w:top w:val="single" w:color="auto" w:sz="4" w:space="0"/>
              <w:left w:val="single" w:color="auto" w:sz="4" w:space="0"/>
              <w:bottom w:val="single" w:color="auto" w:sz="4" w:space="0"/>
              <w:right w:val="single" w:color="auto" w:sz="4" w:space="0"/>
            </w:tcBorders>
            <w:shd w:val="clear"/>
            <w:vAlign w:val="center"/>
          </w:tcPr>
          <w:p w14:paraId="403CD483">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标评因素</w:t>
            </w:r>
          </w:p>
        </w:tc>
        <w:tc>
          <w:tcPr>
            <w:tcW w:w="2910" w:type="dxa"/>
            <w:gridSpan w:val="3"/>
            <w:tcBorders>
              <w:top w:val="single" w:color="auto" w:sz="4" w:space="0"/>
              <w:left w:val="single" w:color="auto" w:sz="4" w:space="0"/>
              <w:bottom w:val="single" w:color="auto" w:sz="4" w:space="0"/>
              <w:right w:val="single" w:color="auto" w:sz="4" w:space="0"/>
            </w:tcBorders>
            <w:shd w:val="clear"/>
            <w:vAlign w:val="center"/>
          </w:tcPr>
          <w:p w14:paraId="38F46E1E">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评分</w:t>
            </w:r>
          </w:p>
        </w:tc>
      </w:tr>
      <w:tr w14:paraId="127B0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06" w:hRule="atLeast"/>
          <w:jc w:val="center"/>
        </w:trPr>
        <w:tc>
          <w:tcPr>
            <w:tcW w:w="1242" w:type="dxa"/>
            <w:vMerge w:val="continue"/>
            <w:tcBorders>
              <w:top w:val="single" w:color="auto" w:sz="4" w:space="0"/>
              <w:left w:val="single" w:color="auto" w:sz="4" w:space="0"/>
              <w:bottom w:val="single" w:color="auto" w:sz="4" w:space="0"/>
              <w:right w:val="single" w:color="auto" w:sz="4" w:space="0"/>
            </w:tcBorders>
            <w:shd w:val="clear"/>
            <w:vAlign w:val="center"/>
          </w:tcPr>
          <w:p w14:paraId="0ED9F72F">
            <w:pPr>
              <w:rPr>
                <w:rFonts w:hint="default" w:ascii="Times New Roman" w:hAnsi="Times New Roman" w:cs="Times New Roman"/>
                <w:color w:val="auto"/>
                <w:sz w:val="20"/>
                <w:szCs w:val="20"/>
              </w:rPr>
            </w:pPr>
          </w:p>
        </w:tc>
        <w:tc>
          <w:tcPr>
            <w:tcW w:w="1703" w:type="dxa"/>
            <w:vMerge w:val="continue"/>
            <w:tcBorders>
              <w:top w:val="single" w:color="auto" w:sz="4" w:space="0"/>
              <w:left w:val="single" w:color="auto" w:sz="4" w:space="0"/>
              <w:bottom w:val="single" w:color="auto" w:sz="4" w:space="0"/>
              <w:right w:val="single" w:color="auto" w:sz="4" w:space="0"/>
            </w:tcBorders>
            <w:shd w:val="clear"/>
            <w:vAlign w:val="center"/>
          </w:tcPr>
          <w:p w14:paraId="58C1710C">
            <w:pPr>
              <w:rPr>
                <w:rFonts w:hint="default" w:ascii="Times New Roman" w:hAnsi="Times New Roman" w:cs="Times New Roman"/>
                <w:color w:val="auto"/>
                <w:sz w:val="20"/>
                <w:szCs w:val="20"/>
              </w:rPr>
            </w:pPr>
          </w:p>
        </w:tc>
        <w:tc>
          <w:tcPr>
            <w:tcW w:w="670" w:type="dxa"/>
            <w:vMerge w:val="continue"/>
            <w:tcBorders>
              <w:top w:val="single" w:color="auto" w:sz="4" w:space="0"/>
              <w:left w:val="single" w:color="auto" w:sz="4" w:space="0"/>
              <w:bottom w:val="single" w:color="auto" w:sz="4" w:space="0"/>
              <w:right w:val="single" w:color="auto" w:sz="4" w:space="0"/>
            </w:tcBorders>
            <w:shd w:val="clear"/>
            <w:vAlign w:val="center"/>
          </w:tcPr>
          <w:p w14:paraId="1F6AE55A">
            <w:pPr>
              <w:rPr>
                <w:rFonts w:hint="default" w:ascii="Times New Roman" w:hAnsi="Times New Roman" w:cs="Times New Roman"/>
                <w:color w:val="auto"/>
                <w:sz w:val="20"/>
                <w:szCs w:val="20"/>
              </w:rPr>
            </w:pPr>
          </w:p>
        </w:tc>
        <w:tc>
          <w:tcPr>
            <w:tcW w:w="6638" w:type="dxa"/>
            <w:vMerge w:val="continue"/>
            <w:tcBorders>
              <w:top w:val="single" w:color="auto" w:sz="4" w:space="0"/>
              <w:left w:val="single" w:color="auto" w:sz="4" w:space="0"/>
              <w:bottom w:val="single" w:color="auto" w:sz="4" w:space="0"/>
              <w:right w:val="single" w:color="auto" w:sz="4" w:space="0"/>
            </w:tcBorders>
            <w:shd w:val="clear"/>
            <w:vAlign w:val="center"/>
          </w:tcPr>
          <w:p w14:paraId="506FF7AE">
            <w:pPr>
              <w:rPr>
                <w:rFonts w:hint="default" w:ascii="Times New Roman" w:hAnsi="Times New Roman" w:cs="Times New Roman"/>
                <w:color w:val="auto"/>
                <w:sz w:val="20"/>
                <w:szCs w:val="20"/>
              </w:rPr>
            </w:pPr>
          </w:p>
        </w:tc>
        <w:tc>
          <w:tcPr>
            <w:tcW w:w="964" w:type="dxa"/>
            <w:tcBorders>
              <w:top w:val="single" w:color="auto" w:sz="4" w:space="0"/>
              <w:left w:val="single" w:color="auto" w:sz="4" w:space="0"/>
              <w:bottom w:val="single" w:color="auto" w:sz="4" w:space="0"/>
              <w:right w:val="single" w:color="auto" w:sz="4" w:space="0"/>
            </w:tcBorders>
            <w:shd w:val="clear"/>
            <w:vAlign w:val="center"/>
          </w:tcPr>
          <w:p w14:paraId="67BC4478">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供应商</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得分</w:t>
            </w:r>
          </w:p>
        </w:tc>
        <w:tc>
          <w:tcPr>
            <w:tcW w:w="986" w:type="dxa"/>
            <w:tcBorders>
              <w:top w:val="single" w:color="auto" w:sz="4" w:space="0"/>
              <w:left w:val="single" w:color="auto" w:sz="4" w:space="0"/>
              <w:bottom w:val="single" w:color="auto" w:sz="4" w:space="0"/>
              <w:right w:val="single" w:color="auto" w:sz="4" w:space="0"/>
            </w:tcBorders>
            <w:shd w:val="clear"/>
            <w:vAlign w:val="center"/>
          </w:tcPr>
          <w:p w14:paraId="6D694024">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供应商</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得分</w:t>
            </w:r>
          </w:p>
        </w:tc>
        <w:tc>
          <w:tcPr>
            <w:tcW w:w="960" w:type="dxa"/>
            <w:tcBorders>
              <w:top w:val="single" w:color="auto" w:sz="4" w:space="0"/>
              <w:left w:val="single" w:color="auto" w:sz="4" w:space="0"/>
              <w:bottom w:val="single" w:color="auto" w:sz="4" w:space="0"/>
              <w:right w:val="single" w:color="auto" w:sz="4" w:space="0"/>
            </w:tcBorders>
            <w:shd w:val="clear"/>
            <w:vAlign w:val="center"/>
          </w:tcPr>
          <w:p w14:paraId="4AE5A67E">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供应商</w:t>
            </w:r>
            <w:r>
              <w:rPr>
                <w:rFonts w:hint="eastAsia" w:ascii="仿宋_GB2312" w:hAnsi="仿宋_GB2312" w:eastAsia="仿宋_GB2312" w:cs="仿宋_GB2312"/>
                <w:color w:val="auto"/>
                <w:sz w:val="24"/>
                <w:szCs w:val="24"/>
                <w:bdr w:val="none" w:color="auto" w:sz="0" w:space="0"/>
                <w:lang w:val="en-US"/>
              </w:rPr>
              <w:t>3</w:t>
            </w:r>
            <w:r>
              <w:rPr>
                <w:rFonts w:hint="eastAsia" w:ascii="仿宋_GB2312" w:hAnsi="仿宋_GB2312" w:eastAsia="仿宋_GB2312" w:cs="仿宋_GB2312"/>
                <w:color w:val="auto"/>
                <w:sz w:val="24"/>
                <w:szCs w:val="24"/>
                <w:bdr w:val="none" w:color="auto" w:sz="0" w:space="0"/>
              </w:rPr>
              <w:t>得分</w:t>
            </w:r>
          </w:p>
        </w:tc>
      </w:tr>
      <w:tr w14:paraId="79887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bottom w:val="single" w:color="auto" w:sz="4" w:space="0"/>
              <w:right w:val="single" w:color="auto" w:sz="4" w:space="0"/>
            </w:tcBorders>
            <w:shd w:val="clear"/>
            <w:vAlign w:val="center"/>
          </w:tcPr>
          <w:p w14:paraId="7EBE0EA8">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技术分</w:t>
            </w:r>
          </w:p>
          <w:p w14:paraId="0069D41B">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w:t>
            </w:r>
            <w:r>
              <w:rPr>
                <w:rFonts w:hint="eastAsia" w:ascii="仿宋_GB2312" w:hAnsi="仿宋_GB2312" w:eastAsia="仿宋_GB2312" w:cs="仿宋_GB2312"/>
                <w:b/>
                <w:bCs/>
                <w:color w:val="auto"/>
                <w:sz w:val="24"/>
                <w:szCs w:val="24"/>
                <w:bdr w:val="none" w:color="auto" w:sz="0" w:space="0"/>
                <w:lang w:val="en-US"/>
              </w:rPr>
              <w:t>40</w:t>
            </w:r>
            <w:r>
              <w:rPr>
                <w:rFonts w:hint="eastAsia" w:ascii="仿宋_GB2312" w:hAnsi="仿宋_GB2312" w:eastAsia="仿宋_GB2312" w:cs="仿宋_GB2312"/>
                <w:b/>
                <w:bCs/>
                <w:color w:val="auto"/>
                <w:sz w:val="24"/>
                <w:szCs w:val="24"/>
                <w:bdr w:val="none" w:color="auto" w:sz="0" w:space="0"/>
              </w:rPr>
              <w:t>分）</w:t>
            </w: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398777D0">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项目实施管理</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72F16DCA">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20</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2C2B16B7">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根据供应商针对本项目提供实施方案（包括项目实施计划、组织实施等）进行评审：</w:t>
            </w:r>
          </w:p>
          <w:p w14:paraId="3D5B33FC">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w:t>
            </w:r>
            <w:r>
              <w:rPr>
                <w:rFonts w:hint="eastAsia" w:ascii="仿宋_GB2312" w:hAnsi="宋体" w:eastAsia="仿宋_GB2312" w:cs="宋体"/>
                <w:color w:val="auto"/>
                <w:kern w:val="0"/>
                <w:sz w:val="24"/>
                <w:szCs w:val="24"/>
                <w:bdr w:val="none" w:color="auto" w:sz="0" w:space="0"/>
                <w:lang w:val="en-US"/>
              </w:rPr>
              <w:t>项目实施方案完整详细、</w:t>
            </w:r>
            <w:r>
              <w:rPr>
                <w:rFonts w:hint="eastAsia" w:ascii="仿宋_GB2312" w:hAnsi="宋体" w:eastAsia="仿宋_GB2312" w:cs="宋体"/>
                <w:color w:val="auto"/>
                <w:kern w:val="0"/>
                <w:sz w:val="24"/>
                <w:szCs w:val="24"/>
                <w:bdr w:val="none" w:color="auto" w:sz="0" w:space="0"/>
                <w:lang w:val="en-US"/>
              </w:rPr>
              <w:t>符合项目要求，</w:t>
            </w:r>
            <w:r>
              <w:rPr>
                <w:rFonts w:hint="eastAsia" w:ascii="仿宋_GB2312" w:hAnsi="宋体" w:eastAsia="仿宋_GB2312" w:cs="宋体"/>
                <w:color w:val="auto"/>
                <w:kern w:val="0"/>
                <w:sz w:val="24"/>
                <w:szCs w:val="24"/>
                <w:bdr w:val="none" w:color="auto" w:sz="0" w:space="0"/>
                <w:lang w:val="en-US"/>
              </w:rPr>
              <w:t>响应情况满足采购文件要求的，能够对项目实施过程中的难点重点进行充分的理解和分析，符合实际情况，</w:t>
            </w:r>
            <w:r>
              <w:rPr>
                <w:rFonts w:hint="eastAsia" w:ascii="仿宋_GB2312" w:hAnsi="宋体" w:eastAsia="仿宋_GB2312" w:cs="宋体"/>
                <w:color w:val="auto"/>
                <w:kern w:val="0"/>
                <w:sz w:val="24"/>
                <w:szCs w:val="24"/>
                <w:bdr w:val="none" w:color="auto" w:sz="0" w:space="0"/>
                <w:lang w:val="en-US"/>
              </w:rPr>
              <w:t>提出对策符合项目要求，专业性强，</w:t>
            </w:r>
            <w:r>
              <w:rPr>
                <w:rFonts w:hint="eastAsia" w:ascii="仿宋_GB2312" w:hAnsi="仿宋_GB2312" w:eastAsia="仿宋_GB2312" w:cs="仿宋_GB2312"/>
                <w:color w:val="auto"/>
                <w:sz w:val="24"/>
                <w:szCs w:val="24"/>
                <w:bdr w:val="none" w:color="auto" w:sz="0" w:space="0"/>
              </w:rPr>
              <w:t>得</w:t>
            </w:r>
            <w:r>
              <w:rPr>
                <w:rFonts w:hint="eastAsia" w:ascii="仿宋_GB2312" w:hAnsi="仿宋_GB2312" w:eastAsia="仿宋_GB2312" w:cs="仿宋_GB2312"/>
                <w:color w:val="auto"/>
                <w:sz w:val="24"/>
                <w:szCs w:val="24"/>
                <w:bdr w:val="none" w:color="auto" w:sz="0" w:space="0"/>
                <w:lang w:val="en-US"/>
              </w:rPr>
              <w:t>20</w:t>
            </w:r>
            <w:r>
              <w:rPr>
                <w:rFonts w:hint="eastAsia" w:ascii="仿宋_GB2312" w:hAnsi="仿宋_GB2312" w:eastAsia="仿宋_GB2312" w:cs="仿宋_GB2312"/>
                <w:color w:val="auto"/>
                <w:sz w:val="24"/>
                <w:szCs w:val="24"/>
                <w:bdr w:val="none" w:color="auto" w:sz="0" w:space="0"/>
              </w:rPr>
              <w:t>分；</w:t>
            </w:r>
          </w:p>
          <w:p w14:paraId="3C30965E">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w:t>
            </w:r>
            <w:r>
              <w:rPr>
                <w:rFonts w:hint="eastAsia" w:ascii="仿宋_GB2312" w:hAnsi="宋体" w:eastAsia="仿宋_GB2312" w:cs="宋体"/>
                <w:color w:val="auto"/>
                <w:kern w:val="0"/>
                <w:sz w:val="24"/>
                <w:szCs w:val="24"/>
                <w:bdr w:val="none" w:color="auto" w:sz="0" w:space="0"/>
                <w:lang w:val="en-US"/>
              </w:rPr>
              <w:t>项目实施方案详细、</w:t>
            </w:r>
            <w:r>
              <w:rPr>
                <w:rFonts w:hint="eastAsia" w:ascii="仿宋_GB2312" w:hAnsi="宋体" w:eastAsia="仿宋_GB2312" w:cs="宋体"/>
                <w:color w:val="auto"/>
                <w:kern w:val="0"/>
                <w:sz w:val="24"/>
                <w:szCs w:val="24"/>
                <w:bdr w:val="none" w:color="auto" w:sz="0" w:space="0"/>
                <w:lang w:val="en-US"/>
              </w:rPr>
              <w:t>基本符合项目要求，</w:t>
            </w:r>
            <w:r>
              <w:rPr>
                <w:rFonts w:hint="eastAsia" w:ascii="仿宋_GB2312" w:hAnsi="宋体" w:eastAsia="仿宋_GB2312" w:cs="宋体"/>
                <w:color w:val="auto"/>
                <w:kern w:val="0"/>
                <w:sz w:val="24"/>
                <w:szCs w:val="24"/>
                <w:bdr w:val="none" w:color="auto" w:sz="0" w:space="0"/>
                <w:lang w:val="en-US"/>
              </w:rPr>
              <w:t>响应情况大部分能满足采购文件要求的，能够对项目实施过程中的难点重点进行基本的理解和分析，</w:t>
            </w:r>
            <w:r>
              <w:rPr>
                <w:rFonts w:hint="eastAsia" w:ascii="仿宋_GB2312" w:hAnsi="宋体" w:eastAsia="仿宋_GB2312" w:cs="宋体"/>
                <w:color w:val="auto"/>
                <w:kern w:val="0"/>
                <w:sz w:val="24"/>
                <w:szCs w:val="24"/>
                <w:bdr w:val="none" w:color="auto" w:sz="0" w:space="0"/>
                <w:lang w:val="en-US"/>
              </w:rPr>
              <w:t>提出的对策基本符合项目要求，专业性一般，</w:t>
            </w:r>
            <w:r>
              <w:rPr>
                <w:rFonts w:hint="eastAsia" w:ascii="仿宋_GB2312" w:hAnsi="仿宋_GB2312" w:eastAsia="仿宋_GB2312" w:cs="仿宋_GB2312"/>
                <w:color w:val="auto"/>
                <w:sz w:val="24"/>
                <w:szCs w:val="24"/>
                <w:bdr w:val="none" w:color="auto" w:sz="0" w:space="0"/>
              </w:rPr>
              <w:t>得</w:t>
            </w:r>
            <w:r>
              <w:rPr>
                <w:rFonts w:hint="eastAsia" w:ascii="仿宋_GB2312" w:hAnsi="仿宋_GB2312" w:eastAsia="仿宋_GB2312" w:cs="仿宋_GB2312"/>
                <w:color w:val="auto"/>
                <w:sz w:val="24"/>
                <w:szCs w:val="24"/>
                <w:bdr w:val="none" w:color="auto" w:sz="0" w:space="0"/>
                <w:lang w:val="en-US"/>
              </w:rPr>
              <w:t>16</w:t>
            </w:r>
            <w:r>
              <w:rPr>
                <w:rFonts w:hint="eastAsia" w:ascii="仿宋_GB2312" w:hAnsi="仿宋_GB2312" w:eastAsia="仿宋_GB2312" w:cs="仿宋_GB2312"/>
                <w:color w:val="auto"/>
                <w:sz w:val="24"/>
                <w:szCs w:val="24"/>
                <w:bdr w:val="none" w:color="auto" w:sz="0" w:space="0"/>
              </w:rPr>
              <w:t>分；</w:t>
            </w:r>
          </w:p>
          <w:p w14:paraId="651E7E36">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3</w:t>
            </w:r>
            <w:r>
              <w:rPr>
                <w:rFonts w:hint="eastAsia" w:ascii="仿宋_GB2312" w:hAnsi="仿宋_GB2312" w:eastAsia="仿宋_GB2312" w:cs="仿宋_GB2312"/>
                <w:color w:val="auto"/>
                <w:sz w:val="24"/>
                <w:szCs w:val="24"/>
                <w:bdr w:val="none" w:color="auto" w:sz="0" w:space="0"/>
              </w:rPr>
              <w:t>）</w:t>
            </w:r>
            <w:r>
              <w:rPr>
                <w:rFonts w:hint="eastAsia" w:ascii="仿宋_GB2312" w:hAnsi="宋体" w:eastAsia="仿宋_GB2312" w:cs="宋体"/>
                <w:color w:val="auto"/>
                <w:kern w:val="0"/>
                <w:sz w:val="24"/>
                <w:szCs w:val="24"/>
                <w:bdr w:val="none" w:color="auto" w:sz="0" w:space="0"/>
                <w:lang w:val="en-US"/>
              </w:rPr>
              <w:t>项目实施方案完整、</w:t>
            </w:r>
            <w:r>
              <w:rPr>
                <w:rFonts w:hint="eastAsia" w:ascii="仿宋_GB2312" w:hAnsi="宋体" w:eastAsia="仿宋_GB2312" w:cs="宋体"/>
                <w:color w:val="auto"/>
                <w:kern w:val="0"/>
                <w:sz w:val="24"/>
                <w:szCs w:val="24"/>
                <w:bdr w:val="none" w:color="auto" w:sz="0" w:space="0"/>
                <w:lang w:val="en-US"/>
              </w:rPr>
              <w:t>部分符合项目要求</w:t>
            </w:r>
            <w:r>
              <w:rPr>
                <w:rFonts w:hint="eastAsia" w:ascii="仿宋_GB2312" w:hAnsi="宋体" w:eastAsia="仿宋_GB2312" w:cs="宋体"/>
                <w:color w:val="auto"/>
                <w:kern w:val="0"/>
                <w:sz w:val="24"/>
                <w:szCs w:val="24"/>
                <w:bdr w:val="none" w:color="auto" w:sz="0" w:space="0"/>
                <w:lang w:val="en-US"/>
              </w:rPr>
              <w:t>，响应情况部分能满足采购文件要求，对项目实施过程中的难点重点理解和分析简单、不深入，提出对策</w:t>
            </w:r>
            <w:r>
              <w:rPr>
                <w:rFonts w:hint="eastAsia" w:ascii="仿宋_GB2312" w:hAnsi="宋体" w:eastAsia="仿宋_GB2312" w:cs="宋体"/>
                <w:color w:val="auto"/>
                <w:kern w:val="0"/>
                <w:sz w:val="24"/>
                <w:szCs w:val="24"/>
                <w:bdr w:val="none" w:color="auto" w:sz="0" w:space="0"/>
                <w:lang w:val="en-US"/>
              </w:rPr>
              <w:t>部分符合项目要求，专业性弱，得12分</w:t>
            </w:r>
            <w:r>
              <w:rPr>
                <w:rFonts w:hint="eastAsia" w:ascii="仿宋_GB2312" w:hAnsi="仿宋_GB2312" w:eastAsia="仿宋_GB2312" w:cs="仿宋_GB2312"/>
                <w:color w:val="auto"/>
                <w:sz w:val="24"/>
                <w:szCs w:val="24"/>
                <w:bdr w:val="none" w:color="auto" w:sz="0" w:space="0"/>
              </w:rPr>
              <w:t>，得</w:t>
            </w:r>
            <w:r>
              <w:rPr>
                <w:rFonts w:hint="eastAsia" w:ascii="仿宋_GB2312" w:hAnsi="仿宋_GB2312" w:eastAsia="仿宋_GB2312" w:cs="仿宋_GB2312"/>
                <w:color w:val="auto"/>
                <w:sz w:val="24"/>
                <w:szCs w:val="24"/>
                <w:bdr w:val="none" w:color="auto" w:sz="0" w:space="0"/>
                <w:lang w:val="en-US"/>
              </w:rPr>
              <w:t>10</w:t>
            </w:r>
            <w:r>
              <w:rPr>
                <w:rFonts w:hint="eastAsia" w:ascii="仿宋_GB2312" w:hAnsi="仿宋_GB2312" w:eastAsia="仿宋_GB2312" w:cs="仿宋_GB2312"/>
                <w:color w:val="auto"/>
                <w:sz w:val="24"/>
                <w:szCs w:val="24"/>
                <w:bdr w:val="none" w:color="auto" w:sz="0" w:space="0"/>
              </w:rPr>
              <w:t>分；</w:t>
            </w:r>
          </w:p>
          <w:p w14:paraId="21C172F9">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4</w:t>
            </w:r>
            <w:r>
              <w:rPr>
                <w:rFonts w:hint="eastAsia" w:ascii="仿宋_GB2312" w:hAnsi="仿宋_GB2312" w:eastAsia="仿宋_GB2312" w:cs="仿宋_GB2312"/>
                <w:color w:val="auto"/>
                <w:sz w:val="24"/>
                <w:szCs w:val="24"/>
                <w:bdr w:val="none" w:color="auto" w:sz="0" w:space="0"/>
              </w:rPr>
              <w:t>）</w:t>
            </w:r>
            <w:bookmarkStart w:id="0" w:name="OLE_LINK8"/>
            <w:bookmarkStart w:id="1" w:name="OLE_LINK7"/>
            <w:r>
              <w:rPr>
                <w:rFonts w:hint="eastAsia" w:ascii="仿宋_GB2312" w:hAnsi="仿宋_GB2312" w:eastAsia="仿宋_GB2312" w:cs="仿宋_GB2312"/>
                <w:color w:val="auto"/>
                <w:sz w:val="24"/>
                <w:szCs w:val="24"/>
                <w:bdr w:val="none" w:color="auto" w:sz="0" w:space="0"/>
              </w:rPr>
              <w:t>项目实施方案不详细，不符合现实条件，响应情况不能满足采购文件要求，对项目实施过程中的难点重点理解和分析不符合实际，提出对策专业性较差，无法具体实施</w:t>
            </w:r>
            <w:bookmarkEnd w:id="0"/>
            <w:bookmarkEnd w:id="1"/>
            <w:r>
              <w:rPr>
                <w:rFonts w:hint="eastAsia" w:ascii="仿宋_GB2312" w:hAnsi="仿宋_GB2312" w:eastAsia="仿宋_GB2312" w:cs="仿宋_GB2312"/>
                <w:color w:val="auto"/>
                <w:sz w:val="24"/>
                <w:szCs w:val="24"/>
                <w:bdr w:val="none" w:color="auto" w:sz="0" w:space="0"/>
              </w:rPr>
              <w:t>，得</w:t>
            </w:r>
            <w:r>
              <w:rPr>
                <w:rFonts w:hint="eastAsia" w:ascii="仿宋_GB2312" w:hAnsi="仿宋_GB2312" w:eastAsia="仿宋_GB2312" w:cs="仿宋_GB2312"/>
                <w:color w:val="auto"/>
                <w:sz w:val="24"/>
                <w:szCs w:val="24"/>
                <w:bdr w:val="none" w:color="auto" w:sz="0" w:space="0"/>
                <w:lang w:val="en-US"/>
              </w:rPr>
              <w:t>8</w:t>
            </w:r>
            <w:r>
              <w:rPr>
                <w:rFonts w:hint="eastAsia" w:ascii="仿宋_GB2312" w:hAnsi="仿宋_GB2312" w:eastAsia="仿宋_GB2312" w:cs="仿宋_GB2312"/>
                <w:color w:val="auto"/>
                <w:sz w:val="24"/>
                <w:szCs w:val="24"/>
                <w:bdr w:val="none" w:color="auto" w:sz="0" w:space="0"/>
              </w:rPr>
              <w:t>分；</w:t>
            </w:r>
          </w:p>
          <w:p w14:paraId="3696A2D6">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5</w:t>
            </w:r>
            <w:r>
              <w:rPr>
                <w:rFonts w:hint="eastAsia" w:ascii="仿宋_GB2312" w:hAnsi="仿宋_GB2312" w:eastAsia="仿宋_GB2312" w:cs="仿宋_GB2312"/>
                <w:color w:val="auto"/>
                <w:sz w:val="24"/>
                <w:szCs w:val="24"/>
                <w:bdr w:val="none" w:color="auto" w:sz="0" w:space="0"/>
              </w:rPr>
              <w:t>）未提交响应内容或其他情况，不得分。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43E2C718">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687F29EE">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41B19B3E">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29A6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continue"/>
            <w:tcBorders>
              <w:top w:val="single" w:color="auto" w:sz="4" w:space="0"/>
              <w:left w:val="single" w:color="auto" w:sz="4" w:space="0"/>
              <w:bottom w:val="single" w:color="auto" w:sz="4" w:space="0"/>
              <w:right w:val="single" w:color="auto" w:sz="4" w:space="0"/>
            </w:tcBorders>
            <w:shd w:val="clear"/>
            <w:vAlign w:val="center"/>
          </w:tcPr>
          <w:p w14:paraId="1EB227CD">
            <w:pPr>
              <w:rPr>
                <w:rFonts w:hint="default" w:ascii="Times New Roman" w:hAnsi="Times New Roman" w:cs="Times New Roman"/>
                <w:color w:val="auto"/>
                <w:sz w:val="20"/>
                <w:szCs w:val="20"/>
              </w:rPr>
            </w:pP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71C2D97E">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质量控制措施</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751DF7B7">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15</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4C211166">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根据供应商提供的质量保障措施进行评审：</w:t>
            </w:r>
          </w:p>
          <w:p w14:paraId="1416F6CC">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w:t>
            </w:r>
            <w:r>
              <w:rPr>
                <w:rFonts w:hint="eastAsia" w:ascii="仿宋_GB2312" w:hAnsi="宋体" w:eastAsia="仿宋_GB2312" w:cs="宋体"/>
                <w:color w:val="auto"/>
                <w:kern w:val="0"/>
                <w:sz w:val="24"/>
                <w:szCs w:val="24"/>
                <w:bdr w:val="none" w:color="auto" w:sz="0" w:space="0"/>
                <w:lang w:val="en-US"/>
              </w:rPr>
              <w:t>质量保障措施详细</w:t>
            </w:r>
            <w:r>
              <w:rPr>
                <w:rFonts w:hint="eastAsia" w:ascii="仿宋_GB2312" w:hAnsi="宋体" w:eastAsia="仿宋_GB2312" w:cs="宋体"/>
                <w:color w:val="auto"/>
                <w:kern w:val="0"/>
                <w:sz w:val="24"/>
                <w:szCs w:val="24"/>
                <w:bdr w:val="none" w:color="auto" w:sz="0" w:space="0"/>
                <w:lang w:val="en-US"/>
              </w:rPr>
              <w:t>具体</w:t>
            </w:r>
            <w:r>
              <w:rPr>
                <w:rFonts w:hint="eastAsia" w:ascii="仿宋_GB2312" w:hAnsi="宋体" w:eastAsia="仿宋_GB2312" w:cs="宋体"/>
                <w:color w:val="auto"/>
                <w:kern w:val="0"/>
                <w:sz w:val="24"/>
                <w:szCs w:val="24"/>
                <w:bdr w:val="none" w:color="auto" w:sz="0" w:space="0"/>
                <w:lang w:val="en-US"/>
              </w:rPr>
              <w:t>，</w:t>
            </w:r>
            <w:r>
              <w:rPr>
                <w:rFonts w:hint="eastAsia" w:ascii="仿宋_GB2312" w:hAnsi="宋体" w:eastAsia="仿宋_GB2312" w:cs="宋体"/>
                <w:color w:val="auto"/>
                <w:kern w:val="0"/>
                <w:sz w:val="24"/>
                <w:szCs w:val="24"/>
                <w:bdr w:val="none" w:color="auto" w:sz="0" w:space="0"/>
                <w:lang w:val="en-US"/>
              </w:rPr>
              <w:t>符合实际，</w:t>
            </w:r>
            <w:r>
              <w:rPr>
                <w:rFonts w:hint="eastAsia" w:ascii="仿宋_GB2312" w:hAnsi="宋体" w:eastAsia="仿宋_GB2312" w:cs="宋体"/>
                <w:color w:val="auto"/>
                <w:kern w:val="0"/>
                <w:sz w:val="24"/>
                <w:szCs w:val="24"/>
                <w:bdr w:val="none" w:color="auto" w:sz="0" w:space="0"/>
                <w:lang w:val="en-US"/>
              </w:rPr>
              <w:t>可操作性强</w:t>
            </w:r>
            <w:r>
              <w:rPr>
                <w:rFonts w:hint="eastAsia" w:ascii="仿宋_GB2312" w:hAnsi="仿宋_GB2312" w:eastAsia="仿宋_GB2312" w:cs="仿宋_GB2312"/>
                <w:color w:val="auto"/>
                <w:sz w:val="24"/>
                <w:szCs w:val="24"/>
                <w:bdr w:val="none" w:color="auto" w:sz="0" w:space="0"/>
              </w:rPr>
              <w:t>，得</w:t>
            </w:r>
            <w:r>
              <w:rPr>
                <w:rFonts w:hint="eastAsia" w:ascii="仿宋_GB2312" w:hAnsi="仿宋_GB2312" w:eastAsia="仿宋_GB2312" w:cs="仿宋_GB2312"/>
                <w:color w:val="auto"/>
                <w:sz w:val="24"/>
                <w:szCs w:val="24"/>
                <w:bdr w:val="none" w:color="auto" w:sz="0" w:space="0"/>
                <w:lang w:val="en-US"/>
              </w:rPr>
              <w:t>15</w:t>
            </w:r>
            <w:r>
              <w:rPr>
                <w:rFonts w:hint="eastAsia" w:ascii="仿宋_GB2312" w:hAnsi="仿宋_GB2312" w:eastAsia="仿宋_GB2312" w:cs="仿宋_GB2312"/>
                <w:color w:val="auto"/>
                <w:sz w:val="24"/>
                <w:szCs w:val="24"/>
                <w:bdr w:val="none" w:color="auto" w:sz="0" w:space="0"/>
              </w:rPr>
              <w:t>分；</w:t>
            </w:r>
            <w:bookmarkStart w:id="2" w:name="_GoBack"/>
            <w:bookmarkEnd w:id="2"/>
          </w:p>
          <w:p w14:paraId="44A21F5D">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）质量保障措施基本完善，可操作性有所欠缺，得</w:t>
            </w:r>
            <w:r>
              <w:rPr>
                <w:rFonts w:hint="eastAsia" w:ascii="仿宋_GB2312" w:hAnsi="仿宋_GB2312" w:eastAsia="仿宋_GB2312" w:cs="仿宋_GB2312"/>
                <w:color w:val="auto"/>
                <w:sz w:val="24"/>
                <w:szCs w:val="24"/>
                <w:bdr w:val="none" w:color="auto" w:sz="0" w:space="0"/>
                <w:lang w:val="en-US"/>
              </w:rPr>
              <w:t>11</w:t>
            </w:r>
            <w:r>
              <w:rPr>
                <w:rFonts w:hint="eastAsia" w:ascii="仿宋_GB2312" w:hAnsi="仿宋_GB2312" w:eastAsia="仿宋_GB2312" w:cs="仿宋_GB2312"/>
                <w:color w:val="auto"/>
                <w:sz w:val="24"/>
                <w:szCs w:val="24"/>
                <w:bdr w:val="none" w:color="auto" w:sz="0" w:space="0"/>
              </w:rPr>
              <w:t>分；</w:t>
            </w:r>
          </w:p>
          <w:p w14:paraId="3965FE4A">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3</w:t>
            </w:r>
            <w:r>
              <w:rPr>
                <w:rFonts w:hint="eastAsia" w:ascii="仿宋_GB2312" w:hAnsi="仿宋_GB2312" w:eastAsia="仿宋_GB2312" w:cs="仿宋_GB2312"/>
                <w:color w:val="auto"/>
                <w:sz w:val="24"/>
                <w:szCs w:val="24"/>
                <w:bdr w:val="none" w:color="auto" w:sz="0" w:space="0"/>
              </w:rPr>
              <w:t>）质量保障措施较完善，缺乏可操作性，得</w:t>
            </w:r>
            <w:r>
              <w:rPr>
                <w:rFonts w:hint="eastAsia" w:ascii="仿宋_GB2312" w:hAnsi="仿宋_GB2312" w:eastAsia="仿宋_GB2312" w:cs="仿宋_GB2312"/>
                <w:color w:val="auto"/>
                <w:sz w:val="24"/>
                <w:szCs w:val="24"/>
                <w:bdr w:val="none" w:color="auto" w:sz="0" w:space="0"/>
                <w:lang w:val="en-US"/>
              </w:rPr>
              <w:t>7</w:t>
            </w:r>
            <w:r>
              <w:rPr>
                <w:rFonts w:hint="eastAsia" w:ascii="仿宋_GB2312" w:hAnsi="仿宋_GB2312" w:eastAsia="仿宋_GB2312" w:cs="仿宋_GB2312"/>
                <w:color w:val="auto"/>
                <w:sz w:val="24"/>
                <w:szCs w:val="24"/>
                <w:bdr w:val="none" w:color="auto" w:sz="0" w:space="0"/>
              </w:rPr>
              <w:t>分；</w:t>
            </w:r>
          </w:p>
          <w:p w14:paraId="2F33A460">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4</w:t>
            </w:r>
            <w:r>
              <w:rPr>
                <w:rFonts w:hint="eastAsia" w:ascii="仿宋_GB2312" w:hAnsi="仿宋_GB2312" w:eastAsia="仿宋_GB2312" w:cs="仿宋_GB2312"/>
                <w:color w:val="auto"/>
                <w:sz w:val="24"/>
                <w:szCs w:val="24"/>
                <w:bdr w:val="none" w:color="auto" w:sz="0" w:space="0"/>
              </w:rPr>
              <w:t>）质量保障措施不完善，且不具有操作性，得</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分；</w:t>
            </w:r>
          </w:p>
          <w:p w14:paraId="66C919D7">
            <w:pPr>
              <w:pStyle w:val="4"/>
              <w:keepNext w:val="0"/>
              <w:keepLines w:val="0"/>
              <w:widowControl/>
              <w:suppressLineNumbers w:val="0"/>
              <w:adjustRightInd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5</w:t>
            </w:r>
            <w:r>
              <w:rPr>
                <w:rFonts w:hint="eastAsia" w:ascii="仿宋_GB2312" w:hAnsi="仿宋_GB2312" w:eastAsia="仿宋_GB2312" w:cs="仿宋_GB2312"/>
                <w:color w:val="auto"/>
                <w:sz w:val="24"/>
                <w:szCs w:val="24"/>
                <w:bdr w:val="none" w:color="auto" w:sz="0" w:space="0"/>
              </w:rPr>
              <w:t>）质量保障措施可操作性差或无提供，不得分。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6CD38AF7">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7F6A40AA">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17220189">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35CCF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bottom w:val="single" w:color="auto" w:sz="4" w:space="0"/>
              <w:right w:val="single" w:color="auto" w:sz="4" w:space="0"/>
            </w:tcBorders>
            <w:shd w:val="clear"/>
            <w:vAlign w:val="center"/>
          </w:tcPr>
          <w:p w14:paraId="1630D6CA">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报价分</w:t>
            </w:r>
          </w:p>
          <w:p w14:paraId="1E3641EB">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w:t>
            </w:r>
            <w:r>
              <w:rPr>
                <w:rFonts w:hint="eastAsia" w:ascii="仿宋_GB2312" w:hAnsi="仿宋_GB2312" w:eastAsia="仿宋_GB2312" w:cs="仿宋_GB2312"/>
                <w:b/>
                <w:bCs/>
                <w:color w:val="auto"/>
                <w:sz w:val="24"/>
                <w:szCs w:val="24"/>
                <w:bdr w:val="none" w:color="auto" w:sz="0" w:space="0"/>
                <w:lang w:val="en-US"/>
              </w:rPr>
              <w:t>40</w:t>
            </w:r>
            <w:r>
              <w:rPr>
                <w:rFonts w:hint="eastAsia" w:ascii="仿宋_GB2312" w:hAnsi="仿宋_GB2312" w:eastAsia="仿宋_GB2312" w:cs="仿宋_GB2312"/>
                <w:b/>
                <w:bCs/>
                <w:color w:val="auto"/>
                <w:sz w:val="24"/>
                <w:szCs w:val="24"/>
                <w:bdr w:val="none" w:color="auto" w:sz="0" w:space="0"/>
              </w:rPr>
              <w:t>分）</w:t>
            </w: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6696D118">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报价得分</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265C5965">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35</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5572F2A8">
            <w:pPr>
              <w:pStyle w:val="4"/>
              <w:keepNext w:val="0"/>
              <w:keepLines w:val="0"/>
              <w:widowControl/>
              <w:suppressLineNumbers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采用低价优先法计算，即满足采购需求且报价最低的为基准价，该项价格得分为满分。其他供应商的价格得分统一按照下列公式计算</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供应商价格得分</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基准价</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报价</w:t>
            </w:r>
            <w:r>
              <w:rPr>
                <w:rFonts w:hint="eastAsia" w:ascii="仿宋_GB2312" w:hAnsi="仿宋_GB2312" w:eastAsia="仿宋_GB2312" w:cs="仿宋_GB2312"/>
                <w:color w:val="auto"/>
                <w:sz w:val="24"/>
                <w:szCs w:val="24"/>
                <w:bdr w:val="none" w:color="auto" w:sz="0" w:space="0"/>
                <w:lang w:val="en-US"/>
              </w:rPr>
              <w:t>)X35</w:t>
            </w:r>
            <w:r>
              <w:rPr>
                <w:rFonts w:hint="eastAsia" w:ascii="仿宋_GB2312" w:hAnsi="仿宋_GB2312" w:eastAsia="仿宋_GB2312" w:cs="仿宋_GB2312"/>
                <w:color w:val="auto"/>
                <w:sz w:val="24"/>
                <w:szCs w:val="24"/>
                <w:bdr w:val="none" w:color="auto" w:sz="0" w:space="0"/>
              </w:rPr>
              <w:t>，价格得分四舍五入后保留小数点后两位有效数。</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10076E8A">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01254DE6">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150F68B8">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4E63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continue"/>
            <w:tcBorders>
              <w:top w:val="single" w:color="auto" w:sz="4" w:space="0"/>
              <w:left w:val="single" w:color="auto" w:sz="4" w:space="0"/>
              <w:bottom w:val="single" w:color="auto" w:sz="4" w:space="0"/>
              <w:right w:val="single" w:color="auto" w:sz="4" w:space="0"/>
            </w:tcBorders>
            <w:shd w:val="clear"/>
            <w:vAlign w:val="center"/>
          </w:tcPr>
          <w:p w14:paraId="1F2FCB16">
            <w:pPr>
              <w:rPr>
                <w:rFonts w:hint="default" w:ascii="Times New Roman" w:hAnsi="Times New Roman" w:cs="Times New Roman"/>
                <w:color w:val="auto"/>
                <w:sz w:val="20"/>
                <w:szCs w:val="20"/>
              </w:rPr>
            </w:pP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66D725EB">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报价材料得分</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07B37C14">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10</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5DEDF98B">
            <w:pPr>
              <w:pStyle w:val="4"/>
              <w:keepNext w:val="0"/>
              <w:keepLines w:val="0"/>
              <w:widowControl/>
              <w:suppressLineNumbers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报价材料应含</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）报价单，报价应为全包报价；（</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）实施方案（包括项目实施计划、组织实施、质量保障措施等）；（</w:t>
            </w:r>
            <w:r>
              <w:rPr>
                <w:rFonts w:hint="eastAsia" w:ascii="仿宋_GB2312" w:hAnsi="仿宋_GB2312" w:eastAsia="仿宋_GB2312" w:cs="仿宋_GB2312"/>
                <w:color w:val="auto"/>
                <w:sz w:val="24"/>
                <w:szCs w:val="24"/>
                <w:bdr w:val="none" w:color="auto" w:sz="0" w:space="0"/>
                <w:lang w:val="en-US"/>
              </w:rPr>
              <w:t>3</w:t>
            </w:r>
            <w:r>
              <w:rPr>
                <w:rFonts w:hint="eastAsia" w:ascii="仿宋_GB2312" w:hAnsi="仿宋_GB2312" w:eastAsia="仿宋_GB2312" w:cs="仿宋_GB2312"/>
                <w:color w:val="auto"/>
                <w:sz w:val="24"/>
                <w:szCs w:val="24"/>
                <w:bdr w:val="none" w:color="auto" w:sz="0" w:space="0"/>
              </w:rPr>
              <w:t>）法定代表人身份证复印件、企业法人代表授权书及受托人身份证复印件；（</w:t>
            </w:r>
            <w:r>
              <w:rPr>
                <w:rFonts w:hint="eastAsia" w:ascii="仿宋_GB2312" w:hAnsi="仿宋_GB2312" w:eastAsia="仿宋_GB2312" w:cs="仿宋_GB2312"/>
                <w:color w:val="auto"/>
                <w:sz w:val="24"/>
                <w:szCs w:val="24"/>
                <w:bdr w:val="none" w:color="auto" w:sz="0" w:space="0"/>
                <w:lang w:val="en-US"/>
              </w:rPr>
              <w:t>4</w:t>
            </w:r>
            <w:r>
              <w:rPr>
                <w:rFonts w:hint="eastAsia" w:ascii="仿宋_GB2312" w:hAnsi="仿宋_GB2312" w:eastAsia="仿宋_GB2312" w:cs="仿宋_GB2312"/>
                <w:color w:val="auto"/>
                <w:sz w:val="24"/>
                <w:szCs w:val="24"/>
                <w:bdr w:val="none" w:color="auto" w:sz="0" w:space="0"/>
              </w:rPr>
              <w:t>）企业营业执照副本复印件；（</w:t>
            </w:r>
            <w:r>
              <w:rPr>
                <w:rFonts w:hint="eastAsia" w:ascii="仿宋_GB2312" w:hAnsi="仿宋_GB2312" w:eastAsia="仿宋_GB2312" w:cs="仿宋_GB2312"/>
                <w:color w:val="auto"/>
                <w:sz w:val="24"/>
                <w:szCs w:val="24"/>
                <w:bdr w:val="none" w:color="auto" w:sz="0" w:space="0"/>
                <w:lang w:val="en-US"/>
              </w:rPr>
              <w:t>5</w:t>
            </w:r>
            <w:r>
              <w:rPr>
                <w:rFonts w:hint="eastAsia" w:ascii="仿宋_GB2312" w:hAnsi="仿宋_GB2312" w:eastAsia="仿宋_GB2312" w:cs="仿宋_GB2312"/>
                <w:color w:val="auto"/>
                <w:sz w:val="24"/>
                <w:szCs w:val="24"/>
                <w:bdr w:val="none" w:color="auto" w:sz="0" w:space="0"/>
              </w:rPr>
              <w:t>）相关资质（资格）及业绩证明材料；（</w:t>
            </w:r>
            <w:r>
              <w:rPr>
                <w:rFonts w:hint="eastAsia" w:ascii="仿宋_GB2312" w:hAnsi="仿宋_GB2312" w:eastAsia="仿宋_GB2312" w:cs="仿宋_GB2312"/>
                <w:color w:val="auto"/>
                <w:sz w:val="24"/>
                <w:szCs w:val="24"/>
                <w:bdr w:val="none" w:color="auto" w:sz="0" w:space="0"/>
                <w:lang w:val="en-US"/>
              </w:rPr>
              <w:t>6</w:t>
            </w:r>
            <w:r>
              <w:rPr>
                <w:rFonts w:hint="eastAsia" w:ascii="仿宋_GB2312" w:hAnsi="仿宋_GB2312" w:eastAsia="仿宋_GB2312" w:cs="仿宋_GB2312"/>
                <w:color w:val="auto"/>
                <w:sz w:val="24"/>
                <w:szCs w:val="24"/>
                <w:bdr w:val="none" w:color="auto" w:sz="0" w:space="0"/>
              </w:rPr>
              <w:t>）信用信息报告等信誉证明材料。缺一项扣</w:t>
            </w:r>
            <w:r>
              <w:rPr>
                <w:rFonts w:hint="eastAsia" w:ascii="仿宋_GB2312" w:hAnsi="仿宋_GB2312" w:eastAsia="仿宋_GB2312" w:cs="仿宋_GB2312"/>
                <w:color w:val="auto"/>
                <w:sz w:val="24"/>
                <w:szCs w:val="24"/>
                <w:bdr w:val="none" w:color="auto" w:sz="0" w:space="0"/>
                <w:lang w:val="en-US"/>
              </w:rPr>
              <w:t>2</w:t>
            </w:r>
            <w:r>
              <w:rPr>
                <w:rFonts w:hint="eastAsia" w:ascii="仿宋_GB2312" w:hAnsi="仿宋_GB2312" w:eastAsia="仿宋_GB2312" w:cs="仿宋_GB2312"/>
                <w:color w:val="auto"/>
                <w:sz w:val="24"/>
                <w:szCs w:val="24"/>
                <w:bdr w:val="none" w:color="auto" w:sz="0" w:space="0"/>
              </w:rPr>
              <w:t>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2B9D8DD1">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17C48581">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21E1BCBC">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4ADDD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restart"/>
            <w:tcBorders>
              <w:top w:val="single" w:color="auto" w:sz="4" w:space="0"/>
              <w:left w:val="single" w:color="auto" w:sz="4" w:space="0"/>
              <w:bottom w:val="single" w:color="auto" w:sz="4" w:space="0"/>
              <w:right w:val="single" w:color="auto" w:sz="4" w:space="0"/>
            </w:tcBorders>
            <w:shd w:val="clear"/>
            <w:vAlign w:val="center"/>
          </w:tcPr>
          <w:p w14:paraId="67F12560">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商务分</w:t>
            </w:r>
          </w:p>
          <w:p w14:paraId="68591729">
            <w:pPr>
              <w:pStyle w:val="4"/>
              <w:keepNext w:val="0"/>
              <w:keepLines w:val="0"/>
              <w:widowControl/>
              <w:suppressLineNumbers w:val="0"/>
              <w:snapToGrid w:val="0"/>
              <w:ind w:left="0" w:firstLine="0" w:firstLineChars="0"/>
              <w:jc w:val="center"/>
              <w:rPr>
                <w:rFonts w:hint="eastAsia" w:ascii="仿宋_GB2312" w:hAnsi="仿宋_GB2312" w:eastAsia="仿宋_GB2312" w:cs="仿宋_GB2312"/>
                <w:b/>
                <w:bCs/>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w:t>
            </w:r>
            <w:r>
              <w:rPr>
                <w:rFonts w:hint="eastAsia" w:ascii="仿宋_GB2312" w:hAnsi="仿宋_GB2312" w:eastAsia="仿宋_GB2312" w:cs="仿宋_GB2312"/>
                <w:b/>
                <w:bCs/>
                <w:color w:val="auto"/>
                <w:sz w:val="24"/>
                <w:szCs w:val="24"/>
                <w:bdr w:val="none" w:color="auto" w:sz="0" w:space="0"/>
                <w:lang w:val="en-US"/>
              </w:rPr>
              <w:t>20</w:t>
            </w:r>
            <w:r>
              <w:rPr>
                <w:rFonts w:hint="eastAsia" w:ascii="仿宋_GB2312" w:hAnsi="仿宋_GB2312" w:eastAsia="仿宋_GB2312" w:cs="仿宋_GB2312"/>
                <w:b/>
                <w:bCs/>
                <w:color w:val="auto"/>
                <w:sz w:val="24"/>
                <w:szCs w:val="24"/>
                <w:bdr w:val="none" w:color="auto" w:sz="0" w:space="0"/>
              </w:rPr>
              <w:t>分）</w:t>
            </w: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2EEDD09B">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项目负责人</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20AC4607">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10</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7522F57F">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项目负责人：1人</w:t>
            </w:r>
          </w:p>
          <w:p w14:paraId="6729A6F6">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1. 具有环境类或土壤类等高级工程师或以上职称的得5分；具有中级工程师职称的得2分。</w:t>
            </w:r>
          </w:p>
          <w:p w14:paraId="27390D22">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2. 如同时具有环境影响评价工程师资格和注册环保工程师的，另加5分；具有其中一项的，另加2分。</w:t>
            </w:r>
          </w:p>
          <w:p w14:paraId="1F3BE288">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本项最高得10分。</w:t>
            </w:r>
          </w:p>
          <w:p w14:paraId="53DEC1D2">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注：须同时提供职称证书、资格证书，</w:t>
            </w:r>
            <w:r>
              <w:rPr>
                <w:rFonts w:hint="eastAsia" w:ascii="Times New Roman" w:hAnsi="Times New Roman" w:eastAsia="仿宋_GB2312" w:cs="仿宋_GB2312"/>
                <w:color w:val="auto"/>
                <w:kern w:val="2"/>
                <w:sz w:val="24"/>
                <w:szCs w:val="20"/>
                <w:bdr w:val="none" w:color="auto" w:sz="0" w:space="0"/>
                <w:lang w:val="en-US" w:eastAsia="zh-CN" w:bidi="ar"/>
              </w:rPr>
              <w:t>以及上述人员与</w:t>
            </w:r>
            <w:r>
              <w:rPr>
                <w:rFonts w:hint="eastAsia" w:ascii="Times New Roman" w:hAnsi="Times New Roman" w:eastAsia="仿宋_GB2312" w:cs="仿宋_GB2312"/>
                <w:color w:val="auto"/>
                <w:kern w:val="2"/>
                <w:sz w:val="24"/>
                <w:szCs w:val="20"/>
                <w:bdr w:val="none" w:color="auto" w:sz="0" w:space="0"/>
                <w:lang w:val="en-US" w:eastAsia="zh-CN" w:bidi="ar"/>
              </w:rPr>
              <w:t>供应商签订的劳务合同复印件，加盖供应商公章，</w:t>
            </w:r>
            <w:r>
              <w:rPr>
                <w:rFonts w:hint="eastAsia" w:ascii="仿宋_GB2312" w:hAnsi="仿宋_GB2312" w:eastAsia="仿宋_GB2312" w:cs="仿宋_GB2312"/>
                <w:color w:val="auto"/>
                <w:kern w:val="0"/>
                <w:sz w:val="24"/>
                <w:szCs w:val="24"/>
                <w:bdr w:val="none" w:color="auto" w:sz="0" w:space="0"/>
                <w:lang w:val="en-US" w:eastAsia="zh-CN" w:bidi="ar"/>
              </w:rPr>
              <w:t>未提供者不得分。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44B7AB9A">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4CEF2D02">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0DCEE417">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71CD3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continue"/>
            <w:tcBorders>
              <w:top w:val="single" w:color="auto" w:sz="4" w:space="0"/>
              <w:left w:val="single" w:color="auto" w:sz="4" w:space="0"/>
              <w:bottom w:val="single" w:color="auto" w:sz="4" w:space="0"/>
              <w:right w:val="single" w:color="auto" w:sz="4" w:space="0"/>
            </w:tcBorders>
            <w:shd w:val="clear"/>
            <w:vAlign w:val="center"/>
          </w:tcPr>
          <w:p w14:paraId="0FAB9FD5">
            <w:pPr>
              <w:rPr>
                <w:rFonts w:hint="default" w:ascii="Times New Roman" w:hAnsi="Times New Roman" w:cs="Times New Roman"/>
                <w:color w:val="auto"/>
                <w:sz w:val="20"/>
                <w:szCs w:val="20"/>
              </w:rPr>
            </w:pP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3EBAA4CB">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供应商信誉情况</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3D51F9B2">
            <w:pPr>
              <w:keepNext w:val="0"/>
              <w:keepLines w:val="0"/>
              <w:widowControl w:val="0"/>
              <w:suppressLineNumbers w:val="0"/>
              <w:spacing w:before="0" w:beforeAutospacing="0" w:after="0" w:afterAutospacing="0"/>
              <w:ind w:left="0" w:right="0"/>
              <w:jc w:val="center"/>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5</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11F4BBD5">
            <w:pPr>
              <w:keepNext w:val="0"/>
              <w:keepLines w:val="0"/>
              <w:widowControl w:val="0"/>
              <w:suppressLineNumbers w:val="0"/>
              <w:spacing w:before="0" w:beforeAutospacing="0" w:after="0" w:afterAutospacing="0"/>
              <w:ind w:left="0" w:right="0"/>
              <w:jc w:val="left"/>
              <w:rPr>
                <w:rFonts w:hint="eastAsia" w:ascii="仿宋_GB2312" w:hAnsi="仿宋_GB2312" w:eastAsia="仿宋_GB2312" w:cs="仿宋_GB2312"/>
                <w:color w:val="auto"/>
                <w:kern w:val="0"/>
                <w:sz w:val="24"/>
                <w:szCs w:val="24"/>
                <w:bdr w:val="none" w:color="auto" w:sz="0" w:space="0"/>
                <w:lang w:val="en-US"/>
              </w:rPr>
            </w:pPr>
            <w:r>
              <w:rPr>
                <w:rFonts w:hint="eastAsia" w:ascii="仿宋_GB2312" w:hAnsi="仿宋_GB2312" w:eastAsia="仿宋_GB2312" w:cs="仿宋_GB2312"/>
                <w:color w:val="auto"/>
                <w:kern w:val="0"/>
                <w:sz w:val="24"/>
                <w:szCs w:val="24"/>
                <w:bdr w:val="none" w:color="auto" w:sz="0" w:space="0"/>
                <w:lang w:val="en-US" w:eastAsia="zh-CN" w:bidi="ar"/>
              </w:rPr>
              <w:t>供应商未被列入“信用中国”网站“记录失信被执行人或重大税收违法失信主体或政府采购严重违法失信行为”记录名单；不处于中国政府采购网“政府采购严重违法失信行为信息记录”中的禁止参加政府采购活动期间，共5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44A3693D">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498C3730">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3D7A9DB6">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44A1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242" w:type="dxa"/>
            <w:vMerge w:val="continue"/>
            <w:tcBorders>
              <w:top w:val="single" w:color="auto" w:sz="4" w:space="0"/>
              <w:left w:val="single" w:color="auto" w:sz="4" w:space="0"/>
              <w:bottom w:val="single" w:color="auto" w:sz="4" w:space="0"/>
              <w:right w:val="single" w:color="auto" w:sz="4" w:space="0"/>
            </w:tcBorders>
            <w:shd w:val="clear"/>
            <w:vAlign w:val="center"/>
          </w:tcPr>
          <w:p w14:paraId="7D80D91B">
            <w:pPr>
              <w:rPr>
                <w:rFonts w:hint="default" w:ascii="Times New Roman" w:hAnsi="Times New Roman" w:cs="Times New Roman"/>
                <w:color w:val="auto"/>
                <w:sz w:val="20"/>
                <w:szCs w:val="20"/>
              </w:rPr>
            </w:pPr>
          </w:p>
        </w:tc>
        <w:tc>
          <w:tcPr>
            <w:tcW w:w="1703" w:type="dxa"/>
            <w:tcBorders>
              <w:top w:val="single" w:color="auto" w:sz="4" w:space="0"/>
              <w:left w:val="single" w:color="auto" w:sz="4" w:space="0"/>
              <w:bottom w:val="single" w:color="auto" w:sz="4" w:space="0"/>
              <w:right w:val="single" w:color="auto" w:sz="4" w:space="0"/>
            </w:tcBorders>
            <w:shd w:val="clear"/>
            <w:vAlign w:val="center"/>
          </w:tcPr>
          <w:p w14:paraId="2CD1D5EA">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供应商业绩情况</w:t>
            </w:r>
          </w:p>
        </w:tc>
        <w:tc>
          <w:tcPr>
            <w:tcW w:w="670" w:type="dxa"/>
            <w:tcBorders>
              <w:top w:val="single" w:color="auto" w:sz="4" w:space="0"/>
              <w:left w:val="single" w:color="auto" w:sz="4" w:space="0"/>
              <w:bottom w:val="single" w:color="auto" w:sz="4" w:space="0"/>
              <w:right w:val="single" w:color="auto" w:sz="4" w:space="0"/>
            </w:tcBorders>
            <w:shd w:val="clear"/>
            <w:vAlign w:val="center"/>
          </w:tcPr>
          <w:p w14:paraId="00DC86DE">
            <w:pPr>
              <w:pStyle w:val="4"/>
              <w:keepNext w:val="0"/>
              <w:keepLines w:val="0"/>
              <w:widowControl/>
              <w:suppressLineNumbers w:val="0"/>
              <w:snapToGrid w:val="0"/>
              <w:ind w:left="0" w:firstLine="0" w:firstLineChars="0"/>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lang w:val="en-US"/>
              </w:rPr>
              <w:t>5</w:t>
            </w:r>
          </w:p>
        </w:tc>
        <w:tc>
          <w:tcPr>
            <w:tcW w:w="6638" w:type="dxa"/>
            <w:tcBorders>
              <w:top w:val="single" w:color="auto" w:sz="4" w:space="0"/>
              <w:left w:val="single" w:color="auto" w:sz="4" w:space="0"/>
              <w:bottom w:val="single" w:color="auto" w:sz="4" w:space="0"/>
              <w:right w:val="single" w:color="auto" w:sz="4" w:space="0"/>
            </w:tcBorders>
            <w:shd w:val="clear"/>
            <w:vAlign w:val="center"/>
          </w:tcPr>
          <w:p w14:paraId="578FA344">
            <w:pPr>
              <w:pStyle w:val="4"/>
              <w:keepNext w:val="0"/>
              <w:keepLines w:val="0"/>
              <w:widowControl/>
              <w:suppressLineNumbers w:val="0"/>
              <w:snapToGrid w:val="0"/>
              <w:ind w:left="0" w:firstLine="240"/>
              <w:jc w:val="left"/>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color w:val="auto"/>
                <w:sz w:val="24"/>
                <w:szCs w:val="24"/>
                <w:bdr w:val="none" w:color="auto" w:sz="0" w:space="0"/>
              </w:rPr>
              <w:t>投标人提供自</w:t>
            </w:r>
            <w:r>
              <w:rPr>
                <w:rFonts w:hint="eastAsia" w:ascii="仿宋_GB2312" w:hAnsi="仿宋_GB2312" w:eastAsia="仿宋_GB2312" w:cs="仿宋_GB2312"/>
                <w:color w:val="auto"/>
                <w:sz w:val="24"/>
                <w:szCs w:val="24"/>
                <w:bdr w:val="none" w:color="auto" w:sz="0" w:space="0"/>
                <w:lang w:val="en-US"/>
              </w:rPr>
              <w:t>2023</w:t>
            </w:r>
            <w:r>
              <w:rPr>
                <w:rFonts w:hint="eastAsia" w:ascii="仿宋_GB2312" w:hAnsi="仿宋_GB2312" w:eastAsia="仿宋_GB2312" w:cs="仿宋_GB2312"/>
                <w:color w:val="auto"/>
                <w:sz w:val="24"/>
                <w:szCs w:val="24"/>
                <w:bdr w:val="none" w:color="auto" w:sz="0" w:space="0"/>
              </w:rPr>
              <w:t>年</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月</w:t>
            </w:r>
            <w:r>
              <w:rPr>
                <w:rFonts w:hint="eastAsia" w:ascii="仿宋_GB2312" w:hAnsi="仿宋_GB2312" w:eastAsia="仿宋_GB2312" w:cs="仿宋_GB2312"/>
                <w:color w:val="auto"/>
                <w:sz w:val="24"/>
                <w:szCs w:val="24"/>
                <w:bdr w:val="none" w:color="auto" w:sz="0" w:space="0"/>
                <w:lang w:val="en-US"/>
              </w:rPr>
              <w:t>1</w:t>
            </w:r>
            <w:r>
              <w:rPr>
                <w:rFonts w:hint="eastAsia" w:ascii="仿宋_GB2312" w:hAnsi="仿宋_GB2312" w:eastAsia="仿宋_GB2312" w:cs="仿宋_GB2312"/>
                <w:color w:val="auto"/>
                <w:sz w:val="24"/>
                <w:szCs w:val="24"/>
                <w:bdr w:val="none" w:color="auto" w:sz="0" w:space="0"/>
              </w:rPr>
              <w:t>日至今的相关项目业绩</w:t>
            </w:r>
            <w:r>
              <w:rPr>
                <w:rFonts w:hint="eastAsia" w:ascii="仿宋_GB2312" w:hAnsi="仿宋_GB2312" w:eastAsia="仿宋_GB2312" w:cs="仿宋_GB2312"/>
                <w:color w:val="auto"/>
                <w:kern w:val="0"/>
                <w:sz w:val="24"/>
                <w:szCs w:val="24"/>
                <w:bdr w:val="none" w:color="auto" w:sz="0" w:space="0"/>
              </w:rPr>
              <w:t>（包括土壤和地下水监测方案和评估或土壤调查类的业绩）</w:t>
            </w:r>
            <w:r>
              <w:rPr>
                <w:rFonts w:hint="eastAsia" w:ascii="仿宋_GB2312" w:hAnsi="仿宋_GB2312" w:eastAsia="仿宋_GB2312" w:cs="仿宋_GB2312"/>
                <w:color w:val="auto"/>
                <w:sz w:val="24"/>
                <w:szCs w:val="24"/>
                <w:bdr w:val="none" w:color="auto" w:sz="0" w:space="0"/>
              </w:rPr>
              <w:t>，每提供一类得</w:t>
            </w:r>
            <w:r>
              <w:rPr>
                <w:rFonts w:hint="eastAsia" w:ascii="仿宋_GB2312" w:hAnsi="仿宋_GB2312" w:eastAsia="仿宋_GB2312" w:cs="仿宋_GB2312"/>
                <w:color w:val="auto"/>
                <w:sz w:val="24"/>
                <w:szCs w:val="24"/>
                <w:bdr w:val="none" w:color="auto" w:sz="0" w:space="0"/>
                <w:lang w:val="en-US"/>
              </w:rPr>
              <w:t>2.5</w:t>
            </w:r>
            <w:r>
              <w:rPr>
                <w:rFonts w:hint="eastAsia" w:ascii="仿宋_GB2312" w:hAnsi="仿宋_GB2312" w:eastAsia="仿宋_GB2312" w:cs="仿宋_GB2312"/>
                <w:color w:val="auto"/>
                <w:sz w:val="24"/>
                <w:szCs w:val="24"/>
                <w:bdr w:val="none" w:color="auto" w:sz="0" w:space="0"/>
              </w:rPr>
              <w:t>分，最高得</w:t>
            </w:r>
            <w:r>
              <w:rPr>
                <w:rFonts w:hint="eastAsia" w:ascii="仿宋_GB2312" w:hAnsi="仿宋_GB2312" w:eastAsia="仿宋_GB2312" w:cs="仿宋_GB2312"/>
                <w:color w:val="auto"/>
                <w:sz w:val="24"/>
                <w:szCs w:val="24"/>
                <w:bdr w:val="none" w:color="auto" w:sz="0" w:space="0"/>
                <w:lang w:val="en-US"/>
              </w:rPr>
              <w:t>5</w:t>
            </w:r>
            <w:r>
              <w:rPr>
                <w:rFonts w:hint="eastAsia" w:ascii="仿宋_GB2312" w:hAnsi="仿宋_GB2312" w:eastAsia="仿宋_GB2312" w:cs="仿宋_GB2312"/>
                <w:color w:val="auto"/>
                <w:sz w:val="24"/>
                <w:szCs w:val="24"/>
                <w:bdr w:val="none" w:color="auto" w:sz="0" w:space="0"/>
              </w:rPr>
              <w:t>分。提供加盖投标单位公章的合同或协议复印件</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内容须包含首页、签字盖章页</w:t>
            </w:r>
            <w:r>
              <w:rPr>
                <w:rFonts w:hint="eastAsia" w:ascii="仿宋_GB2312" w:hAnsi="仿宋_GB2312" w:eastAsia="仿宋_GB2312" w:cs="仿宋_GB2312"/>
                <w:color w:val="auto"/>
                <w:sz w:val="24"/>
                <w:szCs w:val="24"/>
                <w:bdr w:val="none" w:color="auto" w:sz="0" w:space="0"/>
                <w:lang w:val="en-US"/>
              </w:rPr>
              <w:t>)</w:t>
            </w:r>
            <w:r>
              <w:rPr>
                <w:rFonts w:hint="eastAsia" w:ascii="仿宋_GB2312" w:hAnsi="仿宋_GB2312" w:eastAsia="仿宋_GB2312" w:cs="仿宋_GB2312"/>
                <w:color w:val="auto"/>
                <w:sz w:val="24"/>
                <w:szCs w:val="24"/>
                <w:bdr w:val="none" w:color="auto" w:sz="0" w:space="0"/>
              </w:rPr>
              <w:t>，未加盖公章者不得分。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5461E56F">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56C5F8FF">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2B7236C0">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r w14:paraId="26571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10253" w:type="dxa"/>
            <w:gridSpan w:val="4"/>
            <w:tcBorders>
              <w:top w:val="single" w:color="auto" w:sz="4" w:space="0"/>
              <w:left w:val="single" w:color="auto" w:sz="4" w:space="0"/>
              <w:bottom w:val="single" w:color="auto" w:sz="4" w:space="0"/>
              <w:right w:val="single" w:color="auto" w:sz="4" w:space="0"/>
            </w:tcBorders>
            <w:shd w:val="clear"/>
            <w:vAlign w:val="center"/>
          </w:tcPr>
          <w:p w14:paraId="5CCA7E97">
            <w:pPr>
              <w:pStyle w:val="4"/>
              <w:keepNext w:val="0"/>
              <w:keepLines w:val="0"/>
              <w:widowControl/>
              <w:suppressLineNumbers w:val="0"/>
              <w:snapToGrid w:val="0"/>
              <w:ind w:left="0" w:firstLine="241"/>
              <w:jc w:val="center"/>
              <w:rPr>
                <w:rFonts w:hint="eastAsia" w:ascii="仿宋_GB2312" w:hAnsi="仿宋_GB2312" w:eastAsia="仿宋_GB2312" w:cs="仿宋_GB2312"/>
                <w:color w:val="auto"/>
                <w:sz w:val="24"/>
                <w:szCs w:val="24"/>
                <w:bdr w:val="none" w:color="auto" w:sz="0" w:space="0"/>
                <w:lang w:val="en-US"/>
              </w:rPr>
            </w:pPr>
            <w:r>
              <w:rPr>
                <w:rFonts w:hint="eastAsia" w:ascii="仿宋_GB2312" w:hAnsi="仿宋_GB2312" w:eastAsia="仿宋_GB2312" w:cs="仿宋_GB2312"/>
                <w:b/>
                <w:bCs/>
                <w:color w:val="auto"/>
                <w:sz w:val="24"/>
                <w:szCs w:val="24"/>
                <w:bdr w:val="none" w:color="auto" w:sz="0" w:space="0"/>
              </w:rPr>
              <w:t>总得分</w:t>
            </w:r>
          </w:p>
        </w:tc>
        <w:tc>
          <w:tcPr>
            <w:tcW w:w="964" w:type="dxa"/>
            <w:tcBorders>
              <w:top w:val="single" w:color="auto" w:sz="4" w:space="0"/>
              <w:left w:val="single" w:color="auto" w:sz="4" w:space="0"/>
              <w:bottom w:val="single" w:color="auto" w:sz="4" w:space="0"/>
              <w:right w:val="single" w:color="auto" w:sz="4" w:space="0"/>
            </w:tcBorders>
            <w:shd w:val="clear"/>
            <w:vAlign w:val="center"/>
          </w:tcPr>
          <w:p w14:paraId="0EB01744">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86" w:type="dxa"/>
            <w:tcBorders>
              <w:top w:val="single" w:color="auto" w:sz="4" w:space="0"/>
              <w:left w:val="single" w:color="auto" w:sz="4" w:space="0"/>
              <w:bottom w:val="single" w:color="auto" w:sz="4" w:space="0"/>
              <w:right w:val="single" w:color="auto" w:sz="4" w:space="0"/>
            </w:tcBorders>
            <w:shd w:val="clear"/>
            <w:vAlign w:val="center"/>
          </w:tcPr>
          <w:p w14:paraId="02A460D9">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c>
          <w:tcPr>
            <w:tcW w:w="960" w:type="dxa"/>
            <w:tcBorders>
              <w:top w:val="single" w:color="auto" w:sz="4" w:space="0"/>
              <w:left w:val="single" w:color="auto" w:sz="4" w:space="0"/>
              <w:bottom w:val="single" w:color="auto" w:sz="4" w:space="0"/>
              <w:right w:val="single" w:color="auto" w:sz="4" w:space="0"/>
            </w:tcBorders>
            <w:shd w:val="clear"/>
            <w:vAlign w:val="center"/>
          </w:tcPr>
          <w:p w14:paraId="60F06A4D">
            <w:pPr>
              <w:pStyle w:val="4"/>
              <w:keepNext w:val="0"/>
              <w:keepLines w:val="0"/>
              <w:widowControl/>
              <w:suppressLineNumbers w:val="0"/>
              <w:snapToGrid w:val="0"/>
              <w:ind w:left="0" w:firstLine="240"/>
              <w:jc w:val="center"/>
              <w:rPr>
                <w:rFonts w:hint="eastAsia" w:ascii="仿宋_GB2312" w:hAnsi="仿宋_GB2312" w:eastAsia="仿宋_GB2312" w:cs="仿宋_GB2312"/>
                <w:color w:val="auto"/>
                <w:sz w:val="24"/>
                <w:szCs w:val="24"/>
                <w:bdr w:val="none" w:color="auto" w:sz="0" w:space="0"/>
                <w:lang w:val="en-US"/>
              </w:rPr>
            </w:pPr>
          </w:p>
        </w:tc>
      </w:tr>
    </w:tbl>
    <w:p w14:paraId="1FBB577C">
      <w:pPr>
        <w:keepNext w:val="0"/>
        <w:keepLines w:val="0"/>
        <w:widowControl/>
        <w:suppressLineNumbers w:val="0"/>
        <w:spacing w:before="0" w:beforeAutospacing="0" w:after="0" w:afterAutospacing="0" w:line="360" w:lineRule="auto"/>
        <w:ind w:left="0" w:right="0"/>
        <w:jc w:val="both"/>
        <w:rPr>
          <w:rFonts w:hint="eastAsia" w:ascii="宋体" w:hAnsi="宋体" w:eastAsia="仿宋_GB2312" w:cs="宋体"/>
          <w:color w:val="auto"/>
          <w:kern w:val="0"/>
          <w:sz w:val="28"/>
          <w:szCs w:val="28"/>
          <w:lang w:val="en-US"/>
        </w:rPr>
      </w:pPr>
    </w:p>
    <w:p w14:paraId="19BFA705">
      <w:pPr>
        <w:rPr>
          <w:color w:val="auto"/>
        </w:rPr>
      </w:pPr>
    </w:p>
    <w:sectPr>
      <w:pgSz w:w="16840" w:h="11915" w:orient="landscape"/>
      <w:pgMar w:top="1474" w:right="1440" w:bottom="1474" w:left="1440" w:header="851" w:footer="992" w:gutter="0"/>
      <w:paperSrc/>
      <w:cols w:space="425" w:num="1"/>
      <w:docGrid w:type="lines" w:linePitch="4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仿宋_GB2312">
    <w:panose1 w:val="02010609030101010101"/>
    <w:charset w:val="86"/>
    <w:family w:val="auto"/>
    <w:pitch w:val="fixed"/>
    <w:sig w:usb0="00000001" w:usb1="080E0000" w:usb2="00000000" w:usb3="00000000" w:csb0="00040000" w:csb1="00000000"/>
  </w:font>
  <w:font w:name="仿宋">
    <w:panose1 w:val="02010609060101010101"/>
    <w:charset w:val="86"/>
    <w:family w:val="auto"/>
    <w:pitch w:val="fixed"/>
    <w:sig w:usb0="800002BF" w:usb1="38CF7CFA" w:usb2="00000016" w:usb3="00000000" w:csb0="00040001" w:csb1="00000000"/>
  </w:font>
  <w:font w:name="@方正小标宋_GBK">
    <w:panose1 w:val="03000509000000000000"/>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C4216"/>
    <w:rsid w:val="1BAC4216"/>
    <w:rsid w:val="3F1776C3"/>
    <w:rsid w:val="45746E14"/>
    <w:rsid w:val="6A6E2AA9"/>
    <w:rsid w:val="7BF84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0"/>
    <w:uiPriority w:val="0"/>
    <w:pPr>
      <w:spacing w:after="120" w:afterLines="0" w:afterAutospacing="0"/>
    </w:pPr>
  </w:style>
  <w:style w:type="paragraph" w:styleId="3">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First Indent"/>
    <w:basedOn w:val="2"/>
    <w:link w:val="9"/>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
    </w:rPr>
  </w:style>
  <w:style w:type="paragraph" w:customStyle="1" w:styleId="7">
    <w:name w:val="办公正文"/>
    <w:basedOn w:val="1"/>
    <w:qFormat/>
    <w:uiPriority w:val="0"/>
    <w:pPr>
      <w:spacing w:line="560" w:lineRule="exact"/>
      <w:ind w:left="0" w:leftChars="0"/>
    </w:pPr>
    <w:rPr>
      <w:rFonts w:eastAsia="仿宋_GB2312" w:asciiTheme="minorAscii" w:hAnsiTheme="minorAscii"/>
      <w:sz w:val="32"/>
      <w:szCs w:val="22"/>
    </w:rPr>
  </w:style>
  <w:style w:type="paragraph" w:customStyle="1" w:styleId="8">
    <w:name w:val="大标题"/>
    <w:basedOn w:val="3"/>
    <w:next w:val="1"/>
    <w:qFormat/>
    <w:uiPriority w:val="0"/>
    <w:rPr>
      <w:rFonts w:eastAsia="方正小标宋_GBK" w:asciiTheme="minorAscii" w:hAnsiTheme="minorAscii"/>
      <w:sz w:val="44"/>
      <w:szCs w:val="22"/>
    </w:rPr>
  </w:style>
  <w:style w:type="character" w:customStyle="1" w:styleId="9">
    <w:name w:val="正文首行缩进 Char"/>
    <w:basedOn w:val="10"/>
    <w:link w:val="4"/>
    <w:uiPriority w:val="0"/>
    <w:rPr>
      <w:rFonts w:hint="eastAsia" w:ascii="仿宋_GB2312" w:eastAsia="仿宋_GB2312" w:cs="仿宋_GB2312"/>
      <w:kern w:val="2"/>
      <w:sz w:val="21"/>
      <w:szCs w:val="24"/>
    </w:rPr>
  </w:style>
  <w:style w:type="character" w:customStyle="1" w:styleId="10">
    <w:name w:val="正文文本 Char"/>
    <w:basedOn w:val="6"/>
    <w:link w:val="2"/>
    <w:uiPriority w:val="0"/>
    <w:rPr>
      <w:rFonts w:hint="eastAsia" w:ascii="仿宋_GB2312" w:eastAsia="仿宋_GB2312" w:cs="仿宋_GB2312"/>
      <w:kern w:val="2"/>
      <w:sz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2026-06-29T07:24:00Z</dcterms:created>
  <dc:creator>Wei魏魏Why</dc:creator>
  <cp:lastModifiedBy>Wei魏魏Why</cp:lastModifiedBy>
  <dcterms:modified xsi:type="dcterms:W3CDTF">2026-06-29T07:26:16Z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781B0204AA3B4FC48B5B88BD49AADE7A_13</vt:lpwstr>
  </property>
  <property fmtid="{D5CDD505-2E9C-101B-9397-08002B2CF9AE}" pid="4" name="KSOTemplateDocerSaveRecord">
    <vt:lpwstr>eyJoZGlkIjoiMDUyMGNmN2RhYzIyNjQ5NTkyNzcyZjEwMTM4ZDE2MGIiLCJ1c2VySWQiOiIyOTk0MzE0NTIifQ==</vt:lpwstr>
  </property>
</Properties>
</file>