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000000" w:themeColor="text1"/>
          <w:sz w:val="44"/>
          <w:szCs w:val="44"/>
          <w:highlight w:val="none"/>
          <w:shd w:val="clear" w:color="auto" w:fill="FFFFFF"/>
          <w:lang w:bidi="ar"/>
          <w14:textFill>
            <w14:solidFill>
              <w14:schemeClr w14:val="tx1"/>
            </w14:solidFill>
          </w14:textFill>
        </w:rPr>
      </w:pPr>
      <w:r>
        <w:rPr>
          <w:rFonts w:hint="eastAsia" w:ascii="宋体" w:hAnsi="宋体" w:eastAsia="宋体" w:cs="宋体"/>
          <w:b/>
          <w:color w:val="000000" w:themeColor="text1"/>
          <w:sz w:val="44"/>
          <w:szCs w:val="44"/>
          <w:highlight w:val="none"/>
          <w:shd w:val="clear" w:color="auto" w:fill="FFFFFF"/>
          <w:lang w:bidi="ar"/>
          <w14:textFill>
            <w14:solidFill>
              <w14:schemeClr w14:val="tx1"/>
            </w14:solidFill>
          </w14:textFill>
        </w:rPr>
        <w:t>2026年江门市质量强企强链强县宣传推广服务项目合同</w:t>
      </w:r>
    </w:p>
    <w:p>
      <w:pPr>
        <w:pStyle w:val="11"/>
        <w:rPr>
          <w:highlight w:val="none"/>
        </w:rPr>
      </w:pPr>
    </w:p>
    <w:p>
      <w:pPr>
        <w:spacing w:line="560" w:lineRule="exact"/>
        <w:jc w:val="center"/>
        <w:rPr>
          <w:rFonts w:ascii="宋体" w:hAnsi="宋体" w:eastAsia="宋体" w:cs="宋体"/>
          <w:b/>
          <w:color w:val="000000" w:themeColor="text1"/>
          <w:sz w:val="32"/>
          <w:szCs w:val="32"/>
          <w:highlight w:val="none"/>
          <w:shd w:val="clear" w:color="auto" w:fill="FFFFFF"/>
          <w14:textFill>
            <w14:solidFill>
              <w14:schemeClr w14:val="tx1"/>
            </w14:solidFill>
          </w14:textFill>
        </w:rPr>
      </w:pPr>
    </w:p>
    <w:p>
      <w:pPr>
        <w:keepNext w:val="0"/>
        <w:keepLines w:val="0"/>
        <w:pageBreakBefore w:val="0"/>
        <w:kinsoku/>
        <w:wordWrap/>
        <w:overflowPunct/>
        <w:topLinePunct w:val="0"/>
        <w:bidi w:val="0"/>
        <w:spacing w:line="520" w:lineRule="exact"/>
        <w:rPr>
          <w:rFonts w:ascii="仿宋" w:hAnsi="仿宋" w:eastAsia="仿宋" w:cs="仿宋"/>
          <w:b/>
          <w:color w:val="000000"/>
          <w:sz w:val="28"/>
          <w:szCs w:val="28"/>
          <w:highlight w:val="none"/>
          <w:u w:val="single"/>
        </w:rPr>
      </w:pPr>
      <w:r>
        <w:rPr>
          <w:rFonts w:hint="eastAsia" w:ascii="仿宋" w:hAnsi="仿宋" w:eastAsia="仿宋" w:cs="仿宋"/>
          <w:b/>
          <w:bCs/>
          <w:color w:val="000000"/>
          <w:sz w:val="28"/>
          <w:szCs w:val="28"/>
          <w:highlight w:val="none"/>
        </w:rPr>
        <w:t>甲方</w:t>
      </w:r>
      <w:r>
        <w:rPr>
          <w:rFonts w:hint="eastAsia" w:ascii="仿宋" w:hAnsi="仿宋" w:eastAsia="仿宋" w:cs="仿宋"/>
          <w:color w:val="000000"/>
          <w:sz w:val="28"/>
          <w:szCs w:val="28"/>
          <w:highlight w:val="none"/>
        </w:rPr>
        <w:t xml:space="preserve">： </w:t>
      </w:r>
      <w:r>
        <w:rPr>
          <w:rFonts w:hint="eastAsia" w:ascii="仿宋" w:hAnsi="仿宋" w:eastAsia="仿宋" w:cs="仿宋"/>
          <w:bCs/>
          <w:sz w:val="28"/>
          <w:szCs w:val="28"/>
          <w:highlight w:val="none"/>
          <w:u w:val="single"/>
        </w:rPr>
        <w:t>江门市市场监督管理局</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 xml:space="preserve">地址：  </w:t>
      </w:r>
      <w:r>
        <w:rPr>
          <w:rFonts w:hint="eastAsia" w:ascii="仿宋" w:hAnsi="仿宋" w:eastAsia="仿宋" w:cs="仿宋"/>
          <w:color w:val="000000"/>
          <w:sz w:val="28"/>
          <w:szCs w:val="28"/>
          <w:highlight w:val="none"/>
          <w:u w:val="single"/>
        </w:rPr>
        <w:t>江门市蓬江区东华二路7号</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keepNext w:val="0"/>
        <w:keepLines w:val="0"/>
        <w:pageBreakBefore w:val="0"/>
        <w:kinsoku/>
        <w:wordWrap/>
        <w:overflowPunct/>
        <w:topLinePunct w:val="0"/>
        <w:bidi w:val="0"/>
        <w:spacing w:line="520" w:lineRule="exact"/>
        <w:rPr>
          <w:rFonts w:ascii="仿宋" w:hAnsi="仿宋" w:eastAsia="仿宋" w:cs="仿宋"/>
          <w:b/>
          <w:sz w:val="28"/>
          <w:szCs w:val="28"/>
          <w:highlight w:val="none"/>
          <w:u w:val="single"/>
        </w:rPr>
      </w:pPr>
      <w:r>
        <w:rPr>
          <w:rFonts w:hint="eastAsia" w:ascii="仿宋" w:hAnsi="仿宋" w:eastAsia="仿宋" w:cs="仿宋"/>
          <w:b/>
          <w:bCs/>
          <w:color w:val="000000"/>
          <w:sz w:val="28"/>
          <w:szCs w:val="28"/>
          <w:highlight w:val="none"/>
        </w:rPr>
        <w:t>乙方</w:t>
      </w:r>
      <w:r>
        <w:rPr>
          <w:rFonts w:hint="eastAsia" w:ascii="仿宋" w:hAnsi="仿宋" w:eastAsia="仿宋" w:cs="仿宋"/>
          <w:color w:val="000000"/>
          <w:sz w:val="28"/>
          <w:szCs w:val="28"/>
          <w:highlight w:val="none"/>
        </w:rPr>
        <w:t xml:space="preserve">： </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地址： </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sz w:val="28"/>
          <w:szCs w:val="28"/>
          <w:highlight w:val="none"/>
        </w:rPr>
      </w:pP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 甲、乙双方根据“2026年江门市质量强企强链强县宣传推广服务项目”</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val="en-US" w:eastAsia="zh-CN"/>
        </w:rPr>
        <w:t>2026027</w:t>
      </w:r>
      <w:r>
        <w:rPr>
          <w:rFonts w:hint="eastAsia" w:ascii="仿宋" w:hAnsi="仿宋" w:eastAsia="仿宋" w:cs="仿宋"/>
          <w:sz w:val="28"/>
          <w:szCs w:val="28"/>
          <w:highlight w:val="none"/>
        </w:rPr>
        <w:t>）</w:t>
      </w:r>
      <w:r>
        <w:rPr>
          <w:rFonts w:hint="eastAsia" w:ascii="仿宋" w:hAnsi="仿宋" w:eastAsia="仿宋" w:cs="仿宋"/>
          <w:sz w:val="28"/>
          <w:szCs w:val="28"/>
          <w:highlight w:val="none"/>
        </w:rPr>
        <w:t xml:space="preserve">（以下简称项目）的采购公告、项目采购结果公告的要求，按照《中华人民共和国政府采购法》及其实施条例等相关法律法规的规定，经双方协商，本着平等互利和诚实信用的原则，一致同意签订本合同如下： </w:t>
      </w:r>
    </w:p>
    <w:p>
      <w:pPr>
        <w:keepNext w:val="0"/>
        <w:keepLines w:val="0"/>
        <w:pageBreakBefore w:val="0"/>
        <w:kinsoku/>
        <w:wordWrap/>
        <w:overflowPunct/>
        <w:topLinePunct w:val="0"/>
        <w:bidi w:val="0"/>
        <w:spacing w:line="52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第一条  项目内容 </w:t>
      </w: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甲方委托乙方就“2026年江门市质量强企强链强县宣传推广服务项目”提供技术服务工作，</w:t>
      </w:r>
      <w:r>
        <w:rPr>
          <w:rFonts w:hint="eastAsia" w:ascii="仿宋" w:hAnsi="仿宋" w:eastAsia="仿宋" w:cs="仿宋"/>
          <w:sz w:val="28"/>
          <w:szCs w:val="28"/>
          <w:highlight w:val="none"/>
          <w:lang w:eastAsia="zh-CN"/>
        </w:rPr>
        <w:t>包括：1.协助制作质量强企强链强县宣传视频，时长约3分钟，含内容策划、视频拍摄、视频剪辑、制作成片等工作；2.在国家级纸质媒体刊发1篇不少于3000字的文章、在国家级线上媒体宣传报道质量强企强链强县、“侨都质量贷”等典型经验做法不少于3次。</w:t>
      </w:r>
      <w:r>
        <w:rPr>
          <w:rFonts w:hint="eastAsia" w:ascii="仿宋" w:hAnsi="仿宋" w:eastAsia="仿宋" w:cs="仿宋"/>
          <w:sz w:val="28"/>
          <w:szCs w:val="28"/>
          <w:highlight w:val="none"/>
        </w:rPr>
        <w:t>合同签订生效之日起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个工作日内，乙方应按采购公告、甲方要求及标准制定《2026年江门市质量强企强链强县宣传推广服务项目</w:t>
      </w:r>
      <w:r>
        <w:rPr>
          <w:rFonts w:hint="eastAsia" w:ascii="仿宋" w:hAnsi="仿宋" w:eastAsia="仿宋" w:cs="仿宋"/>
          <w:sz w:val="28"/>
          <w:szCs w:val="28"/>
          <w:highlight w:val="none"/>
          <w:lang w:eastAsia="zh-CN"/>
        </w:rPr>
        <w:t>工作方案</w:t>
      </w:r>
      <w:r>
        <w:rPr>
          <w:rFonts w:hint="eastAsia" w:ascii="仿宋" w:hAnsi="仿宋" w:eastAsia="仿宋" w:cs="仿宋"/>
          <w:sz w:val="28"/>
          <w:szCs w:val="28"/>
          <w:highlight w:val="none"/>
        </w:rPr>
        <w:t>》并报甲方审定，乙方应按甲方审定后的《工作方案》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在约定期限内向甲方提供服务，并提交相关工作成果。甲方对《工作方案》的审定不视为对乙方最终工作成果的认可，也不免除乙方按合同约定和质量标准完成项目的责任。</w:t>
      </w:r>
    </w:p>
    <w:p>
      <w:pPr>
        <w:keepNext w:val="0"/>
        <w:keepLines w:val="0"/>
        <w:pageBreakBefore w:val="0"/>
        <w:kinsoku/>
        <w:wordWrap/>
        <w:overflowPunct/>
        <w:topLinePunct w:val="0"/>
        <w:bidi w:val="0"/>
        <w:spacing w:line="52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第二条  合同期限、项目费用及支付方式</w:t>
      </w:r>
    </w:p>
    <w:p>
      <w:pPr>
        <w:numPr>
          <w:ilvl w:val="0"/>
          <w:numId w:val="1"/>
        </w:numPr>
        <w:spacing w:line="480" w:lineRule="exact"/>
        <w:rPr>
          <w:rFonts w:ascii="仿宋" w:hAnsi="仿宋" w:eastAsia="仿宋" w:cs="仿宋"/>
          <w:bCs/>
          <w:sz w:val="28"/>
          <w:szCs w:val="28"/>
          <w:highlight w:val="none"/>
        </w:rPr>
      </w:pPr>
      <w:r>
        <w:rPr>
          <w:rFonts w:hint="eastAsia" w:ascii="仿宋" w:hAnsi="仿宋" w:eastAsia="仿宋" w:cs="仿宋"/>
          <w:color w:val="000000"/>
          <w:sz w:val="28"/>
          <w:szCs w:val="28"/>
          <w:highlight w:val="none"/>
          <w:u w:val="single"/>
        </w:rPr>
        <w:t>乙方向甲方提供服务的合同期限为自本合同签订生效之日起至202</w:t>
      </w:r>
      <w:r>
        <w:rPr>
          <w:rFonts w:hint="eastAsia" w:ascii="仿宋" w:hAnsi="仿宋" w:eastAsia="仿宋" w:cs="仿宋"/>
          <w:color w:val="000000"/>
          <w:sz w:val="28"/>
          <w:szCs w:val="28"/>
          <w:highlight w:val="none"/>
          <w:u w:val="single"/>
          <w:lang w:val="en-US" w:eastAsia="zh-CN"/>
        </w:rPr>
        <w:t>6</w:t>
      </w:r>
      <w:r>
        <w:rPr>
          <w:rFonts w:hint="eastAsia" w:ascii="仿宋" w:hAnsi="仿宋" w:eastAsia="仿宋" w:cs="仿宋"/>
          <w:color w:val="000000"/>
          <w:sz w:val="28"/>
          <w:szCs w:val="28"/>
          <w:highlight w:val="none"/>
          <w:u w:val="single"/>
        </w:rPr>
        <w:t>年12月31日。</w:t>
      </w:r>
    </w:p>
    <w:p>
      <w:pPr>
        <w:keepNext w:val="0"/>
        <w:keepLines w:val="0"/>
        <w:pageBreakBefore w:val="0"/>
        <w:numPr>
          <w:ilvl w:val="0"/>
          <w:numId w:val="1"/>
        </w:numPr>
        <w:kinsoku/>
        <w:wordWrap/>
        <w:overflowPunct/>
        <w:topLinePunct w:val="0"/>
        <w:bidi w:val="0"/>
        <w:spacing w:line="520" w:lineRule="exact"/>
        <w:rPr>
          <w:rFonts w:ascii="仿宋" w:hAnsi="仿宋" w:eastAsia="仿宋" w:cs="仿宋"/>
          <w:bCs/>
          <w:sz w:val="28"/>
          <w:szCs w:val="28"/>
          <w:highlight w:val="none"/>
        </w:rPr>
      </w:pPr>
      <w:r>
        <w:rPr>
          <w:rFonts w:hint="eastAsia" w:ascii="仿宋" w:hAnsi="仿宋" w:eastAsia="仿宋" w:cs="仿宋"/>
          <w:sz w:val="28"/>
          <w:szCs w:val="28"/>
          <w:highlight w:val="none"/>
        </w:rPr>
        <w:t>乙方向甲方提供服务可获得的项目技术服</w:t>
      </w:r>
      <w:r>
        <w:rPr>
          <w:rFonts w:hint="eastAsia" w:ascii="仿宋" w:hAnsi="仿宋" w:eastAsia="仿宋" w:cs="仿宋"/>
          <w:color w:val="000000"/>
          <w:sz w:val="28"/>
          <w:szCs w:val="28"/>
          <w:highlight w:val="none"/>
        </w:rPr>
        <w:t>务总费用（即项目总费用、含税价）为</w:t>
      </w:r>
      <w:r>
        <w:rPr>
          <w:rFonts w:hint="eastAsia" w:ascii="仿宋" w:hAnsi="仿宋" w:eastAsia="仿宋" w:cs="仿宋"/>
          <w:bCs/>
          <w:sz w:val="28"/>
          <w:szCs w:val="28"/>
          <w:highlight w:val="none"/>
          <w:u w:val="single"/>
        </w:rPr>
        <w:t>人民币</w:t>
      </w:r>
      <w:r>
        <w:rPr>
          <w:rFonts w:hint="eastAsia" w:ascii="仿宋" w:hAnsi="仿宋" w:eastAsia="仿宋" w:cs="仿宋"/>
          <w:bCs/>
          <w:sz w:val="28"/>
          <w:szCs w:val="28"/>
          <w:highlight w:val="none"/>
          <w:u w:val="single"/>
        </w:rPr>
        <w:t>XX万元整（¥XX0,000.00元）</w:t>
      </w:r>
      <w:r>
        <w:rPr>
          <w:rFonts w:hint="eastAsia" w:ascii="仿宋" w:hAnsi="仿宋" w:eastAsia="仿宋" w:cs="仿宋"/>
          <w:bCs/>
          <w:color w:val="666666"/>
          <w:sz w:val="28"/>
          <w:szCs w:val="28"/>
          <w:highlight w:val="none"/>
          <w:shd w:val="clear" w:color="auto" w:fill="FFFFFF"/>
        </w:rPr>
        <w:t>。</w:t>
      </w:r>
    </w:p>
    <w:p>
      <w:pPr>
        <w:numPr>
          <w:ilvl w:val="0"/>
          <w:numId w:val="1"/>
        </w:numPr>
        <w:spacing w:line="480" w:lineRule="exact"/>
        <w:rPr>
          <w:rFonts w:ascii="仿宋" w:hAnsi="仿宋" w:eastAsia="仿宋" w:cs="仿宋"/>
          <w:sz w:val="28"/>
          <w:szCs w:val="28"/>
          <w:highlight w:val="none"/>
        </w:rPr>
      </w:pPr>
      <w:r>
        <w:rPr>
          <w:rFonts w:hint="eastAsia" w:ascii="仿宋" w:hAnsi="仿宋" w:eastAsia="仿宋" w:cs="仿宋"/>
          <w:color w:val="000000"/>
          <w:sz w:val="28"/>
          <w:szCs w:val="28"/>
          <w:highlight w:val="none"/>
        </w:rPr>
        <w:t>付款时间、方式</w:t>
      </w:r>
      <w:r>
        <w:rPr>
          <w:rFonts w:hint="eastAsia" w:ascii="仿宋" w:hAnsi="仿宋" w:eastAsia="仿宋" w:cs="仿宋"/>
          <w:sz w:val="28"/>
          <w:szCs w:val="28"/>
          <w:highlight w:val="none"/>
        </w:rPr>
        <w:t>。</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双方签署合同后，甲方分两期支付相应的款项给乙方：</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1.第一期：甲、乙双方签订本合同后，甲方收到乙方开具的相对应金额发票之日起30个工作日内，向乙方支付项目总费用的50%，即</w:t>
      </w:r>
      <w:r>
        <w:rPr>
          <w:rFonts w:hint="eastAsia" w:ascii="仿宋" w:hAnsi="仿宋" w:eastAsia="仿宋" w:cs="仿宋"/>
          <w:sz w:val="28"/>
          <w:szCs w:val="28"/>
          <w:highlight w:val="none"/>
          <w:u w:val="single"/>
        </w:rPr>
        <w:t>人民币</w:t>
      </w:r>
      <w:r>
        <w:rPr>
          <w:rFonts w:hint="eastAsia" w:ascii="仿宋" w:hAnsi="仿宋" w:eastAsia="仿宋" w:cs="仿宋"/>
          <w:sz w:val="28"/>
          <w:szCs w:val="28"/>
          <w:highlight w:val="none"/>
          <w:u w:val="single"/>
        </w:rPr>
        <w:t>XX万元整（</w:t>
      </w:r>
      <w:r>
        <w:rPr>
          <w:rFonts w:hint="eastAsia" w:ascii="仿宋" w:hAnsi="仿宋" w:eastAsia="仿宋" w:cs="仿宋"/>
          <w:bCs/>
          <w:sz w:val="28"/>
          <w:szCs w:val="28"/>
          <w:highlight w:val="none"/>
          <w:u w:val="single"/>
        </w:rPr>
        <w:t>¥XXXX.00元</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2.第二期：待项目经甲方验收合格后，甲方再次凭收到乙方开具等额有效的发票之日起30个工作日内支付剩余项目费用给乙方，即</w:t>
      </w:r>
      <w:r>
        <w:rPr>
          <w:rFonts w:hint="eastAsia" w:ascii="仿宋" w:hAnsi="仿宋" w:eastAsia="仿宋" w:cs="仿宋"/>
          <w:sz w:val="28"/>
          <w:szCs w:val="28"/>
          <w:highlight w:val="none"/>
          <w:u w:val="single"/>
        </w:rPr>
        <w:t>人民币</w:t>
      </w:r>
      <w:r>
        <w:rPr>
          <w:rFonts w:hint="eastAsia" w:ascii="仿宋" w:hAnsi="仿宋" w:eastAsia="仿宋" w:cs="仿宋"/>
          <w:sz w:val="28"/>
          <w:szCs w:val="28"/>
          <w:highlight w:val="none"/>
          <w:u w:val="single"/>
        </w:rPr>
        <w:t>XX万元整（</w:t>
      </w:r>
      <w:r>
        <w:rPr>
          <w:rFonts w:hint="eastAsia" w:ascii="仿宋" w:hAnsi="仿宋" w:eastAsia="仿宋" w:cs="仿宋"/>
          <w:bCs/>
          <w:sz w:val="28"/>
          <w:szCs w:val="28"/>
          <w:highlight w:val="none"/>
          <w:u w:val="single"/>
        </w:rPr>
        <w:t>¥XX0,000.00元</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w:t>
      </w:r>
    </w:p>
    <w:p>
      <w:pPr>
        <w:spacing w:line="480" w:lineRule="exact"/>
        <w:ind w:firstLine="560" w:firstLineChars="200"/>
        <w:rPr>
          <w:rFonts w:hint="eastAsia" w:ascii="仿宋" w:hAnsi="仿宋" w:eastAsia="仿宋" w:cs="仿宋"/>
          <w:sz w:val="28"/>
          <w:szCs w:val="28"/>
          <w:highlight w:val="none"/>
        </w:rPr>
      </w:pPr>
      <w:r>
        <w:rPr>
          <w:rFonts w:ascii="仿宋" w:hAnsi="仿宋" w:eastAsia="仿宋" w:cs="仿宋"/>
          <w:sz w:val="28"/>
          <w:szCs w:val="28"/>
          <w:highlight w:val="none"/>
        </w:rPr>
        <w:t>3.</w:t>
      </w:r>
      <w:r>
        <w:rPr>
          <w:rFonts w:hint="eastAsia" w:ascii="仿宋" w:hAnsi="仿宋" w:eastAsia="仿宋" w:cs="仿宋"/>
          <w:sz w:val="28"/>
          <w:szCs w:val="28"/>
          <w:highlight w:val="none"/>
        </w:rPr>
        <w:t>乙方确认：</w:t>
      </w:r>
      <w:r>
        <w:rPr>
          <w:rFonts w:ascii="仿宋" w:hAnsi="仿宋" w:eastAsia="仿宋" w:cs="仿宋"/>
          <w:sz w:val="28"/>
          <w:szCs w:val="28"/>
          <w:highlight w:val="none"/>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highlight w:val="none"/>
        </w:rPr>
        <w:t>不视为甲</w:t>
      </w:r>
      <w:bookmarkStart w:id="0" w:name="_GoBack"/>
      <w:bookmarkEnd w:id="0"/>
      <w:r>
        <w:rPr>
          <w:rFonts w:hint="eastAsia" w:ascii="仿宋" w:hAnsi="仿宋" w:eastAsia="仿宋" w:cs="仿宋"/>
          <w:sz w:val="28"/>
          <w:szCs w:val="28"/>
          <w:highlight w:val="none"/>
        </w:rPr>
        <w:t>方违约，乙方不能据此追究甲方逾期付款的违约责任。</w:t>
      </w:r>
    </w:p>
    <w:p>
      <w:pPr>
        <w:spacing w:line="480" w:lineRule="exact"/>
        <w:ind w:firstLine="560" w:firstLineChars="200"/>
        <w:rPr>
          <w:rFonts w:ascii="仿宋" w:hAnsi="仿宋" w:eastAsia="仿宋" w:cs="仿宋"/>
          <w:sz w:val="28"/>
          <w:szCs w:val="28"/>
          <w:highlight w:val="none"/>
        </w:rPr>
      </w:pPr>
      <w:r>
        <w:rPr>
          <w:rFonts w:ascii="仿宋" w:hAnsi="仿宋" w:eastAsia="仿宋" w:cs="仿宋"/>
          <w:sz w:val="28"/>
          <w:szCs w:val="28"/>
          <w:highlight w:val="none"/>
        </w:rPr>
        <w:t>4.</w:t>
      </w:r>
      <w:r>
        <w:rPr>
          <w:rFonts w:hint="eastAsia" w:ascii="仿宋" w:hAnsi="仿宋" w:eastAsia="仿宋" w:cs="仿宋"/>
          <w:sz w:val="28"/>
          <w:szCs w:val="28"/>
          <w:highlight w:val="none"/>
        </w:rPr>
        <w:t>甲方支付以乙方无违约为前提，若乙方违约，甲方有权在应付款中做相应扣除。</w:t>
      </w:r>
    </w:p>
    <w:p>
      <w:pPr>
        <w:numPr>
          <w:ilvl w:val="0"/>
          <w:numId w:val="1"/>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乙方账户信息如下：</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开户名：</w:t>
      </w:r>
      <w:r>
        <w:rPr>
          <w:rFonts w:ascii="仿宋" w:hAnsi="仿宋" w:eastAsia="仿宋" w:cs="仿宋"/>
          <w:sz w:val="28"/>
          <w:szCs w:val="28"/>
          <w:highlight w:val="none"/>
          <w:u w:val="single"/>
        </w:rPr>
        <w:t xml:space="preserve">                        </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开户行：</w:t>
      </w:r>
      <w:r>
        <w:rPr>
          <w:rFonts w:ascii="仿宋" w:hAnsi="仿宋" w:eastAsia="仿宋" w:cs="仿宋"/>
          <w:sz w:val="28"/>
          <w:szCs w:val="28"/>
          <w:highlight w:val="none"/>
          <w:u w:val="single"/>
        </w:rPr>
        <w:t xml:space="preserve">                        </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账  号：</w:t>
      </w:r>
      <w:r>
        <w:rPr>
          <w:rFonts w:ascii="仿宋" w:hAnsi="仿宋" w:eastAsia="仿宋" w:cs="仿宋"/>
          <w:sz w:val="28"/>
          <w:szCs w:val="28"/>
          <w:highlight w:val="none"/>
          <w:u w:val="single"/>
        </w:rPr>
        <w:t xml:space="preserve">                        </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（五）</w:t>
      </w:r>
      <w:r>
        <w:rPr>
          <w:rFonts w:hint="eastAsia" w:ascii="仿宋" w:hAnsi="仿宋" w:eastAsia="仿宋" w:cs="仿宋"/>
          <w:sz w:val="28"/>
          <w:szCs w:val="28"/>
          <w:highlight w:val="none"/>
        </w:rPr>
        <w:t>甲方开票信息如下：</w:t>
      </w:r>
    </w:p>
    <w:p>
      <w:pPr>
        <w:spacing w:line="480" w:lineRule="exact"/>
        <w:ind w:firstLine="560" w:firstLineChars="200"/>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单位名称：江门市市场监督管理局</w:t>
      </w:r>
    </w:p>
    <w:p>
      <w:pPr>
        <w:spacing w:line="480" w:lineRule="exact"/>
        <w:ind w:firstLine="560" w:firstLineChars="200"/>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统一</w:t>
      </w:r>
      <w:r>
        <w:rPr>
          <w:rFonts w:hint="eastAsia" w:ascii="仿宋" w:hAnsi="仿宋" w:eastAsia="仿宋" w:cs="仿宋"/>
          <w:sz w:val="28"/>
          <w:szCs w:val="28"/>
          <w:highlight w:val="none"/>
          <w:lang w:val="en-US" w:eastAsia="zh-CN" w:bidi="ar"/>
        </w:rPr>
        <w:t>社会</w:t>
      </w:r>
      <w:r>
        <w:rPr>
          <w:rFonts w:hint="eastAsia" w:ascii="仿宋" w:hAnsi="仿宋" w:eastAsia="仿宋" w:cs="仿宋"/>
          <w:sz w:val="28"/>
          <w:szCs w:val="28"/>
          <w:highlight w:val="none"/>
          <w:lang w:bidi="ar"/>
        </w:rPr>
        <w:t>信用代码：11440700MB2C90725T</w:t>
      </w:r>
    </w:p>
    <w:p>
      <w:pPr>
        <w:keepNext w:val="0"/>
        <w:keepLines w:val="0"/>
        <w:pageBreakBefore w:val="0"/>
        <w:kinsoku/>
        <w:wordWrap/>
        <w:overflowPunct/>
        <w:topLinePunct w:val="0"/>
        <w:bidi w:val="0"/>
        <w:spacing w:line="520" w:lineRule="exact"/>
        <w:rPr>
          <w:rFonts w:ascii="仿宋" w:hAnsi="仿宋" w:eastAsia="仿宋" w:cs="仿宋"/>
          <w:color w:val="666666"/>
          <w:sz w:val="28"/>
          <w:szCs w:val="28"/>
          <w:highlight w:val="none"/>
          <w:shd w:val="clear" w:color="auto" w:fill="FFFFFF"/>
        </w:rPr>
      </w:pPr>
      <w:r>
        <w:rPr>
          <w:rFonts w:hint="eastAsia" w:ascii="仿宋" w:hAnsi="仿宋" w:eastAsia="仿宋" w:cs="仿宋"/>
          <w:b/>
          <w:bCs/>
          <w:sz w:val="28"/>
          <w:szCs w:val="28"/>
          <w:highlight w:val="none"/>
        </w:rPr>
        <w:t>第三条  验收方式</w:t>
      </w:r>
      <w:r>
        <w:rPr>
          <w:rFonts w:hint="eastAsia" w:ascii="仿宋" w:hAnsi="仿宋" w:eastAsia="仿宋" w:cs="仿宋"/>
          <w:color w:val="666666"/>
          <w:sz w:val="28"/>
          <w:szCs w:val="28"/>
          <w:highlight w:val="none"/>
          <w:shd w:val="clear" w:color="auto" w:fill="FFFFFF"/>
        </w:rPr>
        <w:t xml:space="preserve"> </w:t>
      </w:r>
    </w:p>
    <w:p>
      <w:pPr>
        <w:keepNext w:val="0"/>
        <w:keepLines w:val="0"/>
        <w:pageBreakBefore w:val="0"/>
        <w:numPr>
          <w:ilvl w:val="0"/>
          <w:numId w:val="2"/>
        </w:numPr>
        <w:kinsoku/>
        <w:wordWrap/>
        <w:overflowPunct/>
        <w:topLinePunct w:val="0"/>
        <w:bidi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乙方完成新闻稿撰写，相关内容对外发布</w:t>
      </w:r>
      <w:r>
        <w:rPr>
          <w:rFonts w:hint="eastAsia" w:ascii="仿宋" w:hAnsi="仿宋" w:eastAsia="仿宋" w:cs="仿宋"/>
          <w:sz w:val="28"/>
          <w:szCs w:val="28"/>
          <w:highlight w:val="none"/>
          <w:lang w:eastAsia="zh-Hans"/>
        </w:rPr>
        <w:t>前</w:t>
      </w:r>
      <w:r>
        <w:rPr>
          <w:rFonts w:hint="eastAsia" w:ascii="仿宋" w:hAnsi="仿宋" w:eastAsia="仿宋" w:cs="仿宋"/>
          <w:sz w:val="28"/>
          <w:szCs w:val="28"/>
          <w:highlight w:val="none"/>
        </w:rPr>
        <w:t>都应提交甲方审核验收，甲方应在收到样稿之日起</w:t>
      </w:r>
      <w:r>
        <w:rPr>
          <w:rFonts w:ascii="仿宋" w:hAnsi="仿宋" w:eastAsia="仿宋" w:cs="仿宋"/>
          <w:sz w:val="28"/>
          <w:szCs w:val="28"/>
          <w:highlight w:val="none"/>
        </w:rPr>
        <w:t>3</w:t>
      </w:r>
      <w:r>
        <w:rPr>
          <w:rFonts w:hint="eastAsia" w:ascii="仿宋" w:hAnsi="仿宋" w:eastAsia="仿宋" w:cs="仿宋"/>
          <w:sz w:val="28"/>
          <w:szCs w:val="28"/>
          <w:highlight w:val="none"/>
        </w:rPr>
        <w:t>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keepNext w:val="0"/>
        <w:keepLines w:val="0"/>
        <w:pageBreakBefore w:val="0"/>
        <w:numPr>
          <w:ilvl w:val="255"/>
          <w:numId w:val="0"/>
        </w:numPr>
        <w:kinsoku/>
        <w:wordWrap/>
        <w:overflowPunct/>
        <w:topLinePunct w:val="0"/>
        <w:bidi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本项目结束之日起</w:t>
      </w:r>
      <w:r>
        <w:rPr>
          <w:rFonts w:hint="eastAsia" w:ascii="仿宋" w:hAnsi="仿宋" w:eastAsia="仿宋" w:cs="仿宋"/>
          <w:sz w:val="28"/>
          <w:szCs w:val="28"/>
          <w:highlight w:val="none"/>
          <w:u w:val="single"/>
        </w:rPr>
        <w:t xml:space="preserve"> 3 </w:t>
      </w:r>
      <w:r>
        <w:rPr>
          <w:rFonts w:hint="eastAsia" w:ascii="仿宋" w:hAnsi="仿宋" w:eastAsia="仿宋" w:cs="仿宋"/>
          <w:sz w:val="28"/>
          <w:szCs w:val="28"/>
          <w:highlight w:val="none"/>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pPr>
        <w:keepNext w:val="0"/>
        <w:keepLines w:val="0"/>
        <w:pageBreakBefore w:val="0"/>
        <w:numPr>
          <w:ilvl w:val="0"/>
          <w:numId w:val="2"/>
        </w:numPr>
        <w:kinsoku/>
        <w:wordWrap/>
        <w:overflowPunct/>
        <w:topLinePunct w:val="0"/>
        <w:bidi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验收标准：由甲方依据国家、省、市制定的法律法规政策、</w:t>
      </w:r>
      <w:r>
        <w:rPr>
          <w:rFonts w:hint="eastAsia" w:ascii="仿宋" w:hAnsi="仿宋" w:eastAsia="仿宋" w:cs="仿宋"/>
          <w:bCs/>
          <w:sz w:val="28"/>
          <w:szCs w:val="28"/>
          <w:highlight w:val="none"/>
        </w:rPr>
        <w:t>行业规范或标准以及采购公告、本合同约定的技术、服务标准进行验收，验收内容包括但不限于：内容真实性、政治导向正确性、纸媒版面设计、画面清晰度、视频格式、播出平台级别、传播效果数据等。</w:t>
      </w:r>
    </w:p>
    <w:p>
      <w:pPr>
        <w:keepNext w:val="0"/>
        <w:keepLines w:val="0"/>
        <w:pageBreakBefore w:val="0"/>
        <w:numPr>
          <w:ilvl w:val="0"/>
          <w:numId w:val="2"/>
        </w:numPr>
        <w:kinsoku/>
        <w:wordWrap/>
        <w:overflowPunct/>
        <w:topLinePunct w:val="0"/>
        <w:bidi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经甲方验收不</w:t>
      </w:r>
      <w:r>
        <w:rPr>
          <w:rFonts w:hint="eastAsia" w:ascii="仿宋" w:hAnsi="仿宋" w:eastAsia="仿宋" w:cs="仿宋"/>
          <w:sz w:val="28"/>
          <w:szCs w:val="28"/>
          <w:highlight w:val="none"/>
        </w:rPr>
        <w:t>合格</w:t>
      </w:r>
      <w:r>
        <w:rPr>
          <w:rFonts w:hint="eastAsia" w:ascii="仿宋" w:hAnsi="仿宋" w:eastAsia="仿宋" w:cs="仿宋"/>
          <w:bCs/>
          <w:sz w:val="28"/>
          <w:szCs w:val="28"/>
          <w:highlight w:val="none"/>
        </w:rPr>
        <w:t>的，乙方应在甲方指定期限内采取弥补措施并再次提交给甲方验收；验收合格后由甲方和乙方共同签字确认并作为结算及甲方支付第二期款项的依据。若经甲方连续两次验收未通过的，甲方有权解除合同，</w:t>
      </w:r>
      <w:r>
        <w:rPr>
          <w:rFonts w:hint="eastAsia" w:ascii="仿宋" w:hAnsi="仿宋" w:eastAsia="仿宋" w:cs="仿宋"/>
          <w:bCs/>
          <w:sz w:val="28"/>
          <w:szCs w:val="28"/>
          <w:highlight w:val="none"/>
          <w:lang w:eastAsia="zh-Hans"/>
        </w:rPr>
        <w:t>且</w:t>
      </w:r>
      <w:r>
        <w:rPr>
          <w:rFonts w:hint="eastAsia" w:ascii="仿宋" w:hAnsi="仿宋" w:eastAsia="仿宋" w:cs="仿宋"/>
          <w:bCs/>
          <w:sz w:val="28"/>
          <w:szCs w:val="28"/>
          <w:highlight w:val="none"/>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highlight w:val="none"/>
          <w:lang w:eastAsia="zh-Hans"/>
        </w:rPr>
        <w:t>，也即不能要求甲方予以承担</w:t>
      </w:r>
      <w:r>
        <w:rPr>
          <w:rFonts w:hint="eastAsia" w:ascii="仿宋" w:hAnsi="仿宋" w:eastAsia="仿宋" w:cs="仿宋"/>
          <w:bCs/>
          <w:sz w:val="28"/>
          <w:szCs w:val="28"/>
          <w:highlight w:val="none"/>
        </w:rPr>
        <w:t>）。</w:t>
      </w:r>
    </w:p>
    <w:p>
      <w:pPr>
        <w:keepNext w:val="0"/>
        <w:keepLines w:val="0"/>
        <w:pageBreakBefore w:val="0"/>
        <w:kinsoku/>
        <w:wordWrap/>
        <w:overflowPunct/>
        <w:topLinePunct w:val="0"/>
        <w:bidi w:val="0"/>
        <w:spacing w:line="52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第四条  甲方的权利和义务</w:t>
      </w:r>
    </w:p>
    <w:p>
      <w:pPr>
        <w:keepNext w:val="0"/>
        <w:keepLines w:val="0"/>
        <w:pageBreakBefore w:val="0"/>
        <w:numPr>
          <w:ilvl w:val="0"/>
          <w:numId w:val="3"/>
        </w:numPr>
        <w:kinsoku/>
        <w:wordWrap/>
        <w:overflowPunct/>
        <w:topLinePunct w:val="0"/>
        <w:bidi w:val="0"/>
        <w:spacing w:line="520" w:lineRule="exact"/>
        <w:rPr>
          <w:rFonts w:ascii="仿宋" w:hAnsi="仿宋" w:eastAsia="仿宋" w:cs="仿宋"/>
          <w:sz w:val="28"/>
          <w:szCs w:val="28"/>
          <w:highlight w:val="none"/>
        </w:rPr>
      </w:pPr>
      <w:r>
        <w:rPr>
          <w:rFonts w:hint="eastAsia" w:ascii="仿宋" w:hAnsi="仿宋" w:eastAsia="仿宋" w:cs="仿宋"/>
          <w:sz w:val="28"/>
          <w:szCs w:val="28"/>
          <w:highlight w:val="none"/>
        </w:rPr>
        <w:t>项目实施期间，甲方有权向乙方提出建议或具体变更的要求，乙方应当按照甲方的要求执行。甲方有权对乙方提交的《工作方案》提出修改意见，乙方应在收到修改意见后3个工作日内完成修改并重新提交甲方审定；</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根据甲、乙双方确定的项目计划，甲方有权督促乙方的实施情况，了解工作进度及开展情况。</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甲方向乙方提供完成指定服务所必须的政策、资料信息，并协调合作期间所需的资讯、人员，以确保本项目如期顺利地进行。</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甲方按本合同约定向乙方支付项目费用。</w:t>
      </w:r>
    </w:p>
    <w:p>
      <w:pPr>
        <w:keepNext w:val="0"/>
        <w:keepLines w:val="0"/>
        <w:pageBreakBefore w:val="0"/>
        <w:kinsoku/>
        <w:wordWrap/>
        <w:overflowPunct/>
        <w:topLinePunct w:val="0"/>
        <w:bidi w:val="0"/>
        <w:spacing w:line="52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第五条  乙方的权利和义务</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jc w:val="left"/>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乙方应当根据采购公告、甲方的要求做出工作实施方案，经甲方审定后，乙方应根据甲方审定后的工作方案按时按质完成项目服务内容。</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乙方承诺严格遵守国家关于保密（包括私隐）方面的所有法律法规，对涉及甲方工作秘密的数据及资料保密。乙方应对其工作人员进行保密教育，并与其签订保密承诺书，乙方工作人员违反保密义务的，视为乙方违约。所有工作时间内，乙方对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本条款约定的保密义务永久有效。</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jc w:val="left"/>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乙方有权要求甲方按照本合同约定支付相应款项。</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jc w:val="left"/>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未经甲方同意，乙方不得更换项目负责人或主要创作人员。</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jc w:val="left"/>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乙方发布的内容如引发负面舆情或法律纠纷，乙方应在24小时内响应并处理，并承担由此产生的一切法律责任和舆论后果。</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jc w:val="left"/>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乙方应在项目结束后10个工作日内向甲方提交完整的项目档案（包括视频成片、文案原稿、发布截图、传播数据等），甲方有权永久保存并使用。</w:t>
      </w:r>
    </w:p>
    <w:p>
      <w:pPr>
        <w:keepNext w:val="0"/>
        <w:keepLines w:val="0"/>
        <w:pageBreakBefore w:val="0"/>
        <w:numPr>
          <w:ilvl w:val="0"/>
          <w:numId w:val="5"/>
        </w:numPr>
        <w:kinsoku/>
        <w:wordWrap/>
        <w:overflowPunct/>
        <w:topLinePunct w:val="0"/>
        <w:bidi w:val="0"/>
        <w:spacing w:line="52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 知识产权归属</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highlight w:val="none"/>
        </w:rPr>
      </w:pPr>
      <w:r>
        <w:rPr>
          <w:rFonts w:hint="eastAsia" w:ascii="仿宋" w:hAnsi="仿宋" w:eastAsia="仿宋" w:cs="仿宋_GB2312"/>
          <w:sz w:val="28"/>
          <w:szCs w:val="28"/>
          <w:highlight w:val="none"/>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highlight w:val="none"/>
        </w:rPr>
      </w:pPr>
      <w:r>
        <w:rPr>
          <w:rFonts w:hint="eastAsia" w:ascii="仿宋" w:hAnsi="仿宋" w:eastAsia="仿宋" w:cs="仿宋_GB2312"/>
          <w:sz w:val="28"/>
          <w:szCs w:val="28"/>
          <w:highlight w:val="none"/>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highlight w:val="none"/>
        </w:rPr>
        <w:t>。</w:t>
      </w:r>
      <w:r>
        <w:rPr>
          <w:rFonts w:hint="eastAsia" w:ascii="仿宋" w:hAnsi="仿宋" w:eastAsia="仿宋" w:cs="仿宋_GB2312"/>
          <w:sz w:val="28"/>
          <w:szCs w:val="28"/>
          <w:highlight w:val="none"/>
        </w:rPr>
        <w:t>未经甲方事先书面许可乙方不得为本合同之外的任何目的、以任何形式自行使用或擅自许可任何第三方使用。</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highlight w:val="none"/>
        </w:rPr>
      </w:pPr>
      <w:r>
        <w:rPr>
          <w:rFonts w:hint="eastAsia" w:ascii="仿宋" w:hAnsi="仿宋" w:eastAsia="仿宋" w:cs="仿宋"/>
          <w:sz w:val="28"/>
          <w:szCs w:val="28"/>
          <w:highlight w:val="none"/>
        </w:rPr>
        <w:t>乙方在项目实施过程中不得侵犯第三人知识产权以及其他权益。需要使用第三人知识产权的，乙方应取得权利人许可或者授权并由乙方承担费用。如因第三方提出其专利权、商标权或其他知识产权的侵权之诉，则</w:t>
      </w:r>
      <w:r>
        <w:rPr>
          <w:rFonts w:hint="eastAsia" w:ascii="仿宋" w:hAnsi="仿宋" w:eastAsia="仿宋" w:cs="仿宋_GB2312"/>
          <w:sz w:val="28"/>
          <w:szCs w:val="28"/>
          <w:highlight w:val="none"/>
        </w:rPr>
        <w:t>一切法律责任由乙方承担（包括但不限于律师费、诉讼费、调查费、差旅费、赔偿款等）。</w:t>
      </w:r>
    </w:p>
    <w:p>
      <w:pPr>
        <w:keepNext w:val="0"/>
        <w:keepLines w:val="0"/>
        <w:pageBreakBefore w:val="0"/>
        <w:numPr>
          <w:ilvl w:val="255"/>
          <w:numId w:val="0"/>
        </w:numPr>
        <w:kinsoku/>
        <w:wordWrap/>
        <w:overflowPunct/>
        <w:topLinePunct w:val="0"/>
        <w:bidi w:val="0"/>
        <w:spacing w:line="52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第七条  不可抗力</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highlight w:val="none"/>
        </w:rPr>
      </w:pPr>
      <w:r>
        <w:rPr>
          <w:rFonts w:hint="eastAsia" w:ascii="仿宋" w:hAnsi="仿宋" w:eastAsia="仿宋" w:cs="仿宋"/>
          <w:sz w:val="28"/>
          <w:szCs w:val="28"/>
          <w:highlight w:val="none"/>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highlight w:val="none"/>
        </w:rPr>
      </w:pPr>
      <w:r>
        <w:rPr>
          <w:rFonts w:hint="eastAsia" w:ascii="仿宋" w:hAnsi="仿宋" w:eastAsia="仿宋" w:cs="仿宋"/>
          <w:sz w:val="28"/>
          <w:szCs w:val="28"/>
          <w:highlight w:val="none"/>
        </w:rPr>
        <w:t>受到不可抗力影响的一方，应尽可能地采取合理的行为和适当的措施减轻不可抗力对本合同的履行所造成的影响。没有采取适当措施致使损失扩大的，该方不得就扩大损失的部分要求免责或赔偿。</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highlight w:val="none"/>
        </w:rPr>
      </w:pPr>
      <w:r>
        <w:rPr>
          <w:rFonts w:hint="eastAsia" w:ascii="仿宋" w:hAnsi="仿宋" w:eastAsia="仿宋" w:cs="仿宋"/>
          <w:sz w:val="28"/>
          <w:szCs w:val="28"/>
          <w:highlight w:val="none"/>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keepNext w:val="0"/>
        <w:keepLines w:val="0"/>
        <w:pageBreakBefore w:val="0"/>
        <w:kinsoku/>
        <w:wordWrap/>
        <w:overflowPunct/>
        <w:topLinePunct w:val="0"/>
        <w:bidi w:val="0"/>
        <w:spacing w:line="52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第八条  违约责任</w:t>
      </w:r>
    </w:p>
    <w:p>
      <w:pPr>
        <w:keepNext w:val="0"/>
        <w:keepLines w:val="0"/>
        <w:pageBreakBefore w:val="0"/>
        <w:numPr>
          <w:ilvl w:val="0"/>
          <w:numId w:val="8"/>
        </w:numPr>
        <w:kinsoku/>
        <w:wordWrap/>
        <w:overflowPunct/>
        <w:topLinePunct w:val="0"/>
        <w:bidi w:val="0"/>
        <w:spacing w:line="520" w:lineRule="exact"/>
        <w:rPr>
          <w:rFonts w:ascii="仿宋" w:hAnsi="仿宋" w:eastAsia="仿宋" w:cs="仿宋"/>
          <w:sz w:val="28"/>
          <w:szCs w:val="28"/>
          <w:highlight w:val="none"/>
        </w:rPr>
      </w:pPr>
      <w:r>
        <w:rPr>
          <w:rFonts w:hint="eastAsia" w:ascii="仿宋" w:hAnsi="仿宋" w:eastAsia="仿宋" w:cs="仿宋"/>
          <w:sz w:val="28"/>
          <w:szCs w:val="28"/>
          <w:highlight w:val="none"/>
        </w:rPr>
        <w:t>甲方的违约责任：</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甲方未按本合同约定向乙方支付款项的，乙方有权要求甲方按照逾期支付款项的日万分之一向乙方支付违约金，但因乙方自身原因造成的除外。</w:t>
      </w:r>
    </w:p>
    <w:p>
      <w:pPr>
        <w:keepNext w:val="0"/>
        <w:keepLines w:val="0"/>
        <w:pageBreakBefore w:val="0"/>
        <w:numPr>
          <w:ilvl w:val="0"/>
          <w:numId w:val="8"/>
        </w:numPr>
        <w:kinsoku/>
        <w:wordWrap/>
        <w:overflowPunct/>
        <w:topLinePunct w:val="0"/>
        <w:bidi w:val="0"/>
        <w:spacing w:line="520" w:lineRule="exact"/>
        <w:rPr>
          <w:rFonts w:ascii="仿宋" w:hAnsi="仿宋" w:eastAsia="仿宋" w:cs="仿宋"/>
          <w:sz w:val="28"/>
          <w:szCs w:val="28"/>
          <w:highlight w:val="none"/>
        </w:rPr>
      </w:pPr>
      <w:r>
        <w:rPr>
          <w:rFonts w:hint="eastAsia" w:ascii="仿宋" w:hAnsi="仿宋" w:eastAsia="仿宋" w:cs="仿宋"/>
          <w:sz w:val="28"/>
          <w:szCs w:val="28"/>
          <w:highlight w:val="none"/>
        </w:rPr>
        <w:t>乙方的违约责任：</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1.乙方未按照合同约定及时提交项目成果性文件或逾期完成项目工作的，从逾期之日起，甲方有权要求乙方按本项目技术服务总费用的日千分之一向甲方支付违约金直到乙方提交或者完成之日止。</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（1）乙方不具备履行本合同所需的全部资质、许可及专业技术能力，导致项目无法正常进行或甲方受到行政处罚的；</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（2）乙方逾期提交项目成果性文件或者逾期完成项目工作超过15日以上的；</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w:t>
      </w:r>
      <w:r>
        <w:rPr>
          <w:rFonts w:ascii="仿宋" w:hAnsi="仿宋" w:eastAsia="仿宋" w:cs="仿宋"/>
          <w:sz w:val="28"/>
          <w:szCs w:val="28"/>
          <w:highlight w:val="none"/>
        </w:rPr>
        <w:t>3</w:t>
      </w:r>
      <w:r>
        <w:rPr>
          <w:rFonts w:hint="eastAsia" w:ascii="仿宋" w:hAnsi="仿宋" w:eastAsia="仿宋" w:cs="仿宋"/>
          <w:sz w:val="28"/>
          <w:szCs w:val="28"/>
          <w:highlight w:val="none"/>
        </w:rPr>
        <w:t>）乙方因自身原因不能提供服务（不包括本条第1点的情形）或提供的服务质量不符合本合同约定以及相关法律法规规定的，甲方有权拒收；</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w:t>
      </w:r>
      <w:r>
        <w:rPr>
          <w:rFonts w:ascii="仿宋" w:hAnsi="仿宋" w:eastAsia="仿宋" w:cs="仿宋"/>
          <w:sz w:val="28"/>
          <w:szCs w:val="28"/>
          <w:highlight w:val="none"/>
        </w:rPr>
        <w:t>4</w:t>
      </w:r>
      <w:r>
        <w:rPr>
          <w:rFonts w:hint="eastAsia" w:ascii="仿宋" w:hAnsi="仿宋" w:eastAsia="仿宋" w:cs="仿宋"/>
          <w:sz w:val="28"/>
          <w:szCs w:val="28"/>
          <w:highlight w:val="none"/>
        </w:rPr>
        <w:t>）未经甲方同意，乙方将本合同项目部分或全部技术服务工作转让第三人负责的。</w:t>
      </w:r>
    </w:p>
    <w:p>
      <w:pPr>
        <w:keepNext w:val="0"/>
        <w:keepLines w:val="0"/>
        <w:pageBreakBefore w:val="0"/>
        <w:kinsoku/>
        <w:wordWrap/>
        <w:overflowPunct/>
        <w:topLinePunct w:val="0"/>
        <w:bidi w:val="0"/>
        <w:spacing w:line="520" w:lineRule="exact"/>
        <w:rPr>
          <w:rFonts w:ascii="仿宋" w:hAnsi="仿宋" w:eastAsia="仿宋" w:cs="仿宋"/>
          <w:sz w:val="28"/>
          <w:szCs w:val="28"/>
          <w:highlight w:val="none"/>
        </w:rPr>
      </w:pPr>
      <w:r>
        <w:rPr>
          <w:rFonts w:hint="eastAsia" w:ascii="仿宋" w:hAnsi="仿宋" w:eastAsia="仿宋" w:cs="仿宋"/>
          <w:b/>
          <w:bCs/>
          <w:sz w:val="28"/>
          <w:szCs w:val="28"/>
          <w:highlight w:val="none"/>
        </w:rPr>
        <w:t>第九条  双方确定，出现下列情形，致使本合同的履行成为不必要或不能的，可以解除本合同：</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highlight w:val="none"/>
        </w:rPr>
      </w:pPr>
      <w:r>
        <w:rPr>
          <w:rFonts w:hint="eastAsia" w:ascii="仿宋" w:hAnsi="仿宋" w:eastAsia="仿宋" w:cs="仿宋"/>
          <w:sz w:val="28"/>
          <w:szCs w:val="28"/>
          <w:highlight w:val="none"/>
        </w:rPr>
        <w:t>发生不可抗力。</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highlight w:val="none"/>
        </w:rPr>
      </w:pPr>
      <w:r>
        <w:rPr>
          <w:rFonts w:hint="eastAsia" w:ascii="仿宋" w:hAnsi="仿宋" w:eastAsia="仿宋" w:cs="仿宋"/>
          <w:sz w:val="28"/>
          <w:szCs w:val="28"/>
          <w:highlight w:val="none"/>
        </w:rPr>
        <w:t>因一方违约使合同不能继续履行或没有必要继续履行。</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highlight w:val="none"/>
        </w:rPr>
      </w:pPr>
      <w:r>
        <w:rPr>
          <w:rFonts w:hint="eastAsia" w:ascii="仿宋" w:hAnsi="仿宋" w:eastAsia="仿宋" w:cs="仿宋"/>
          <w:sz w:val="28"/>
          <w:szCs w:val="28"/>
          <w:highlight w:val="none"/>
        </w:rPr>
        <w:t>出现法律法规或国家政策规定等特定情形导致合同不能继续履行。</w:t>
      </w:r>
    </w:p>
    <w:p>
      <w:pPr>
        <w:keepNext w:val="0"/>
        <w:keepLines w:val="0"/>
        <w:pageBreakBefore w:val="0"/>
        <w:kinsoku/>
        <w:wordWrap/>
        <w:overflowPunct/>
        <w:topLinePunct w:val="0"/>
        <w:bidi w:val="0"/>
        <w:spacing w:line="52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第十条  争议的解决办法</w:t>
      </w:r>
    </w:p>
    <w:p>
      <w:pPr>
        <w:keepNext w:val="0"/>
        <w:keepLines w:val="0"/>
        <w:pageBreakBefore w:val="0"/>
        <w:numPr>
          <w:ilvl w:val="255"/>
          <w:numId w:val="0"/>
        </w:numPr>
        <w:kinsoku/>
        <w:wordWrap/>
        <w:overflowPunct/>
        <w:topLinePunct w:val="0"/>
        <w:bidi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本合同在履行过程中发生的争议，由当事人双方协商解决。协商不成的，合同双方任意一方均可向甲方所在地有管辖权的人民法院提起诉讼处理。</w:t>
      </w:r>
    </w:p>
    <w:p>
      <w:pPr>
        <w:keepNext w:val="0"/>
        <w:keepLines w:val="0"/>
        <w:pageBreakBefore w:val="0"/>
        <w:kinsoku/>
        <w:wordWrap/>
        <w:overflowPunct/>
        <w:topLinePunct w:val="0"/>
        <w:bidi w:val="0"/>
        <w:spacing w:line="520" w:lineRule="exact"/>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第十一条 其他</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highlight w:val="none"/>
        </w:rPr>
      </w:pPr>
      <w:r>
        <w:rPr>
          <w:rFonts w:hint="eastAsia" w:ascii="仿宋" w:hAnsi="仿宋" w:eastAsia="仿宋" w:cs="仿宋"/>
          <w:sz w:val="28"/>
          <w:szCs w:val="28"/>
          <w:highlight w:val="none"/>
        </w:rPr>
        <w:t>合同如有未尽事宜，可以经甲、乙双方另行协商形成书面补充协议，书面补充协议经双方签字、盖章后生效。</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highlight w:val="none"/>
        </w:rPr>
      </w:pPr>
      <w:r>
        <w:rPr>
          <w:rFonts w:hint="eastAsia" w:ascii="仿宋" w:hAnsi="仿宋" w:eastAsia="仿宋" w:cs="仿宋"/>
          <w:sz w:val="28"/>
          <w:szCs w:val="28"/>
          <w:highlight w:val="none"/>
        </w:rPr>
        <w:t>甲、乙双方在本合同项下的地址和联系方式为文件有效的送达地址，对方的文件、司法机关的文件一经到达或退回即视为送达；一方如有变更，应在变更前3日内书面通知对方，否则，视为未变更。</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highlight w:val="none"/>
        </w:rPr>
      </w:pPr>
      <w:r>
        <w:rPr>
          <w:rFonts w:hint="eastAsia" w:ascii="仿宋" w:hAnsi="仿宋" w:eastAsia="仿宋" w:cs="仿宋"/>
          <w:sz w:val="28"/>
          <w:szCs w:val="28"/>
          <w:highlight w:val="none"/>
        </w:rPr>
        <w:t>本合同一式肆份，甲方执叁份、乙方执壹份，具有同等法律效力；自甲、乙双方签章之日起生效。</w:t>
      </w:r>
    </w:p>
    <w:p>
      <w:pPr>
        <w:pStyle w:val="11"/>
        <w:keepNext w:val="0"/>
        <w:keepLines w:val="0"/>
        <w:pageBreakBefore w:val="0"/>
        <w:numPr>
          <w:ilvl w:val="0"/>
          <w:numId w:val="10"/>
        </w:numPr>
        <w:kinsoku/>
        <w:wordWrap/>
        <w:overflowPunct/>
        <w:topLinePunct w:val="0"/>
        <w:bidi w:val="0"/>
        <w:spacing w:line="520" w:lineRule="exact"/>
        <w:ind w:firstLineChars="0"/>
        <w:rPr>
          <w:rFonts w:ascii="仿宋" w:hAnsi="仿宋" w:eastAsia="仿宋" w:cs="仿宋"/>
          <w:szCs w:val="28"/>
          <w:highlight w:val="none"/>
        </w:rPr>
      </w:pPr>
      <w:r>
        <w:rPr>
          <w:rFonts w:hint="eastAsia" w:ascii="仿宋" w:hAnsi="仿宋" w:eastAsia="仿宋" w:cs="仿宋"/>
          <w:szCs w:val="28"/>
          <w:highlight w:val="none"/>
        </w:rPr>
        <w:t>以下为本合同附件，与本合同具有同等效力：</w:t>
      </w:r>
    </w:p>
    <w:p>
      <w:pPr>
        <w:pStyle w:val="11"/>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highlight w:val="none"/>
        </w:rPr>
      </w:pPr>
      <w:r>
        <w:rPr>
          <w:rFonts w:hint="eastAsia" w:ascii="仿宋" w:hAnsi="仿宋" w:eastAsia="仿宋" w:cs="仿宋"/>
          <w:szCs w:val="28"/>
          <w:highlight w:val="none"/>
        </w:rPr>
        <w:t>2026年江门市质量强企强链强县宣传推广服务项目采购公告；</w:t>
      </w:r>
    </w:p>
    <w:p>
      <w:pPr>
        <w:pStyle w:val="11"/>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highlight w:val="none"/>
        </w:rPr>
      </w:pPr>
      <w:r>
        <w:rPr>
          <w:rFonts w:hint="eastAsia" w:ascii="仿宋" w:hAnsi="仿宋" w:eastAsia="仿宋" w:cs="仿宋"/>
          <w:szCs w:val="28"/>
          <w:highlight w:val="none"/>
        </w:rPr>
        <w:t>江门市市场监督管理局相关项目采购结果公告；</w:t>
      </w:r>
    </w:p>
    <w:p>
      <w:pPr>
        <w:pStyle w:val="11"/>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highlight w:val="none"/>
        </w:rPr>
      </w:pPr>
      <w:r>
        <w:rPr>
          <w:rFonts w:hint="eastAsia" w:ascii="仿宋" w:hAnsi="仿宋" w:eastAsia="仿宋" w:cs="仿宋"/>
          <w:szCs w:val="28"/>
          <w:highlight w:val="none"/>
        </w:rPr>
        <w:t>其他附件及补充协议等资料。</w:t>
      </w:r>
    </w:p>
    <w:p>
      <w:pPr>
        <w:keepNext w:val="0"/>
        <w:keepLines w:val="0"/>
        <w:pageBreakBefore w:val="0"/>
        <w:kinsoku/>
        <w:wordWrap/>
        <w:overflowPunct/>
        <w:topLinePunct w:val="0"/>
        <w:bidi w:val="0"/>
        <w:spacing w:before="156" w:beforeLines="50"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（以下无正文）</w:t>
      </w:r>
    </w:p>
    <w:p>
      <w:pPr>
        <w:pStyle w:val="11"/>
        <w:keepNext w:val="0"/>
        <w:keepLines w:val="0"/>
        <w:pageBreakBefore w:val="0"/>
        <w:kinsoku/>
        <w:wordWrap/>
        <w:overflowPunct/>
        <w:topLinePunct w:val="0"/>
        <w:bidi w:val="0"/>
        <w:spacing w:line="520" w:lineRule="exact"/>
        <w:ind w:left="0" w:firstLine="0" w:firstLineChars="0"/>
        <w:rPr>
          <w:rFonts w:ascii="仿宋" w:hAnsi="仿宋" w:eastAsia="仿宋" w:cs="仿宋"/>
          <w:szCs w:val="28"/>
          <w:highlight w:val="none"/>
        </w:rPr>
      </w:pPr>
    </w:p>
    <w:p>
      <w:pPr>
        <w:pStyle w:val="11"/>
        <w:keepNext w:val="0"/>
        <w:keepLines w:val="0"/>
        <w:pageBreakBefore w:val="0"/>
        <w:kinsoku/>
        <w:wordWrap/>
        <w:overflowPunct/>
        <w:topLinePunct w:val="0"/>
        <w:bidi w:val="0"/>
        <w:spacing w:line="520" w:lineRule="exact"/>
        <w:ind w:firstLine="608"/>
        <w:rPr>
          <w:rFonts w:ascii="仿宋" w:hAnsi="仿宋" w:eastAsia="仿宋" w:cs="仿宋"/>
          <w:szCs w:val="28"/>
          <w:highlight w:val="none"/>
        </w:rPr>
      </w:pPr>
    </w:p>
    <w:p>
      <w:pPr>
        <w:pStyle w:val="11"/>
        <w:keepNext w:val="0"/>
        <w:keepLines w:val="0"/>
        <w:pageBreakBefore w:val="0"/>
        <w:kinsoku/>
        <w:wordWrap/>
        <w:overflowPunct/>
        <w:topLinePunct w:val="0"/>
        <w:bidi w:val="0"/>
        <w:spacing w:line="520" w:lineRule="exact"/>
        <w:ind w:firstLine="608"/>
        <w:rPr>
          <w:rFonts w:ascii="仿宋" w:hAnsi="仿宋" w:eastAsia="仿宋" w:cs="仿宋"/>
          <w:szCs w:val="28"/>
          <w:highlight w:val="none"/>
        </w:rPr>
      </w:pPr>
    </w:p>
    <w:p>
      <w:pPr>
        <w:keepNext w:val="0"/>
        <w:keepLines w:val="0"/>
        <w:pageBreakBefore w:val="0"/>
        <w:kinsoku/>
        <w:wordWrap/>
        <w:overflowPunct/>
        <w:topLinePunct w:val="0"/>
        <w:bidi w:val="0"/>
        <w:spacing w:line="520" w:lineRule="exact"/>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甲方</w:t>
      </w:r>
      <w:r>
        <w:rPr>
          <w:rFonts w:hint="eastAsia" w:ascii="仿宋" w:hAnsi="仿宋" w:eastAsia="仿宋" w:cs="仿宋"/>
          <w:sz w:val="28"/>
          <w:szCs w:val="28"/>
          <w:highlight w:val="none"/>
        </w:rPr>
        <w:t xml:space="preserve">：江门市市场监督管理局  </w:t>
      </w:r>
    </w:p>
    <w:p>
      <w:pPr>
        <w:keepNext w:val="0"/>
        <w:keepLines w:val="0"/>
        <w:pageBreakBefore w:val="0"/>
        <w:kinsoku/>
        <w:wordWrap/>
        <w:overflowPunct/>
        <w:topLinePunct w:val="0"/>
        <w:bidi w:val="0"/>
        <w:spacing w:line="520" w:lineRule="exact"/>
        <w:ind w:firstLine="2240" w:firstLineChars="800"/>
        <w:rPr>
          <w:rFonts w:ascii="仿宋" w:hAnsi="仿宋" w:eastAsia="仿宋" w:cs="仿宋"/>
          <w:sz w:val="28"/>
          <w:szCs w:val="28"/>
          <w:highlight w:val="none"/>
        </w:rPr>
      </w:pPr>
      <w:r>
        <w:rPr>
          <w:rFonts w:hint="eastAsia" w:ascii="仿宋" w:hAnsi="仿宋" w:eastAsia="仿宋" w:cs="仿宋"/>
          <w:sz w:val="28"/>
          <w:szCs w:val="28"/>
          <w:highlight w:val="none"/>
        </w:rPr>
        <w:t>（盖章）</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法定代表人或授权委托人：（签字）    </w:t>
      </w:r>
    </w:p>
    <w:p>
      <w:pPr>
        <w:keepNext w:val="0"/>
        <w:keepLines w:val="0"/>
        <w:pageBreakBefore w:val="0"/>
        <w:kinsoku/>
        <w:wordWrap/>
        <w:overflowPunct/>
        <w:topLinePunct w:val="0"/>
        <w:bidi w:val="0"/>
        <w:spacing w:line="52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p>
      <w:pPr>
        <w:keepNext w:val="0"/>
        <w:keepLines w:val="0"/>
        <w:pageBreakBefore w:val="0"/>
        <w:kinsoku/>
        <w:wordWrap/>
        <w:overflowPunct/>
        <w:topLinePunct w:val="0"/>
        <w:bidi w:val="0"/>
        <w:spacing w:line="52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w:t>
      </w:r>
    </w:p>
    <w:p>
      <w:pPr>
        <w:keepNext w:val="0"/>
        <w:keepLines w:val="0"/>
        <w:pageBreakBefore w:val="0"/>
        <w:kinsoku/>
        <w:wordWrap/>
        <w:overflowPunct/>
        <w:topLinePunct w:val="0"/>
        <w:bidi w:val="0"/>
        <w:spacing w:line="520" w:lineRule="exact"/>
        <w:ind w:firstLine="560"/>
        <w:rPr>
          <w:rFonts w:ascii="仿宋" w:hAnsi="仿宋" w:eastAsia="仿宋" w:cs="仿宋"/>
          <w:sz w:val="28"/>
          <w:szCs w:val="28"/>
          <w:highlight w:val="none"/>
        </w:rPr>
      </w:pPr>
      <w:r>
        <w:rPr>
          <w:rFonts w:hint="eastAsia" w:ascii="仿宋" w:hAnsi="仿宋" w:eastAsia="仿宋" w:cs="仿宋"/>
          <w:b/>
          <w:bCs/>
          <w:sz w:val="28"/>
          <w:szCs w:val="28"/>
          <w:highlight w:val="none"/>
        </w:rPr>
        <w:t>乙方</w:t>
      </w:r>
      <w:r>
        <w:rPr>
          <w:rFonts w:hint="eastAsia" w:ascii="仿宋" w:hAnsi="仿宋" w:eastAsia="仿宋" w:cs="仿宋"/>
          <w:sz w:val="28"/>
          <w:szCs w:val="28"/>
          <w:highlight w:val="none"/>
        </w:rPr>
        <w:t>：</w:t>
      </w:r>
    </w:p>
    <w:p>
      <w:pPr>
        <w:keepNext w:val="0"/>
        <w:keepLines w:val="0"/>
        <w:pageBreakBefore w:val="0"/>
        <w:kinsoku/>
        <w:wordWrap/>
        <w:overflowPunct/>
        <w:topLinePunct w:val="0"/>
        <w:bidi w:val="0"/>
        <w:spacing w:line="520" w:lineRule="exact"/>
        <w:ind w:firstLine="2419" w:firstLineChars="864"/>
        <w:rPr>
          <w:rFonts w:ascii="仿宋" w:hAnsi="仿宋" w:eastAsia="仿宋" w:cs="仿宋"/>
          <w:sz w:val="28"/>
          <w:szCs w:val="28"/>
          <w:highlight w:val="none"/>
        </w:rPr>
      </w:pPr>
      <w:r>
        <w:rPr>
          <w:rFonts w:hint="eastAsia" w:ascii="仿宋" w:hAnsi="仿宋" w:eastAsia="仿宋" w:cs="仿宋"/>
          <w:sz w:val="28"/>
          <w:szCs w:val="28"/>
          <w:highlight w:val="none"/>
        </w:rPr>
        <w:t>（盖章）</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法定代表人或授权委托人：（签字）</w:t>
      </w:r>
    </w:p>
    <w:p>
      <w:pPr>
        <w:keepNext w:val="0"/>
        <w:keepLines w:val="0"/>
        <w:pageBreakBefore w:val="0"/>
        <w:kinsoku/>
        <w:wordWrap/>
        <w:overflowPunct/>
        <w:topLinePunct w:val="0"/>
        <w:bidi w:val="0"/>
        <w:spacing w:line="52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Lohit Devanagari"/>
    <w:panose1 w:val="020B0500000000000000"/>
    <w:charset w:val="00"/>
    <w:family w:val="swiss"/>
    <w:pitch w:val="default"/>
    <w:sig w:usb0="00000000" w:usb1="00000000" w:usb2="00000000" w:usb3="00000000" w:csb0="00000001" w:csb1="00000000"/>
  </w:font>
  <w:font w:name="Lohit Devanagari">
    <w:panose1 w:val="020B0600000000000000"/>
    <w:charset w:val="00"/>
    <w:family w:val="auto"/>
    <w:pitch w:val="default"/>
    <w:sig w:usb0="80008023" w:usb1="00002042" w:usb2="00000000" w:usb3="00000000" w:csb0="0000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
  </w:num>
  <w:num w:numId="5">
    <w:abstractNumId w:val="3"/>
  </w:num>
  <w:num w:numId="6">
    <w:abstractNumId w:val="10"/>
  </w:num>
  <w:num w:numId="7">
    <w:abstractNumId w:val="6"/>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086760"/>
    <w:rsid w:val="001D7567"/>
    <w:rsid w:val="00201EA2"/>
    <w:rsid w:val="00215BF2"/>
    <w:rsid w:val="00290CDD"/>
    <w:rsid w:val="0046359B"/>
    <w:rsid w:val="004A2DE1"/>
    <w:rsid w:val="004A3BF5"/>
    <w:rsid w:val="004B6D83"/>
    <w:rsid w:val="004C2119"/>
    <w:rsid w:val="00510F17"/>
    <w:rsid w:val="00572DC4"/>
    <w:rsid w:val="005969B3"/>
    <w:rsid w:val="006010FD"/>
    <w:rsid w:val="006202FE"/>
    <w:rsid w:val="00684C29"/>
    <w:rsid w:val="006A7F32"/>
    <w:rsid w:val="006F4B00"/>
    <w:rsid w:val="00715B62"/>
    <w:rsid w:val="00772CCD"/>
    <w:rsid w:val="007B7D3B"/>
    <w:rsid w:val="008060A4"/>
    <w:rsid w:val="00807C23"/>
    <w:rsid w:val="008559F9"/>
    <w:rsid w:val="00861501"/>
    <w:rsid w:val="008629F6"/>
    <w:rsid w:val="00867F79"/>
    <w:rsid w:val="009625F6"/>
    <w:rsid w:val="009D264D"/>
    <w:rsid w:val="00A31356"/>
    <w:rsid w:val="00B52496"/>
    <w:rsid w:val="00B753A9"/>
    <w:rsid w:val="00CD0E6C"/>
    <w:rsid w:val="00CE1CBE"/>
    <w:rsid w:val="00D30BA7"/>
    <w:rsid w:val="00D538C5"/>
    <w:rsid w:val="00DD273E"/>
    <w:rsid w:val="00E57922"/>
    <w:rsid w:val="00E82D8C"/>
    <w:rsid w:val="00E86C04"/>
    <w:rsid w:val="00E952F4"/>
    <w:rsid w:val="00EB55B6"/>
    <w:rsid w:val="00FA3A92"/>
    <w:rsid w:val="00FC0857"/>
    <w:rsid w:val="00FC585E"/>
    <w:rsid w:val="05B73E89"/>
    <w:rsid w:val="09D77ACF"/>
    <w:rsid w:val="09DE0A66"/>
    <w:rsid w:val="0AF740DB"/>
    <w:rsid w:val="0BEA35C3"/>
    <w:rsid w:val="0DDF3CA5"/>
    <w:rsid w:val="0FB72321"/>
    <w:rsid w:val="10FC4243"/>
    <w:rsid w:val="12F319EB"/>
    <w:rsid w:val="160C41FE"/>
    <w:rsid w:val="171724B5"/>
    <w:rsid w:val="1A19383D"/>
    <w:rsid w:val="1F4F0480"/>
    <w:rsid w:val="20075F93"/>
    <w:rsid w:val="24EA28FA"/>
    <w:rsid w:val="24EE444C"/>
    <w:rsid w:val="28DA0F7D"/>
    <w:rsid w:val="28F2788A"/>
    <w:rsid w:val="293A0576"/>
    <w:rsid w:val="2ACF1D94"/>
    <w:rsid w:val="2D016C87"/>
    <w:rsid w:val="2F027959"/>
    <w:rsid w:val="2F391B33"/>
    <w:rsid w:val="33FC47D9"/>
    <w:rsid w:val="391A5AE0"/>
    <w:rsid w:val="3AA7F51C"/>
    <w:rsid w:val="3B19643C"/>
    <w:rsid w:val="3B1F36D7"/>
    <w:rsid w:val="3BAFE5C9"/>
    <w:rsid w:val="3E58EAC1"/>
    <w:rsid w:val="3EDA8E5F"/>
    <w:rsid w:val="3F277E94"/>
    <w:rsid w:val="3FA76621"/>
    <w:rsid w:val="3FEDEE28"/>
    <w:rsid w:val="404A6C17"/>
    <w:rsid w:val="43F43818"/>
    <w:rsid w:val="452404E0"/>
    <w:rsid w:val="453851EC"/>
    <w:rsid w:val="454308F0"/>
    <w:rsid w:val="47C7B3FB"/>
    <w:rsid w:val="481348F4"/>
    <w:rsid w:val="4B562BFB"/>
    <w:rsid w:val="4D261BEA"/>
    <w:rsid w:val="4DD70C4E"/>
    <w:rsid w:val="4EE2057D"/>
    <w:rsid w:val="4FAE24F9"/>
    <w:rsid w:val="526E4AB6"/>
    <w:rsid w:val="556F433E"/>
    <w:rsid w:val="5789094D"/>
    <w:rsid w:val="5A6B35D5"/>
    <w:rsid w:val="5BB2671C"/>
    <w:rsid w:val="5F662158"/>
    <w:rsid w:val="63540324"/>
    <w:rsid w:val="63A745D5"/>
    <w:rsid w:val="65415E9E"/>
    <w:rsid w:val="67BEFAA3"/>
    <w:rsid w:val="68FF06F7"/>
    <w:rsid w:val="690D3BC4"/>
    <w:rsid w:val="693B3F28"/>
    <w:rsid w:val="6B7E7578"/>
    <w:rsid w:val="6C7B1287"/>
    <w:rsid w:val="6D8F7300"/>
    <w:rsid w:val="6E494777"/>
    <w:rsid w:val="6E66103F"/>
    <w:rsid w:val="6F3831F6"/>
    <w:rsid w:val="6F5F4F93"/>
    <w:rsid w:val="6F7DFE84"/>
    <w:rsid w:val="70A44682"/>
    <w:rsid w:val="72AF67A9"/>
    <w:rsid w:val="76A81E4D"/>
    <w:rsid w:val="79276609"/>
    <w:rsid w:val="7B73CA44"/>
    <w:rsid w:val="7BBD089B"/>
    <w:rsid w:val="7BFFAB1F"/>
    <w:rsid w:val="7DBC6052"/>
    <w:rsid w:val="7DFEB332"/>
    <w:rsid w:val="7E2A3303"/>
    <w:rsid w:val="7E7EE503"/>
    <w:rsid w:val="7EBDCDBD"/>
    <w:rsid w:val="7ECF7E82"/>
    <w:rsid w:val="7EFEE140"/>
    <w:rsid w:val="7F122F69"/>
    <w:rsid w:val="7FAA1B2C"/>
    <w:rsid w:val="7FBE0EF2"/>
    <w:rsid w:val="7FE77338"/>
    <w:rsid w:val="7FF7FB7B"/>
    <w:rsid w:val="937F3F54"/>
    <w:rsid w:val="9BFC83D1"/>
    <w:rsid w:val="B5FFE684"/>
    <w:rsid w:val="BAEDCC93"/>
    <w:rsid w:val="BDB75198"/>
    <w:rsid w:val="BEAE25BA"/>
    <w:rsid w:val="BEFF6587"/>
    <w:rsid w:val="BFDF8B7B"/>
    <w:rsid w:val="CF773FEE"/>
    <w:rsid w:val="DB778ECF"/>
    <w:rsid w:val="DBBA6F22"/>
    <w:rsid w:val="DEFD6CC9"/>
    <w:rsid w:val="DF77FF56"/>
    <w:rsid w:val="E7CF742A"/>
    <w:rsid w:val="EB7F1B78"/>
    <w:rsid w:val="EBFEC8EC"/>
    <w:rsid w:val="EDEF27BF"/>
    <w:rsid w:val="EF2E9E7A"/>
    <w:rsid w:val="EFE756A1"/>
    <w:rsid w:val="EFFD4EE6"/>
    <w:rsid w:val="F2FF52B0"/>
    <w:rsid w:val="F77DDEE5"/>
    <w:rsid w:val="F7BBEABA"/>
    <w:rsid w:val="F9FD8AC9"/>
    <w:rsid w:val="FBA41717"/>
    <w:rsid w:val="FBE9E3EA"/>
    <w:rsid w:val="FBEDA0AC"/>
    <w:rsid w:val="FBFD0665"/>
    <w:rsid w:val="FDF36BC4"/>
    <w:rsid w:val="FE2F2466"/>
    <w:rsid w:val="FEB722D5"/>
    <w:rsid w:val="FEF731C1"/>
    <w:rsid w:val="FF7D6377"/>
    <w:rsid w:val="FFCF14EC"/>
    <w:rsid w:val="FFDD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4">
    <w:name w:val="annotation text"/>
    <w:basedOn w:val="1"/>
    <w:link w:val="18"/>
    <w:qFormat/>
    <w:uiPriority w:val="0"/>
    <w:pPr>
      <w:jc w:val="left"/>
    </w:pPr>
  </w:style>
  <w:style w:type="paragraph" w:styleId="5">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annotation subject"/>
    <w:basedOn w:val="4"/>
    <w:next w:val="4"/>
    <w:link w:val="19"/>
    <w:qFormat/>
    <w:uiPriority w:val="0"/>
    <w:rPr>
      <w:b/>
      <w:bCs/>
    </w:rPr>
  </w:style>
  <w:style w:type="paragraph" w:styleId="11">
    <w:name w:val="Body Text First Indent 2"/>
    <w:basedOn w:val="5"/>
    <w:qFormat/>
    <w:uiPriority w:val="0"/>
    <w:pPr>
      <w:ind w:firstLine="420" w:firstLineChars="200"/>
    </w:pPr>
    <w:rPr>
      <w:rFonts w:ascii="宋体" w:hAnsi="MS Sans Serif"/>
      <w:spacing w:val="12"/>
    </w:rPr>
  </w:style>
  <w:style w:type="character" w:styleId="14">
    <w:name w:val="annotation reference"/>
    <w:basedOn w:val="13"/>
    <w:qFormat/>
    <w:uiPriority w:val="0"/>
    <w:rPr>
      <w:sz w:val="21"/>
      <w:szCs w:val="21"/>
    </w:rPr>
  </w:style>
  <w:style w:type="paragraph" w:customStyle="1" w:styleId="15">
    <w:name w:val="普通(网站)1"/>
    <w:basedOn w:val="1"/>
    <w:qFormat/>
    <w:uiPriority w:val="0"/>
    <w:pPr>
      <w:jc w:val="left"/>
    </w:pPr>
    <w:rPr>
      <w:rFonts w:ascii="Calibri" w:hAnsi="Calibri" w:cs="黑体"/>
      <w:kern w:val="0"/>
      <w:sz w:val="24"/>
      <w:szCs w:val="24"/>
    </w:rPr>
  </w:style>
  <w:style w:type="character" w:customStyle="1" w:styleId="16">
    <w:name w:val="批注框文本 Char"/>
    <w:basedOn w:val="13"/>
    <w:link w:val="6"/>
    <w:qFormat/>
    <w:uiPriority w:val="0"/>
    <w:rPr>
      <w:rFonts w:ascii="Times New Roman" w:hAnsi="Times New Roman" w:eastAsia="仿宋_GB2312" w:cs="Times New Roman"/>
      <w:kern w:val="2"/>
      <w:sz w:val="18"/>
      <w:szCs w:val="18"/>
    </w:rPr>
  </w:style>
  <w:style w:type="paragraph" w:styleId="17">
    <w:name w:val="List Paragraph"/>
    <w:basedOn w:val="1"/>
    <w:unhideWhenUsed/>
    <w:qFormat/>
    <w:uiPriority w:val="99"/>
    <w:pPr>
      <w:ind w:firstLine="420" w:firstLineChars="200"/>
    </w:pPr>
  </w:style>
  <w:style w:type="character" w:customStyle="1" w:styleId="18">
    <w:name w:val="批注文字 Char"/>
    <w:basedOn w:val="13"/>
    <w:link w:val="4"/>
    <w:qFormat/>
    <w:uiPriority w:val="0"/>
    <w:rPr>
      <w:rFonts w:eastAsia="仿宋_GB2312"/>
      <w:kern w:val="2"/>
      <w:sz w:val="30"/>
    </w:rPr>
  </w:style>
  <w:style w:type="character" w:customStyle="1" w:styleId="19">
    <w:name w:val="批注主题 Char"/>
    <w:basedOn w:val="18"/>
    <w:link w:val="10"/>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667</Words>
  <Characters>3806</Characters>
  <Lines>31</Lines>
  <Paragraphs>8</Paragraphs>
  <TotalTime>7</TotalTime>
  <ScaleCrop>false</ScaleCrop>
  <LinksUpToDate>false</LinksUpToDate>
  <CharactersWithSpaces>4465</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2023-03-08T07:03:00Z</dcterms:created>
  <dc:creator>Administrator</dc:creator>
  <cp:lastModifiedBy>greatwall</cp:lastModifiedBy>
  <cp:lastPrinted>2023-03-08T07:11:00Z</cp:lastPrinted>
  <dcterms:modified xsi:type="dcterms:W3CDTF">2026-06-30T17:54:16Z</dcterms:modified>
  <dc:title>2020年江门市工业产品生产许可证证后</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CFDE272F9B29D6E2CC31426A861716CD</vt:lpwstr>
  </property>
</Properties>
</file>