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江门市市场监督管理局2026年协助开展助企纾困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和个体工商户分型分类</w:t>
      </w:r>
      <w:bookmarkStart w:id="0" w:name="_GoBack"/>
      <w:bookmarkEnd w:id="0"/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8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8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2F1BEB37"/>
    <w:rsid w:val="63FF3A1A"/>
    <w:rsid w:val="B7AFA18F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10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1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1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2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link w:val="5"/>
    <w:qFormat/>
    <w:uiPriority w:val="99"/>
    <w:rPr>
      <w:sz w:val="18"/>
      <w:szCs w:val="18"/>
    </w:rPr>
  </w:style>
  <w:style w:type="character" w:customStyle="1" w:styleId="14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5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2021-08-07T03:25:00Z</dcterms:created>
  <dc:creator>张海盈</dc:creator>
  <cp:lastModifiedBy>greatwall</cp:lastModifiedBy>
  <cp:lastPrinted>2021-09-29T08:12:00Z</cp:lastPrinted>
  <dcterms:modified xsi:type="dcterms:W3CDTF">2026-05-13T11:04:52Z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