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sz w:val="32"/>
          <w:szCs w:val="32"/>
          <w:highlight w:val="none"/>
        </w:rPr>
      </w:pPr>
      <w:r>
        <w:rPr>
          <w:sz w:val="32"/>
          <w:szCs w:val="32"/>
          <w:highlight w:val="none"/>
        </w:rPr>
        <w:t>附件</w:t>
      </w:r>
      <w:r>
        <w:rPr>
          <w:rFonts w:hint="eastAsia"/>
          <w:sz w:val="32"/>
          <w:szCs w:val="32"/>
          <w:highlight w:val="none"/>
        </w:rPr>
        <w:t>3</w:t>
      </w:r>
    </w:p>
    <w:p>
      <w:pPr>
        <w:pStyle w:val="2"/>
        <w:spacing w:line="480" w:lineRule="exact"/>
        <w:ind w:firstLine="0" w:firstLineChars="0"/>
        <w:rPr>
          <w:highlight w:val="none"/>
        </w:rPr>
      </w:pPr>
    </w:p>
    <w:p>
      <w:pPr>
        <w:spacing w:line="480" w:lineRule="exact"/>
        <w:jc w:val="left"/>
        <w:rPr>
          <w:rFonts w:ascii="方正小标宋简体" w:hAnsi="宋体" w:eastAsia="方正小标宋简体" w:cs="宋体"/>
          <w:color w:val="000000" w:themeColor="text1"/>
          <w:sz w:val="44"/>
          <w:szCs w:val="44"/>
          <w:highlight w:val="none"/>
          <w:shd w:val="clear" w:color="auto" w:fill="FFFFFF"/>
          <w14:textFill>
            <w14:solidFill>
              <w14:schemeClr w14:val="tx1"/>
            </w14:solidFill>
          </w14:textFill>
        </w:rPr>
      </w:pPr>
      <w:r>
        <w:rPr>
          <w:rFonts w:hint="eastAsia" w:ascii="方正小标宋简体" w:hAnsi="宋体" w:eastAsia="方正小标宋简体" w:cs="宋体"/>
          <w:color w:val="000000" w:themeColor="text1"/>
          <w:sz w:val="44"/>
          <w:szCs w:val="44"/>
          <w:highlight w:val="none"/>
          <w:shd w:val="clear" w:color="auto" w:fill="FFFFFF"/>
          <w14:textFill>
            <w14:solidFill>
              <w14:schemeClr w14:val="tx1"/>
            </w14:solidFill>
          </w14:textFill>
        </w:rPr>
        <w:t>江门市市场监督管理局2026年8月至 2028年7月公务用车定点保险服务项目合同模版</w:t>
      </w:r>
    </w:p>
    <w:p>
      <w:pPr>
        <w:pStyle w:val="2"/>
        <w:spacing w:line="480" w:lineRule="exact"/>
        <w:ind w:firstLine="0" w:firstLineChars="0"/>
        <w:rPr>
          <w:highlight w:val="none"/>
        </w:rPr>
      </w:pPr>
    </w:p>
    <w:p>
      <w:pPr>
        <w:spacing w:line="480" w:lineRule="exact"/>
        <w:rPr>
          <w:rFonts w:hint="eastAsia" w:ascii="仿宋_GB2312" w:hAnsi="仿宋_GB2312" w:eastAsia="仿宋_GB2312" w:cs="仿宋_GB2312"/>
          <w:b/>
          <w:sz w:val="28"/>
          <w:szCs w:val="28"/>
          <w:highlight w:val="none"/>
        </w:rPr>
      </w:pPr>
      <w:r>
        <w:rPr>
          <w:rFonts w:hint="eastAsia" w:ascii="仿宋_GB2312" w:hAnsi="仿宋_GB2312" w:eastAsia="仿宋_GB2312" w:cs="仿宋_GB2312"/>
          <w:b/>
          <w:bCs/>
          <w:sz w:val="28"/>
          <w:szCs w:val="28"/>
          <w:highlight w:val="none"/>
        </w:rPr>
        <w:t>甲方</w:t>
      </w:r>
      <w:r>
        <w:rPr>
          <w:rFonts w:hint="eastAsia" w:ascii="仿宋_GB2312" w:hAnsi="仿宋_GB2312" w:eastAsia="仿宋_GB2312" w:cs="仿宋_GB2312"/>
          <w:sz w:val="28"/>
          <w:szCs w:val="28"/>
          <w:highlight w:val="none"/>
        </w:rPr>
        <w:t xml:space="preserve">：  </w:t>
      </w:r>
      <w:r>
        <w:rPr>
          <w:rFonts w:hint="eastAsia" w:ascii="仿宋_GB2312" w:hAnsi="仿宋_GB2312" w:eastAsia="仿宋_GB2312" w:cs="仿宋_GB2312"/>
          <w:bCs/>
          <w:sz w:val="28"/>
          <w:szCs w:val="28"/>
          <w:highlight w:val="none"/>
        </w:rPr>
        <w:t>江门市市场监督管理局</w:t>
      </w:r>
    </w:p>
    <w:p>
      <w:pPr>
        <w:spacing w:line="48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地址：  江门市东华二路7号</w:t>
      </w:r>
    </w:p>
    <w:p>
      <w:pPr>
        <w:spacing w:line="48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联系人： </w:t>
      </w:r>
    </w:p>
    <w:p>
      <w:pPr>
        <w:spacing w:line="48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电话：   </w:t>
      </w:r>
    </w:p>
    <w:p>
      <w:pPr>
        <w:pStyle w:val="2"/>
        <w:spacing w:line="480" w:lineRule="exact"/>
        <w:ind w:firstLine="600"/>
        <w:rPr>
          <w:rFonts w:hint="eastAsia" w:ascii="仿宋_GB2312" w:hAnsi="仿宋_GB2312" w:cs="仿宋_GB2312"/>
          <w:sz w:val="28"/>
          <w:szCs w:val="28"/>
          <w:highlight w:val="none"/>
        </w:rPr>
      </w:pPr>
    </w:p>
    <w:p>
      <w:pPr>
        <w:spacing w:line="480" w:lineRule="exact"/>
        <w:rPr>
          <w:rFonts w:hint="eastAsia" w:ascii="仿宋_GB2312" w:hAnsi="仿宋_GB2312" w:eastAsia="仿宋_GB2312" w:cs="仿宋_GB2312"/>
          <w:b/>
          <w:sz w:val="28"/>
          <w:szCs w:val="28"/>
          <w:highlight w:val="none"/>
        </w:rPr>
      </w:pPr>
      <w:r>
        <w:rPr>
          <w:rFonts w:hint="eastAsia" w:ascii="仿宋_GB2312" w:hAnsi="仿宋_GB2312" w:eastAsia="仿宋_GB2312" w:cs="仿宋_GB2312"/>
          <w:b/>
          <w:bCs/>
          <w:sz w:val="28"/>
          <w:szCs w:val="28"/>
          <w:highlight w:val="none"/>
        </w:rPr>
        <w:t>乙方</w:t>
      </w:r>
      <w:r>
        <w:rPr>
          <w:rFonts w:hint="eastAsia" w:ascii="仿宋_GB2312" w:hAnsi="仿宋_GB2312" w:eastAsia="仿宋_GB2312" w:cs="仿宋_GB2312"/>
          <w:sz w:val="28"/>
          <w:szCs w:val="28"/>
          <w:highlight w:val="none"/>
        </w:rPr>
        <w:t xml:space="preserve">：  </w:t>
      </w:r>
    </w:p>
    <w:p>
      <w:pPr>
        <w:spacing w:line="48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地址：  </w:t>
      </w:r>
    </w:p>
    <w:p>
      <w:pPr>
        <w:spacing w:line="48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联系人： </w:t>
      </w:r>
    </w:p>
    <w:p>
      <w:pPr>
        <w:spacing w:line="48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电话：   </w:t>
      </w:r>
    </w:p>
    <w:p>
      <w:pPr>
        <w:spacing w:line="480" w:lineRule="exact"/>
        <w:rPr>
          <w:rFonts w:hint="eastAsia" w:ascii="仿宋_GB2312" w:hAnsi="仿宋_GB2312" w:eastAsia="仿宋_GB2312" w:cs="仿宋_GB2312"/>
          <w:sz w:val="28"/>
          <w:szCs w:val="28"/>
          <w:highlight w:val="none"/>
          <w:shd w:val="clear" w:color="auto" w:fill="FFFFFF"/>
        </w:rPr>
      </w:pPr>
    </w:p>
    <w:p>
      <w:pPr>
        <w:widowControl/>
        <w:spacing w:line="480" w:lineRule="exact"/>
        <w:ind w:firstLine="618" w:firstLineChars="221"/>
        <w:rPr>
          <w:rFonts w:ascii="仿宋" w:hAnsi="仿宋" w:eastAsia="仿宋" w:cs="仿宋"/>
          <w:b/>
          <w:bCs/>
          <w:color w:val="auto"/>
          <w:sz w:val="28"/>
          <w:szCs w:val="28"/>
          <w:highlight w:val="none"/>
        </w:rPr>
      </w:pPr>
      <w:r>
        <w:rPr>
          <w:rFonts w:hint="eastAsia" w:ascii="仿宋" w:hAnsi="仿宋" w:eastAsia="仿宋" w:cs="仿宋"/>
          <w:color w:val="auto"/>
          <w:sz w:val="28"/>
          <w:szCs w:val="28"/>
          <w:highlight w:val="none"/>
        </w:rPr>
        <w:t>甲、乙双方根据“</w:t>
      </w:r>
      <w:r>
        <w:rPr>
          <w:rFonts w:hint="eastAsia" w:ascii="仿宋" w:hAnsi="仿宋" w:eastAsia="仿宋" w:cs="仿宋"/>
          <w:color w:val="auto"/>
          <w:sz w:val="28"/>
          <w:szCs w:val="28"/>
          <w:highlight w:val="none"/>
          <w:shd w:val="clear"/>
        </w:rPr>
        <w:t>江门市市场监督管理局2026年8月至 2028年7月公务用车定点保险服务项目</w:t>
      </w:r>
      <w:r>
        <w:rPr>
          <w:rFonts w:hint="eastAsia" w:ascii="仿宋" w:hAnsi="仿宋" w:eastAsia="仿宋" w:cs="仿宋"/>
          <w:color w:val="auto"/>
          <w:sz w:val="28"/>
          <w:szCs w:val="28"/>
          <w:highlight w:val="none"/>
        </w:rPr>
        <w:t>”（项目编号：</w:t>
      </w:r>
      <w:r>
        <w:rPr>
          <w:rFonts w:hint="eastAsia" w:ascii="仿宋" w:hAnsi="仿宋" w:eastAsia="仿宋" w:cs="仿宋"/>
          <w:color w:val="auto"/>
          <w:sz w:val="28"/>
          <w:szCs w:val="28"/>
          <w:highlight w:val="none"/>
          <w:lang w:val="en-US" w:eastAsia="zh-CN"/>
        </w:rPr>
        <w:t>2026029</w:t>
      </w:r>
      <w:r>
        <w:rPr>
          <w:rFonts w:hint="eastAsia" w:ascii="仿宋" w:hAnsi="仿宋" w:eastAsia="仿宋" w:cs="仿宋"/>
          <w:color w:val="auto"/>
          <w:sz w:val="28"/>
          <w:szCs w:val="28"/>
          <w:highlight w:val="none"/>
        </w:rPr>
        <w:t>）（以下简称项目）的采购公告、项目采购结果公告的要求，按照《中华人民共和国民法典》《中华人民共和国政府采购法》等相关法律法规的规定，经双方协商，本着平等互利和诚实信用的原则，一致同意签订本协议如下：</w:t>
      </w:r>
    </w:p>
    <w:p>
      <w:pPr>
        <w:spacing w:line="480" w:lineRule="exact"/>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 xml:space="preserve">第一条  项目内容 </w:t>
      </w:r>
    </w:p>
    <w:p>
      <w:pPr>
        <w:spacing w:line="48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甲方委托乙方就</w:t>
      </w:r>
      <w:r>
        <w:rPr>
          <w:rFonts w:hint="eastAsia" w:ascii="仿宋" w:hAnsi="仿宋" w:eastAsia="仿宋" w:cs="仿宋"/>
          <w:color w:val="auto"/>
          <w:sz w:val="28"/>
          <w:szCs w:val="28"/>
          <w:highlight w:val="none"/>
          <w:shd w:val="clear"/>
        </w:rPr>
        <w:t>江门市市场监督管理局2026年8月至 2028年7月公务用车定点保险服务项目</w:t>
      </w:r>
      <w:r>
        <w:rPr>
          <w:rFonts w:hint="eastAsia" w:ascii="仿宋" w:hAnsi="仿宋" w:eastAsia="仿宋" w:cs="仿宋"/>
          <w:color w:val="auto"/>
          <w:sz w:val="28"/>
          <w:szCs w:val="28"/>
          <w:highlight w:val="none"/>
        </w:rPr>
        <w:t>提供保险服务，按甲方要求（详见附件：采购公告）在约定期限内，向甲方提供</w:t>
      </w:r>
      <w:r>
        <w:rPr>
          <w:rFonts w:hint="eastAsia" w:ascii="仿宋" w:hAnsi="仿宋" w:eastAsia="仿宋" w:cs="仿宋"/>
          <w:color w:val="auto"/>
          <w:sz w:val="28"/>
          <w:szCs w:val="28"/>
          <w:highlight w:val="none"/>
          <w:lang w:eastAsia="zh-CN"/>
        </w:rPr>
        <w:t>保险</w:t>
      </w:r>
      <w:r>
        <w:rPr>
          <w:rFonts w:hint="eastAsia" w:ascii="仿宋" w:hAnsi="仿宋" w:eastAsia="仿宋" w:cs="仿宋"/>
          <w:color w:val="auto"/>
          <w:sz w:val="28"/>
          <w:szCs w:val="28"/>
          <w:highlight w:val="none"/>
        </w:rPr>
        <w:t>服务</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lang w:val="en-US" w:eastAsia="zh-CN"/>
        </w:rPr>
        <w:t>16辆车辆如下表</w:t>
      </w:r>
      <w:r>
        <w:rPr>
          <w:rFonts w:hint="eastAsia" w:ascii="仿宋" w:hAnsi="仿宋" w:eastAsia="仿宋" w:cs="仿宋"/>
          <w:color w:val="auto"/>
          <w:sz w:val="28"/>
          <w:szCs w:val="28"/>
          <w:highlight w:val="none"/>
          <w:lang w:eastAsia="zh-CN"/>
        </w:rPr>
        <w:t>。</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4394"/>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9" w:type="dxa"/>
            <w:noWrap w:val="0"/>
            <w:vAlign w:val="center"/>
          </w:tcPr>
          <w:p>
            <w:pPr>
              <w:widowControl/>
              <w:spacing w:line="460" w:lineRule="exact"/>
              <w:jc w:val="center"/>
              <w:rPr>
                <w:rFonts w:hint="eastAsia" w:ascii="仿宋" w:hAnsi="仿宋" w:eastAsia="仿宋" w:cs="仿宋"/>
                <w:color w:val="auto"/>
                <w:sz w:val="28"/>
                <w:szCs w:val="28"/>
                <w:highlight w:val="none"/>
              </w:rPr>
            </w:pPr>
            <w:bookmarkStart w:id="0" w:name="_Toc1235704707"/>
            <w:bookmarkStart w:id="1" w:name="_Toc132327162"/>
            <w:r>
              <w:rPr>
                <w:rFonts w:hint="eastAsia" w:ascii="仿宋" w:hAnsi="仿宋" w:eastAsia="仿宋" w:cs="仿宋"/>
                <w:color w:val="auto"/>
                <w:sz w:val="28"/>
                <w:szCs w:val="28"/>
                <w:highlight w:val="none"/>
              </w:rPr>
              <w:t>序号</w:t>
            </w:r>
          </w:p>
        </w:tc>
        <w:tc>
          <w:tcPr>
            <w:tcW w:w="4394" w:type="dxa"/>
            <w:noWrap w:val="0"/>
            <w:vAlign w:val="center"/>
          </w:tcPr>
          <w:p>
            <w:pPr>
              <w:widowControl/>
              <w:spacing w:line="4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车型</w:t>
            </w:r>
          </w:p>
        </w:tc>
        <w:tc>
          <w:tcPr>
            <w:tcW w:w="1559" w:type="dxa"/>
            <w:noWrap w:val="0"/>
            <w:vAlign w:val="center"/>
          </w:tcPr>
          <w:p>
            <w:pPr>
              <w:widowControl/>
              <w:spacing w:line="4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数量（辆）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9" w:type="dxa"/>
            <w:noWrap w:val="0"/>
            <w:vAlign w:val="center"/>
          </w:tcPr>
          <w:p>
            <w:pPr>
              <w:widowControl/>
              <w:spacing w:line="4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4394" w:type="dxa"/>
            <w:noWrap w:val="0"/>
            <w:vAlign w:val="center"/>
          </w:tcPr>
          <w:p>
            <w:pPr>
              <w:widowControl/>
              <w:spacing w:line="4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帕萨特牌-SVW7183SJD</w:t>
            </w:r>
          </w:p>
        </w:tc>
        <w:tc>
          <w:tcPr>
            <w:tcW w:w="1559" w:type="dxa"/>
            <w:noWrap w:val="0"/>
            <w:vAlign w:val="center"/>
          </w:tcPr>
          <w:p>
            <w:pPr>
              <w:widowControl/>
              <w:spacing w:line="4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9" w:type="dxa"/>
            <w:noWrap w:val="0"/>
            <w:vAlign w:val="center"/>
          </w:tcPr>
          <w:p>
            <w:pPr>
              <w:widowControl/>
              <w:spacing w:line="4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p>
        </w:tc>
        <w:tc>
          <w:tcPr>
            <w:tcW w:w="4394" w:type="dxa"/>
            <w:noWrap w:val="0"/>
            <w:vAlign w:val="center"/>
          </w:tcPr>
          <w:p>
            <w:pPr>
              <w:widowControl/>
              <w:spacing w:line="4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别克牌-SGM6515ATA</w:t>
            </w:r>
          </w:p>
        </w:tc>
        <w:tc>
          <w:tcPr>
            <w:tcW w:w="1559" w:type="dxa"/>
            <w:noWrap w:val="0"/>
            <w:vAlign w:val="center"/>
          </w:tcPr>
          <w:p>
            <w:pPr>
              <w:widowControl/>
              <w:spacing w:line="46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9" w:type="dxa"/>
            <w:noWrap w:val="0"/>
            <w:vAlign w:val="center"/>
          </w:tcPr>
          <w:p>
            <w:pPr>
              <w:widowControl/>
              <w:spacing w:line="4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p>
        </w:tc>
        <w:tc>
          <w:tcPr>
            <w:tcW w:w="4394" w:type="dxa"/>
            <w:noWrap w:val="0"/>
            <w:vAlign w:val="center"/>
          </w:tcPr>
          <w:p>
            <w:pPr>
              <w:widowControl/>
              <w:spacing w:line="4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奥德赛牌-HG6480B</w:t>
            </w:r>
          </w:p>
        </w:tc>
        <w:tc>
          <w:tcPr>
            <w:tcW w:w="1559" w:type="dxa"/>
            <w:noWrap w:val="0"/>
            <w:vAlign w:val="center"/>
          </w:tcPr>
          <w:p>
            <w:pPr>
              <w:widowControl/>
              <w:spacing w:line="4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9" w:type="dxa"/>
            <w:noWrap w:val="0"/>
            <w:vAlign w:val="center"/>
          </w:tcPr>
          <w:p>
            <w:pPr>
              <w:widowControl/>
              <w:spacing w:line="4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w:t>
            </w:r>
          </w:p>
        </w:tc>
        <w:tc>
          <w:tcPr>
            <w:tcW w:w="4394" w:type="dxa"/>
            <w:noWrap w:val="0"/>
            <w:vAlign w:val="center"/>
          </w:tcPr>
          <w:p>
            <w:pPr>
              <w:widowControl/>
              <w:spacing w:line="4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大众牌-FV6462HCDEHEV</w:t>
            </w:r>
          </w:p>
        </w:tc>
        <w:tc>
          <w:tcPr>
            <w:tcW w:w="1559" w:type="dxa"/>
            <w:noWrap w:val="0"/>
            <w:vAlign w:val="center"/>
          </w:tcPr>
          <w:p>
            <w:pPr>
              <w:widowControl/>
              <w:spacing w:line="4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9" w:type="dxa"/>
            <w:noWrap w:val="0"/>
            <w:vAlign w:val="center"/>
          </w:tcPr>
          <w:p>
            <w:pPr>
              <w:widowControl/>
              <w:spacing w:line="4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w:t>
            </w:r>
          </w:p>
        </w:tc>
        <w:tc>
          <w:tcPr>
            <w:tcW w:w="4394" w:type="dxa"/>
            <w:noWrap w:val="0"/>
            <w:vAlign w:val="center"/>
          </w:tcPr>
          <w:p>
            <w:pPr>
              <w:widowControl/>
              <w:spacing w:line="4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大众汽车牌-SVW6440FGD</w:t>
            </w:r>
          </w:p>
        </w:tc>
        <w:tc>
          <w:tcPr>
            <w:tcW w:w="1559" w:type="dxa"/>
            <w:noWrap w:val="0"/>
            <w:vAlign w:val="center"/>
          </w:tcPr>
          <w:p>
            <w:pPr>
              <w:widowControl/>
              <w:spacing w:line="4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9" w:type="dxa"/>
            <w:noWrap w:val="0"/>
            <w:vAlign w:val="center"/>
          </w:tcPr>
          <w:p>
            <w:pPr>
              <w:widowControl/>
              <w:spacing w:line="4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w:t>
            </w:r>
          </w:p>
        </w:tc>
        <w:tc>
          <w:tcPr>
            <w:tcW w:w="4394" w:type="dxa"/>
            <w:noWrap w:val="0"/>
            <w:vAlign w:val="center"/>
          </w:tcPr>
          <w:p>
            <w:pPr>
              <w:widowControl/>
              <w:spacing w:line="4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东风牌-ZN6471V1K4</w:t>
            </w:r>
          </w:p>
        </w:tc>
        <w:tc>
          <w:tcPr>
            <w:tcW w:w="1559" w:type="dxa"/>
            <w:noWrap w:val="0"/>
            <w:vAlign w:val="center"/>
          </w:tcPr>
          <w:p>
            <w:pPr>
              <w:widowControl/>
              <w:spacing w:line="4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9" w:type="dxa"/>
            <w:noWrap w:val="0"/>
            <w:vAlign w:val="center"/>
          </w:tcPr>
          <w:p>
            <w:pPr>
              <w:widowControl/>
              <w:spacing w:line="4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w:t>
            </w:r>
          </w:p>
        </w:tc>
        <w:tc>
          <w:tcPr>
            <w:tcW w:w="4394" w:type="dxa"/>
            <w:noWrap w:val="0"/>
            <w:vAlign w:val="center"/>
          </w:tcPr>
          <w:p>
            <w:pPr>
              <w:widowControl/>
              <w:spacing w:line="4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丰田牌-GTM7180C</w:t>
            </w:r>
          </w:p>
        </w:tc>
        <w:tc>
          <w:tcPr>
            <w:tcW w:w="1559" w:type="dxa"/>
            <w:noWrap w:val="0"/>
            <w:vAlign w:val="center"/>
          </w:tcPr>
          <w:p>
            <w:pPr>
              <w:widowControl/>
              <w:spacing w:line="4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9" w:type="dxa"/>
            <w:noWrap w:val="0"/>
            <w:vAlign w:val="center"/>
          </w:tcPr>
          <w:p>
            <w:pPr>
              <w:widowControl/>
              <w:spacing w:line="4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w:t>
            </w:r>
          </w:p>
        </w:tc>
        <w:tc>
          <w:tcPr>
            <w:tcW w:w="4394" w:type="dxa"/>
            <w:noWrap w:val="0"/>
            <w:vAlign w:val="center"/>
          </w:tcPr>
          <w:p>
            <w:pPr>
              <w:widowControl/>
              <w:spacing w:line="4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丰田牌-GTM7200G</w:t>
            </w:r>
          </w:p>
        </w:tc>
        <w:tc>
          <w:tcPr>
            <w:tcW w:w="1559" w:type="dxa"/>
            <w:noWrap w:val="0"/>
            <w:vAlign w:val="center"/>
          </w:tcPr>
          <w:p>
            <w:pPr>
              <w:widowControl/>
              <w:spacing w:line="4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9" w:type="dxa"/>
            <w:noWrap w:val="0"/>
            <w:vAlign w:val="center"/>
          </w:tcPr>
          <w:p>
            <w:pPr>
              <w:widowControl/>
              <w:spacing w:line="4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w:t>
            </w:r>
          </w:p>
        </w:tc>
        <w:tc>
          <w:tcPr>
            <w:tcW w:w="4394" w:type="dxa"/>
            <w:noWrap w:val="0"/>
            <w:vAlign w:val="center"/>
          </w:tcPr>
          <w:p>
            <w:pPr>
              <w:widowControl/>
              <w:spacing w:line="4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丰田牌-TV7163GL</w:t>
            </w:r>
          </w:p>
        </w:tc>
        <w:tc>
          <w:tcPr>
            <w:tcW w:w="1559" w:type="dxa"/>
            <w:noWrap w:val="0"/>
            <w:vAlign w:val="center"/>
          </w:tcPr>
          <w:p>
            <w:pPr>
              <w:widowControl/>
              <w:spacing w:line="46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9" w:type="dxa"/>
            <w:noWrap w:val="0"/>
            <w:vAlign w:val="center"/>
          </w:tcPr>
          <w:p>
            <w:pPr>
              <w:widowControl/>
              <w:spacing w:line="4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w:t>
            </w:r>
          </w:p>
        </w:tc>
        <w:tc>
          <w:tcPr>
            <w:tcW w:w="4394" w:type="dxa"/>
            <w:noWrap w:val="0"/>
            <w:vAlign w:val="center"/>
          </w:tcPr>
          <w:p>
            <w:pPr>
              <w:widowControl/>
              <w:spacing w:line="4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尼桑牌-ZN1033U2G4</w:t>
            </w:r>
          </w:p>
        </w:tc>
        <w:tc>
          <w:tcPr>
            <w:tcW w:w="1559" w:type="dxa"/>
            <w:noWrap w:val="0"/>
            <w:vAlign w:val="center"/>
          </w:tcPr>
          <w:p>
            <w:pPr>
              <w:widowControl/>
              <w:spacing w:line="4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9" w:type="dxa"/>
            <w:noWrap w:val="0"/>
            <w:vAlign w:val="center"/>
          </w:tcPr>
          <w:p>
            <w:pPr>
              <w:widowControl/>
              <w:spacing w:line="4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w:t>
            </w:r>
          </w:p>
        </w:tc>
        <w:tc>
          <w:tcPr>
            <w:tcW w:w="4394" w:type="dxa"/>
            <w:noWrap w:val="0"/>
            <w:vAlign w:val="center"/>
          </w:tcPr>
          <w:p>
            <w:pPr>
              <w:widowControl/>
              <w:spacing w:line="4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思威牌-DHW6450B(CR-V2.0)</w:t>
            </w:r>
          </w:p>
        </w:tc>
        <w:tc>
          <w:tcPr>
            <w:tcW w:w="1559" w:type="dxa"/>
            <w:noWrap w:val="0"/>
            <w:vAlign w:val="center"/>
          </w:tcPr>
          <w:p>
            <w:pPr>
              <w:widowControl/>
              <w:spacing w:line="4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9" w:type="dxa"/>
            <w:noWrap w:val="0"/>
            <w:vAlign w:val="center"/>
          </w:tcPr>
          <w:p>
            <w:pPr>
              <w:widowControl/>
              <w:spacing w:line="4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w:t>
            </w:r>
          </w:p>
        </w:tc>
        <w:tc>
          <w:tcPr>
            <w:tcW w:w="4394" w:type="dxa"/>
            <w:noWrap w:val="0"/>
            <w:vAlign w:val="center"/>
          </w:tcPr>
          <w:p>
            <w:pPr>
              <w:widowControl/>
              <w:spacing w:line="4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江淮牌-HFC5036XZFLT</w:t>
            </w:r>
          </w:p>
        </w:tc>
        <w:tc>
          <w:tcPr>
            <w:tcW w:w="1559" w:type="dxa"/>
            <w:noWrap w:val="0"/>
            <w:vAlign w:val="center"/>
          </w:tcPr>
          <w:p>
            <w:pPr>
              <w:widowControl/>
              <w:spacing w:line="4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9" w:type="dxa"/>
            <w:noWrap w:val="0"/>
            <w:vAlign w:val="center"/>
          </w:tcPr>
          <w:p>
            <w:pPr>
              <w:widowControl/>
              <w:spacing w:line="4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w:t>
            </w:r>
          </w:p>
        </w:tc>
        <w:tc>
          <w:tcPr>
            <w:tcW w:w="4394" w:type="dxa"/>
            <w:noWrap w:val="0"/>
            <w:vAlign w:val="center"/>
          </w:tcPr>
          <w:p>
            <w:pPr>
              <w:widowControl/>
              <w:spacing w:line="4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江铃全顺牌-JX5048XJCMD</w:t>
            </w:r>
          </w:p>
        </w:tc>
        <w:tc>
          <w:tcPr>
            <w:tcW w:w="1559" w:type="dxa"/>
            <w:noWrap w:val="0"/>
            <w:vAlign w:val="center"/>
          </w:tcPr>
          <w:p>
            <w:pPr>
              <w:widowControl/>
              <w:spacing w:line="4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r>
    </w:tbl>
    <w:p>
      <w:pPr>
        <w:spacing w:line="48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在服务期内，甲方有新购或从其他部门调拨入采购人的车辆，如需购买保险的，应自动纳入本项目服务范围。车辆报废或调拨出甲方的，则该车辆自动划出本项目服务范围。</w:t>
      </w:r>
    </w:p>
    <w:p>
      <w:pPr>
        <w:numPr>
          <w:ilvl w:val="0"/>
          <w:numId w:val="0"/>
        </w:numPr>
        <w:spacing w:line="360" w:lineRule="auto"/>
        <w:ind w:firstLine="560" w:firstLineChars="200"/>
        <w:jc w:val="left"/>
        <w:rPr>
          <w:rFonts w:hint="eastAsia" w:ascii="仿宋_GB2312" w:hAnsi="仿宋_GB2312" w:eastAsia="仿宋_GB2312" w:cs="仿宋_GB2312"/>
          <w:color w:val="auto"/>
          <w:sz w:val="28"/>
          <w:szCs w:val="28"/>
          <w:highlight w:val="none"/>
          <w:lang w:val="en-US" w:eastAsia="zh-CN"/>
        </w:rPr>
      </w:pPr>
      <w:r>
        <w:rPr>
          <w:rFonts w:hint="eastAsia" w:ascii="仿宋" w:hAnsi="仿宋" w:eastAsia="仿宋" w:cs="仿宋"/>
          <w:color w:val="auto"/>
          <w:sz w:val="28"/>
          <w:szCs w:val="28"/>
          <w:highlight w:val="none"/>
          <w:lang w:val="en-US" w:eastAsia="zh-CN"/>
        </w:rPr>
        <w:t>购买交强险时，该车辆如需交车船税，则由乙方</w:t>
      </w:r>
      <w:r>
        <w:rPr>
          <w:rStyle w:val="12"/>
          <w:rFonts w:hint="eastAsia" w:ascii="仿宋" w:hAnsi="仿宋" w:eastAsia="仿宋" w:cs="仿宋"/>
          <w:i w:val="0"/>
          <w:caps w:val="0"/>
          <w:color w:val="auto"/>
          <w:spacing w:val="0"/>
          <w:kern w:val="2"/>
          <w:sz w:val="28"/>
          <w:szCs w:val="28"/>
          <w:highlight w:val="none"/>
          <w:shd w:val="clear"/>
          <w:lang w:val="en-US" w:eastAsia="zh-CN" w:bidi="ar"/>
        </w:rPr>
        <w:t>代缴</w:t>
      </w:r>
      <w:r>
        <w:rPr>
          <w:rFonts w:hint="eastAsia" w:ascii="仿宋" w:hAnsi="仿宋" w:eastAsia="仿宋" w:cs="仿宋"/>
          <w:color w:val="auto"/>
          <w:sz w:val="28"/>
          <w:szCs w:val="28"/>
          <w:highlight w:val="none"/>
          <w:lang w:val="en-US" w:eastAsia="zh-CN"/>
        </w:rPr>
        <w:t>车船税，交强险和车船税均不享受保费优惠系数的费用折扣。</w:t>
      </w:r>
      <w:bookmarkEnd w:id="0"/>
      <w:bookmarkEnd w:id="1"/>
    </w:p>
    <w:p>
      <w:pPr>
        <w:pStyle w:val="17"/>
        <w:widowControl/>
        <w:numPr>
          <w:ilvl w:val="-1"/>
          <w:numId w:val="0"/>
        </w:numPr>
        <w:spacing w:line="480" w:lineRule="exact"/>
        <w:ind w:left="420" w:firstLine="0"/>
        <w:jc w:val="left"/>
        <w:rPr>
          <w:rFonts w:ascii="仿宋" w:hAnsi="仿宋" w:eastAsia="仿宋" w:cs="仿宋"/>
          <w:b/>
          <w:sz w:val="28"/>
          <w:szCs w:val="28"/>
          <w:highlight w:val="none"/>
        </w:rPr>
      </w:pPr>
      <w:r>
        <w:rPr>
          <w:rFonts w:hint="eastAsia" w:ascii="仿宋" w:hAnsi="仿宋" w:eastAsia="仿宋" w:cs="仿宋"/>
          <w:b/>
          <w:sz w:val="28"/>
          <w:szCs w:val="28"/>
          <w:highlight w:val="none"/>
          <w:lang w:eastAsia="zh-CN"/>
        </w:rPr>
        <w:t>（一）</w:t>
      </w:r>
      <w:r>
        <w:rPr>
          <w:rFonts w:hint="eastAsia" w:ascii="仿宋" w:hAnsi="仿宋" w:eastAsia="仿宋" w:cs="仿宋"/>
          <w:b/>
          <w:sz w:val="28"/>
          <w:szCs w:val="28"/>
          <w:highlight w:val="none"/>
        </w:rPr>
        <w:t>保险标的及保险险种</w:t>
      </w:r>
    </w:p>
    <w:p>
      <w:pPr>
        <w:pStyle w:val="17"/>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本项目保险标的为甲方单位的公务用机动车车辆，共计16辆（以下简称保险车辆）。</w:t>
      </w:r>
    </w:p>
    <w:p>
      <w:pPr>
        <w:pStyle w:val="17"/>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保险车辆投保险种范围为：</w:t>
      </w:r>
      <w:r>
        <w:rPr>
          <w:rFonts w:hint="eastAsia" w:ascii="仿宋" w:hAnsi="仿宋" w:eastAsia="仿宋" w:cs="仿宋"/>
          <w:sz w:val="28"/>
          <w:szCs w:val="28"/>
          <w:highlight w:val="none"/>
          <w:lang w:eastAsia="zh-CN"/>
        </w:rPr>
        <w:t>交强险、</w:t>
      </w:r>
      <w:r>
        <w:rPr>
          <w:rFonts w:hint="eastAsia" w:ascii="仿宋" w:hAnsi="仿宋" w:eastAsia="仿宋" w:cs="仿宋"/>
          <w:sz w:val="28"/>
          <w:szCs w:val="28"/>
          <w:highlight w:val="none"/>
        </w:rPr>
        <w:t>车辆损失险、第三者责任</w:t>
      </w:r>
      <w:r>
        <w:rPr>
          <w:rFonts w:hint="eastAsia" w:ascii="仿宋" w:hAnsi="仿宋" w:eastAsia="仿宋" w:cs="仿宋"/>
          <w:sz w:val="28"/>
          <w:szCs w:val="28"/>
          <w:highlight w:val="none"/>
        </w:rPr>
        <w:t>险、</w:t>
      </w:r>
      <w:r>
        <w:rPr>
          <w:rFonts w:hint="eastAsia" w:ascii="仿宋" w:hAnsi="仿宋" w:eastAsia="仿宋" w:cs="仿宋"/>
          <w:color w:val="auto"/>
          <w:sz w:val="32"/>
          <w:szCs w:val="32"/>
          <w:highlight w:val="none"/>
          <w:lang w:eastAsia="zh-CN"/>
        </w:rPr>
        <w:t>全车盗抢险、</w:t>
      </w:r>
      <w:r>
        <w:rPr>
          <w:rFonts w:hint="eastAsia" w:ascii="仿宋" w:hAnsi="仿宋" w:eastAsia="仿宋" w:cs="仿宋"/>
          <w:sz w:val="28"/>
          <w:szCs w:val="28"/>
          <w:highlight w:val="none"/>
        </w:rPr>
        <w:t>车上人员责任险共</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个基本险种。</w:t>
      </w:r>
    </w:p>
    <w:p>
      <w:pPr>
        <w:numPr>
          <w:ilvl w:val="0"/>
          <w:numId w:val="0"/>
        </w:numPr>
        <w:spacing w:line="24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注：其他商业险种</w:t>
      </w:r>
      <w:r>
        <w:rPr>
          <w:rFonts w:hint="eastAsia" w:ascii="仿宋" w:hAnsi="仿宋" w:eastAsia="仿宋" w:cs="仿宋"/>
          <w:color w:val="auto"/>
          <w:sz w:val="28"/>
          <w:szCs w:val="28"/>
          <w:highlight w:val="none"/>
          <w:lang w:eastAsia="zh-CN"/>
        </w:rPr>
        <w:t>（包括但不限于全车盗抢险、玻璃单独破碎险、不计免赔特约险、自燃损失险等）</w:t>
      </w:r>
      <w:r>
        <w:rPr>
          <w:rFonts w:hint="eastAsia" w:ascii="仿宋" w:hAnsi="仿宋" w:eastAsia="仿宋" w:cs="仿宋"/>
          <w:color w:val="auto"/>
          <w:sz w:val="28"/>
          <w:szCs w:val="28"/>
          <w:highlight w:val="none"/>
        </w:rPr>
        <w:t>，采购人可自行与中标供应商协商投保，且按投标的保险费优惠系数和服务承诺执行。</w:t>
      </w:r>
    </w:p>
    <w:p>
      <w:pPr>
        <w:pStyle w:val="17"/>
        <w:widowControl/>
        <w:numPr>
          <w:ilvl w:val="-1"/>
          <w:numId w:val="0"/>
        </w:numPr>
        <w:spacing w:line="480" w:lineRule="exact"/>
        <w:ind w:left="420" w:firstLine="0"/>
        <w:jc w:val="left"/>
        <w:rPr>
          <w:rFonts w:ascii="仿宋" w:hAnsi="仿宋" w:eastAsia="仿宋" w:cs="仿宋"/>
          <w:b/>
          <w:sz w:val="28"/>
          <w:szCs w:val="28"/>
          <w:highlight w:val="none"/>
        </w:rPr>
      </w:pPr>
      <w:r>
        <w:rPr>
          <w:rFonts w:hint="eastAsia" w:ascii="仿宋" w:hAnsi="仿宋" w:eastAsia="仿宋" w:cs="仿宋"/>
          <w:b/>
          <w:sz w:val="28"/>
          <w:szCs w:val="28"/>
          <w:highlight w:val="none"/>
          <w:lang w:eastAsia="zh-CN"/>
        </w:rPr>
        <w:t>（二）</w:t>
      </w:r>
      <w:r>
        <w:rPr>
          <w:rFonts w:hint="eastAsia" w:ascii="仿宋" w:hAnsi="仿宋" w:eastAsia="仿宋" w:cs="仿宋"/>
          <w:b/>
          <w:sz w:val="28"/>
          <w:szCs w:val="28"/>
          <w:highlight w:val="none"/>
        </w:rPr>
        <w:t>保险责任</w:t>
      </w:r>
    </w:p>
    <w:p>
      <w:pPr>
        <w:pStyle w:val="17"/>
        <w:numPr>
          <w:ilvl w:val="-1"/>
          <w:numId w:val="0"/>
        </w:numPr>
        <w:spacing w:line="480" w:lineRule="exact"/>
        <w:ind w:leftChars="200" w:firstLine="0" w:firstLineChars="0"/>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车辆损失险：下列原因造成保险车辆的损失，乙方负责赔偿：</w:t>
      </w:r>
      <w:r>
        <w:rPr>
          <w:rFonts w:hint="eastAsia" w:ascii="仿宋" w:hAnsi="仿宋" w:eastAsia="仿宋" w:cs="仿宋"/>
          <w:sz w:val="28"/>
          <w:szCs w:val="28"/>
          <w:highlight w:val="none"/>
        </w:rPr>
        <w:br w:type="textWrapping"/>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碰撞、倾覆；</w:t>
      </w:r>
      <w:r>
        <w:rPr>
          <w:rFonts w:hint="eastAsia" w:ascii="仿宋" w:hAnsi="仿宋" w:eastAsia="仿宋" w:cs="仿宋"/>
          <w:sz w:val="28"/>
          <w:szCs w:val="28"/>
          <w:highlight w:val="none"/>
        </w:rPr>
        <w:br w:type="textWrapping"/>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火灾、爆炸；</w:t>
      </w:r>
      <w:r>
        <w:rPr>
          <w:rFonts w:hint="eastAsia" w:ascii="仿宋" w:hAnsi="仿宋" w:eastAsia="仿宋" w:cs="仿宋"/>
          <w:sz w:val="28"/>
          <w:szCs w:val="28"/>
          <w:highlight w:val="none"/>
        </w:rPr>
        <w:br w:type="textWrapping"/>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外界物体倒塌、空中运行物体坠落、行驶中平行坠落；</w:t>
      </w:r>
      <w:r>
        <w:rPr>
          <w:rFonts w:hint="eastAsia" w:ascii="仿宋" w:hAnsi="仿宋" w:eastAsia="仿宋" w:cs="仿宋"/>
          <w:sz w:val="28"/>
          <w:szCs w:val="28"/>
          <w:highlight w:val="none"/>
        </w:rPr>
        <w:br w:type="textWrapping"/>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雷击、暴风、龙卷风、暴雨、洪水、海啸、地陷、冰陷、崖崩、雪崩、雹灾、泥石流、滑坡；</w:t>
      </w:r>
      <w:r>
        <w:rPr>
          <w:rFonts w:hint="eastAsia" w:ascii="仿宋" w:hAnsi="仿宋" w:eastAsia="仿宋" w:cs="仿宋"/>
          <w:sz w:val="28"/>
          <w:szCs w:val="28"/>
          <w:highlight w:val="none"/>
        </w:rPr>
        <w:br w:type="textWrapping"/>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载运保险车辆的渡船遭受自然灾害。</w:t>
      </w:r>
      <w:r>
        <w:rPr>
          <w:rFonts w:hint="eastAsia" w:ascii="仿宋" w:hAnsi="仿宋" w:eastAsia="仿宋" w:cs="仿宋"/>
          <w:sz w:val="28"/>
          <w:szCs w:val="28"/>
          <w:highlight w:val="none"/>
        </w:rPr>
        <w:br w:type="textWrapping"/>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发生保险事故时，甲方对保险车辆采取施救、保护措施所支出的合理费用，乙方负责以保险金额为限进行赔偿。</w:t>
      </w:r>
    </w:p>
    <w:p>
      <w:pPr>
        <w:pStyle w:val="17"/>
        <w:numPr>
          <w:ilvl w:val="-1"/>
          <w:numId w:val="0"/>
        </w:numPr>
        <w:spacing w:line="480" w:lineRule="exact"/>
        <w:ind w:leftChars="200" w:firstLine="0" w:firstLineChars="0"/>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第三者责任险：甲方允许的合格驾驶人员在使用保险车辆过程中发生意外事故，致使第三者遭受人身伤亡或财产的直接损毁，依法应当由甲方支付的赔偿金额，乙方在每次事故最高赔偿限额内给予赔偿。</w:t>
      </w:r>
    </w:p>
    <w:p>
      <w:pPr>
        <w:pStyle w:val="17"/>
        <w:numPr>
          <w:ilvl w:val="-1"/>
          <w:numId w:val="0"/>
        </w:numPr>
        <w:spacing w:line="480" w:lineRule="exact"/>
        <w:ind w:leftChars="200" w:firstLine="0" w:firstLineChars="0"/>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全车盗抢险：下列原因造成保险车辆的损失，乙方负责赔偿：</w:t>
      </w:r>
      <w:r>
        <w:rPr>
          <w:rFonts w:hint="eastAsia" w:ascii="仿宋" w:hAnsi="仿宋" w:eastAsia="仿宋" w:cs="仿宋"/>
          <w:sz w:val="28"/>
          <w:szCs w:val="28"/>
          <w:highlight w:val="none"/>
        </w:rPr>
        <w:br w:type="textWrapping"/>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保险车辆被盗窃、抢劫、抢夺，经出险当地县级以上公安刑侦部门立案证明，满60天未查明下落的全车损失；</w:t>
      </w:r>
      <w:r>
        <w:rPr>
          <w:rFonts w:hint="eastAsia" w:ascii="仿宋" w:hAnsi="仿宋" w:eastAsia="仿宋" w:cs="仿宋"/>
          <w:sz w:val="28"/>
          <w:szCs w:val="28"/>
          <w:highlight w:val="none"/>
        </w:rPr>
        <w:br w:type="textWrapping"/>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保险车辆全车被盗窃、抢劫、抢夺后，受到损坏或车上零部件、附属设备丢失需要修复的合理费用；</w:t>
      </w:r>
      <w:r>
        <w:rPr>
          <w:rFonts w:hint="eastAsia" w:ascii="仿宋" w:hAnsi="仿宋" w:eastAsia="仿宋" w:cs="仿宋"/>
          <w:sz w:val="28"/>
          <w:szCs w:val="28"/>
          <w:highlight w:val="none"/>
        </w:rPr>
        <w:br w:type="textWrapping"/>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3</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保险车辆在被抢劫、抢夺过程中，受到损坏需要修复的合理费用。</w:t>
      </w:r>
    </w:p>
    <w:p>
      <w:pPr>
        <w:pStyle w:val="17"/>
        <w:numPr>
          <w:ilvl w:val="-1"/>
          <w:numId w:val="0"/>
        </w:numPr>
        <w:spacing w:line="480" w:lineRule="exact"/>
        <w:ind w:leftChars="200" w:firstLine="0" w:firstLineChars="0"/>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车上人员责任险：发生意外事故，造成保险车辆上人员的人身伤亡，依法应由甲方承担的经济赔偿责任，乙方负责赔偿。</w:t>
      </w:r>
    </w:p>
    <w:p>
      <w:pPr>
        <w:pStyle w:val="17"/>
        <w:widowControl/>
        <w:numPr>
          <w:ilvl w:val="-1"/>
          <w:numId w:val="0"/>
        </w:numPr>
        <w:spacing w:line="480" w:lineRule="exact"/>
        <w:ind w:left="420" w:firstLine="0"/>
        <w:jc w:val="left"/>
        <w:rPr>
          <w:rFonts w:ascii="仿宋" w:hAnsi="仿宋" w:eastAsia="仿宋" w:cs="仿宋"/>
          <w:b/>
          <w:sz w:val="28"/>
          <w:szCs w:val="28"/>
          <w:highlight w:val="none"/>
        </w:rPr>
      </w:pPr>
      <w:r>
        <w:rPr>
          <w:rFonts w:hint="eastAsia" w:ascii="仿宋" w:hAnsi="仿宋" w:eastAsia="仿宋" w:cs="仿宋"/>
          <w:b/>
          <w:sz w:val="28"/>
          <w:szCs w:val="28"/>
          <w:highlight w:val="none"/>
          <w:lang w:eastAsia="zh-CN"/>
        </w:rPr>
        <w:t>（二）</w:t>
      </w:r>
      <w:r>
        <w:rPr>
          <w:rFonts w:hint="eastAsia" w:ascii="仿宋" w:hAnsi="仿宋" w:eastAsia="仿宋" w:cs="仿宋"/>
          <w:b/>
          <w:sz w:val="28"/>
          <w:szCs w:val="28"/>
          <w:highlight w:val="none"/>
        </w:rPr>
        <w:t>保险期间和保险责任开始时间</w:t>
      </w:r>
    </w:p>
    <w:p>
      <w:pPr>
        <w:pStyle w:val="17"/>
        <w:widowControl/>
        <w:spacing w:line="480" w:lineRule="exact"/>
        <w:ind w:firstLine="560" w:firstLineChars="200"/>
        <w:jc w:val="left"/>
        <w:rPr>
          <w:rFonts w:ascii="仿宋" w:hAnsi="仿宋" w:eastAsia="仿宋" w:cs="仿宋"/>
          <w:b/>
          <w:sz w:val="28"/>
          <w:szCs w:val="28"/>
          <w:highlight w:val="none"/>
        </w:rPr>
      </w:pPr>
      <w:r>
        <w:rPr>
          <w:rFonts w:hint="eastAsia" w:ascii="仿宋" w:hAnsi="仿宋" w:eastAsia="仿宋" w:cs="仿宋"/>
          <w:sz w:val="28"/>
          <w:szCs w:val="28"/>
          <w:highlight w:val="none"/>
        </w:rPr>
        <w:t>保险期限</w:t>
      </w:r>
      <w:r>
        <w:rPr>
          <w:rFonts w:hint="eastAsia" w:ascii="仿宋" w:hAnsi="仿宋" w:eastAsia="仿宋" w:cs="仿宋"/>
          <w:sz w:val="28"/>
          <w:szCs w:val="28"/>
          <w:highlight w:val="none"/>
          <w:lang w:eastAsia="zh-CN"/>
        </w:rPr>
        <w:t>和保险责任以</w:t>
      </w:r>
      <w:r>
        <w:rPr>
          <w:rFonts w:hint="eastAsia" w:ascii="仿宋" w:hAnsi="仿宋" w:eastAsia="仿宋" w:cs="仿宋"/>
          <w:sz w:val="28"/>
          <w:szCs w:val="28"/>
          <w:highlight w:val="none"/>
          <w:lang w:val="en-US" w:eastAsia="zh-CN"/>
        </w:rPr>
        <w:t>保单实际时间为准</w:t>
      </w:r>
      <w:r>
        <w:rPr>
          <w:rFonts w:hint="eastAsia" w:ascii="仿宋" w:hAnsi="仿宋" w:eastAsia="仿宋" w:cs="仿宋"/>
          <w:sz w:val="28"/>
          <w:szCs w:val="28"/>
          <w:highlight w:val="none"/>
        </w:rPr>
        <w:t>。</w:t>
      </w:r>
    </w:p>
    <w:p>
      <w:pPr>
        <w:pStyle w:val="17"/>
        <w:widowControl/>
        <w:numPr>
          <w:ilvl w:val="-1"/>
          <w:numId w:val="0"/>
        </w:numPr>
        <w:spacing w:line="480" w:lineRule="exact"/>
        <w:ind w:left="420" w:firstLine="0"/>
        <w:jc w:val="left"/>
        <w:rPr>
          <w:rFonts w:ascii="仿宋" w:hAnsi="仿宋" w:eastAsia="仿宋" w:cs="仿宋"/>
          <w:b/>
          <w:sz w:val="28"/>
          <w:szCs w:val="28"/>
          <w:highlight w:val="none"/>
        </w:rPr>
      </w:pPr>
      <w:r>
        <w:rPr>
          <w:rFonts w:hint="eastAsia" w:ascii="仿宋" w:hAnsi="仿宋" w:eastAsia="仿宋" w:cs="仿宋"/>
          <w:b/>
          <w:sz w:val="28"/>
          <w:szCs w:val="28"/>
          <w:highlight w:val="none"/>
          <w:lang w:eastAsia="zh-CN"/>
        </w:rPr>
        <w:t>（三）</w:t>
      </w:r>
      <w:r>
        <w:rPr>
          <w:rFonts w:hint="eastAsia" w:ascii="仿宋" w:hAnsi="仿宋" w:eastAsia="仿宋" w:cs="仿宋"/>
          <w:b/>
          <w:sz w:val="28"/>
          <w:szCs w:val="28"/>
          <w:highlight w:val="none"/>
        </w:rPr>
        <w:t>保险金额（赔偿限额）</w:t>
      </w:r>
    </w:p>
    <w:p>
      <w:pPr>
        <w:pStyle w:val="17"/>
        <w:widowControl/>
        <w:numPr>
          <w:ilvl w:val="-1"/>
          <w:numId w:val="0"/>
        </w:numPr>
        <w:spacing w:line="480" w:lineRule="exact"/>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lang w:val="en-US" w:eastAsia="zh-CN"/>
        </w:rPr>
        <w:t>1.</w:t>
      </w:r>
      <w:r>
        <w:rPr>
          <w:rFonts w:hint="eastAsia" w:ascii="仿宋" w:hAnsi="仿宋" w:eastAsia="仿宋" w:cs="仿宋"/>
          <w:bCs/>
          <w:sz w:val="28"/>
          <w:szCs w:val="28"/>
          <w:highlight w:val="none"/>
        </w:rPr>
        <w:t>车辆损失险保险金额按照保险车辆投保时的实际价值确定（但不能超过签订本合同时的市场同一型号新车购置价）。</w:t>
      </w:r>
    </w:p>
    <w:p>
      <w:pPr>
        <w:pStyle w:val="17"/>
        <w:widowControl/>
        <w:numPr>
          <w:ilvl w:val="-1"/>
          <w:numId w:val="0"/>
        </w:numPr>
        <w:spacing w:line="480" w:lineRule="exact"/>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lang w:val="en-US" w:eastAsia="zh-CN"/>
        </w:rPr>
        <w:t>2.</w:t>
      </w:r>
      <w:r>
        <w:rPr>
          <w:rFonts w:hint="eastAsia" w:ascii="仿宋" w:hAnsi="仿宋" w:eastAsia="仿宋" w:cs="仿宋"/>
          <w:bCs/>
          <w:sz w:val="28"/>
          <w:szCs w:val="28"/>
          <w:highlight w:val="none"/>
        </w:rPr>
        <w:t>第三者责任险最高赔偿限额：分为10万、15万、20万、30万、50万、100万、150万、200万、300万、400万、500万十一个赔偿档次，甲方按照</w:t>
      </w:r>
      <w:r>
        <w:rPr>
          <w:rFonts w:hint="eastAsia" w:ascii="仿宋" w:hAnsi="仿宋" w:eastAsia="仿宋" w:cs="仿宋"/>
          <w:bCs/>
          <w:color w:val="auto"/>
          <w:sz w:val="28"/>
          <w:szCs w:val="28"/>
          <w:highlight w:val="none"/>
        </w:rPr>
        <w:t>300万的赔偿档次进行投保</w:t>
      </w:r>
      <w:r>
        <w:rPr>
          <w:rFonts w:hint="eastAsia" w:ascii="仿宋" w:hAnsi="仿宋" w:eastAsia="仿宋" w:cs="仿宋"/>
          <w:bCs/>
          <w:sz w:val="28"/>
          <w:szCs w:val="28"/>
          <w:highlight w:val="none"/>
        </w:rPr>
        <w:t>。</w:t>
      </w:r>
    </w:p>
    <w:p>
      <w:pPr>
        <w:pStyle w:val="17"/>
        <w:widowControl/>
        <w:numPr>
          <w:ilvl w:val="-1"/>
          <w:numId w:val="0"/>
        </w:numPr>
        <w:spacing w:line="480" w:lineRule="exact"/>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lang w:val="en-US" w:eastAsia="zh-CN"/>
        </w:rPr>
        <w:t>3.</w:t>
      </w:r>
      <w:r>
        <w:rPr>
          <w:rFonts w:hint="eastAsia" w:ascii="仿宋" w:hAnsi="仿宋" w:eastAsia="仿宋" w:cs="仿宋"/>
          <w:bCs/>
          <w:sz w:val="28"/>
          <w:szCs w:val="28"/>
          <w:highlight w:val="none"/>
        </w:rPr>
        <w:t>全车盗抢险保险金额由甲方和乙方根据保险车辆的实际价值协商确定。</w:t>
      </w:r>
    </w:p>
    <w:p>
      <w:pPr>
        <w:pStyle w:val="17"/>
        <w:widowControl/>
        <w:numPr>
          <w:ilvl w:val="-1"/>
          <w:numId w:val="0"/>
        </w:numPr>
        <w:spacing w:line="480" w:lineRule="exact"/>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lang w:val="en-US" w:eastAsia="zh-CN"/>
        </w:rPr>
        <w:t>4.</w:t>
      </w:r>
      <w:r>
        <w:rPr>
          <w:rFonts w:hint="eastAsia" w:ascii="仿宋" w:hAnsi="仿宋" w:eastAsia="仿宋" w:cs="仿宋"/>
          <w:bCs/>
          <w:sz w:val="28"/>
          <w:szCs w:val="28"/>
          <w:highlight w:val="none"/>
        </w:rPr>
        <w:t>车上人员责任险的保险金额按照车上人员每人责任限额和投保座位数由甲方和乙方在投保时协商确定。投保座位数以保险车辆的核定载客数为限。</w:t>
      </w:r>
    </w:p>
    <w:p>
      <w:pPr>
        <w:pStyle w:val="17"/>
        <w:widowControl/>
        <w:numPr>
          <w:ilvl w:val="-1"/>
          <w:numId w:val="0"/>
        </w:numPr>
        <w:spacing w:line="480" w:lineRule="exact"/>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lang w:val="en-US" w:eastAsia="zh-CN"/>
        </w:rPr>
        <w:t>5.</w:t>
      </w:r>
      <w:r>
        <w:rPr>
          <w:rFonts w:hint="eastAsia" w:ascii="仿宋" w:hAnsi="仿宋" w:eastAsia="仿宋" w:cs="仿宋"/>
          <w:bCs/>
          <w:sz w:val="28"/>
          <w:szCs w:val="28"/>
          <w:highlight w:val="none"/>
        </w:rPr>
        <w:t>玻璃单独破碎险、不计免赔特约险、自燃损失险的保险金额按保险公司经中国保监会备案的保险条款规定执行。</w:t>
      </w:r>
    </w:p>
    <w:p>
      <w:pPr>
        <w:pStyle w:val="17"/>
        <w:widowControl/>
        <w:numPr>
          <w:ilvl w:val="-1"/>
          <w:numId w:val="0"/>
        </w:numPr>
        <w:spacing w:line="480" w:lineRule="exact"/>
        <w:ind w:left="420" w:firstLine="0"/>
        <w:jc w:val="left"/>
        <w:rPr>
          <w:rFonts w:ascii="仿宋" w:hAnsi="仿宋" w:eastAsia="仿宋" w:cs="仿宋"/>
          <w:b/>
          <w:sz w:val="28"/>
          <w:szCs w:val="28"/>
          <w:highlight w:val="none"/>
        </w:rPr>
      </w:pPr>
      <w:r>
        <w:rPr>
          <w:rFonts w:hint="eastAsia" w:ascii="仿宋" w:hAnsi="仿宋" w:eastAsia="仿宋" w:cs="仿宋"/>
          <w:b/>
          <w:sz w:val="28"/>
          <w:szCs w:val="28"/>
          <w:highlight w:val="none"/>
          <w:lang w:eastAsia="zh-CN"/>
        </w:rPr>
        <w:t>（四）</w:t>
      </w:r>
      <w:r>
        <w:rPr>
          <w:rFonts w:hint="eastAsia" w:ascii="仿宋" w:hAnsi="仿宋" w:eastAsia="仿宋" w:cs="仿宋"/>
          <w:b/>
          <w:sz w:val="28"/>
          <w:szCs w:val="28"/>
          <w:highlight w:val="none"/>
        </w:rPr>
        <w:t>保险费及支付方式</w:t>
      </w:r>
    </w:p>
    <w:p>
      <w:pPr>
        <w:pStyle w:val="17"/>
        <w:numPr>
          <w:ilvl w:val="-1"/>
          <w:numId w:val="0"/>
        </w:numPr>
        <w:tabs>
          <w:tab w:val="left" w:pos="720"/>
        </w:tabs>
        <w:spacing w:line="480" w:lineRule="exact"/>
        <w:ind w:leftChars="0"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甲方实际支付的保险费金额=标准保险费金额×无赔款优待系数（NCD系数）×优惠系数。</w:t>
      </w:r>
      <w:r>
        <w:rPr>
          <w:rFonts w:hint="eastAsia" w:ascii="仿宋" w:hAnsi="仿宋" w:eastAsia="仿宋" w:cs="仿宋"/>
          <w:sz w:val="28"/>
          <w:szCs w:val="28"/>
          <w:highlight w:val="none"/>
        </w:rPr>
        <w:br w:type="textWrapping"/>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“标准保险费金额”是按照保险公司经中国保监会批复的车险费率、条款为基准计算出来的各险种的保险费的总和。</w:t>
      </w:r>
      <w:r>
        <w:rPr>
          <w:rFonts w:hint="eastAsia" w:ascii="仿宋" w:hAnsi="仿宋" w:eastAsia="仿宋" w:cs="仿宋"/>
          <w:sz w:val="28"/>
          <w:szCs w:val="28"/>
          <w:highlight w:val="none"/>
        </w:rPr>
        <w:br w:type="textWrapping"/>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无赔款优待系数（以下简称“NCD系数”），是根据客户所投保车辆上一年或上几年的出险情况进行浮动费率的系数，由中保协定期制定并颁布，并通过平台统一查询使用。保险公司严格按照从平台获取的NCD系数值进行费率的浮动，严禁上浮或者下调NCD系数值来调整保费。不同出险情况对应的NCD因子值如下表所示：</w:t>
      </w:r>
    </w:p>
    <w:tbl>
      <w:tblPr>
        <w:tblStyle w:val="11"/>
        <w:tblW w:w="6860" w:type="dxa"/>
        <w:jc w:val="center"/>
        <w:tblLayout w:type="fixed"/>
        <w:tblCellMar>
          <w:top w:w="0" w:type="dxa"/>
          <w:left w:w="0" w:type="dxa"/>
          <w:bottom w:w="0" w:type="dxa"/>
          <w:right w:w="0" w:type="dxa"/>
        </w:tblCellMar>
      </w:tblPr>
      <w:tblGrid>
        <w:gridCol w:w="4012"/>
        <w:gridCol w:w="2848"/>
      </w:tblGrid>
      <w:tr>
        <w:tblPrEx>
          <w:tblCellMar>
            <w:top w:w="0" w:type="dxa"/>
            <w:left w:w="0" w:type="dxa"/>
            <w:bottom w:w="0" w:type="dxa"/>
            <w:right w:w="0" w:type="dxa"/>
          </w:tblCellMar>
        </w:tblPrEx>
        <w:trPr>
          <w:trHeight w:val="340" w:hRule="atLeast"/>
          <w:jc w:val="center"/>
        </w:trPr>
        <w:tc>
          <w:tcPr>
            <w:tcW w:w="4012" w:type="dxa"/>
            <w:tcBorders>
              <w:top w:val="single" w:color="080000" w:sz="8" w:space="0"/>
              <w:left w:val="single" w:color="080000" w:sz="8" w:space="0"/>
              <w:bottom w:val="single" w:color="080000" w:sz="8" w:space="0"/>
              <w:right w:val="single" w:color="080000" w:sz="8" w:space="0"/>
            </w:tcBorders>
            <w:shd w:val="clear" w:color="auto" w:fill="auto"/>
            <w:tcMar>
              <w:top w:w="15" w:type="dxa"/>
              <w:left w:w="108" w:type="dxa"/>
              <w:bottom w:w="0" w:type="dxa"/>
              <w:right w:w="108" w:type="dxa"/>
            </w:tcMar>
            <w:vAlign w:val="center"/>
          </w:tcPr>
          <w:p>
            <w:pPr>
              <w:pStyle w:val="17"/>
              <w:tabs>
                <w:tab w:val="left" w:pos="720"/>
              </w:tabs>
              <w:spacing w:line="480" w:lineRule="exact"/>
              <w:rPr>
                <w:rFonts w:ascii="仿宋" w:hAnsi="仿宋" w:eastAsia="仿宋" w:cs="仿宋"/>
                <w:sz w:val="28"/>
                <w:szCs w:val="28"/>
                <w:highlight w:val="none"/>
              </w:rPr>
            </w:pPr>
            <w:r>
              <w:rPr>
                <w:rFonts w:hint="eastAsia" w:ascii="仿宋" w:hAnsi="仿宋" w:eastAsia="仿宋" w:cs="仿宋"/>
                <w:b/>
                <w:bCs/>
                <w:sz w:val="28"/>
                <w:szCs w:val="28"/>
                <w:highlight w:val="none"/>
              </w:rPr>
              <w:t>上年出险情况</w:t>
            </w:r>
          </w:p>
        </w:tc>
        <w:tc>
          <w:tcPr>
            <w:tcW w:w="2848" w:type="dxa"/>
            <w:tcBorders>
              <w:top w:val="single" w:color="080000" w:sz="8" w:space="0"/>
              <w:left w:val="single" w:color="080000" w:sz="8" w:space="0"/>
              <w:bottom w:val="single" w:color="080000" w:sz="8" w:space="0"/>
              <w:right w:val="single" w:color="080000" w:sz="8" w:space="0"/>
            </w:tcBorders>
            <w:shd w:val="clear" w:color="auto" w:fill="auto"/>
            <w:tcMar>
              <w:top w:w="15" w:type="dxa"/>
              <w:left w:w="108" w:type="dxa"/>
              <w:bottom w:w="0" w:type="dxa"/>
              <w:right w:w="108" w:type="dxa"/>
            </w:tcMar>
            <w:vAlign w:val="center"/>
          </w:tcPr>
          <w:p>
            <w:pPr>
              <w:pStyle w:val="17"/>
              <w:tabs>
                <w:tab w:val="left" w:pos="720"/>
              </w:tabs>
              <w:spacing w:line="480" w:lineRule="exact"/>
              <w:rPr>
                <w:rFonts w:ascii="仿宋" w:hAnsi="仿宋" w:eastAsia="仿宋" w:cs="仿宋"/>
                <w:sz w:val="28"/>
                <w:szCs w:val="28"/>
                <w:highlight w:val="none"/>
              </w:rPr>
            </w:pPr>
            <w:r>
              <w:rPr>
                <w:rFonts w:hint="eastAsia" w:ascii="仿宋" w:hAnsi="仿宋" w:eastAsia="仿宋" w:cs="仿宋"/>
                <w:b/>
                <w:bCs/>
                <w:sz w:val="28"/>
                <w:szCs w:val="28"/>
                <w:highlight w:val="none"/>
              </w:rPr>
              <w:t>NCD系数值</w:t>
            </w:r>
          </w:p>
        </w:tc>
      </w:tr>
      <w:tr>
        <w:tblPrEx>
          <w:tblCellMar>
            <w:top w:w="0" w:type="dxa"/>
            <w:left w:w="0" w:type="dxa"/>
            <w:bottom w:w="0" w:type="dxa"/>
            <w:right w:w="0" w:type="dxa"/>
          </w:tblCellMar>
        </w:tblPrEx>
        <w:trPr>
          <w:trHeight w:val="340" w:hRule="atLeast"/>
          <w:jc w:val="center"/>
        </w:trPr>
        <w:tc>
          <w:tcPr>
            <w:tcW w:w="4012" w:type="dxa"/>
            <w:tcBorders>
              <w:top w:val="single" w:color="080000" w:sz="8" w:space="0"/>
              <w:left w:val="single" w:color="080000" w:sz="8" w:space="0"/>
              <w:bottom w:val="single" w:color="080000" w:sz="8" w:space="0"/>
              <w:right w:val="single" w:color="080000" w:sz="8" w:space="0"/>
            </w:tcBorders>
            <w:shd w:val="clear" w:color="auto" w:fill="auto"/>
            <w:tcMar>
              <w:top w:w="15" w:type="dxa"/>
              <w:left w:w="108" w:type="dxa"/>
              <w:bottom w:w="0" w:type="dxa"/>
              <w:right w:w="108" w:type="dxa"/>
            </w:tcMar>
          </w:tcPr>
          <w:p>
            <w:pPr>
              <w:pStyle w:val="17"/>
              <w:tabs>
                <w:tab w:val="left" w:pos="720"/>
              </w:tabs>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连续</w:t>
            </w:r>
            <w:r>
              <w:rPr>
                <w:rFonts w:ascii="仿宋" w:hAnsi="仿宋" w:eastAsia="仿宋" w:cs="仿宋"/>
                <w:sz w:val="28"/>
                <w:szCs w:val="28"/>
                <w:highlight w:val="none"/>
              </w:rPr>
              <w:t>3</w:t>
            </w:r>
            <w:r>
              <w:rPr>
                <w:rFonts w:hint="eastAsia" w:ascii="仿宋" w:hAnsi="仿宋" w:eastAsia="仿宋" w:cs="仿宋"/>
                <w:sz w:val="28"/>
                <w:szCs w:val="28"/>
                <w:highlight w:val="none"/>
              </w:rPr>
              <w:t>年没有发生赔款</w:t>
            </w:r>
            <w:r>
              <w:rPr>
                <w:rFonts w:ascii="仿宋" w:hAnsi="仿宋" w:eastAsia="仿宋" w:cs="仿宋"/>
                <w:sz w:val="28"/>
                <w:szCs w:val="28"/>
                <w:highlight w:val="none"/>
              </w:rPr>
              <w:t xml:space="preserve"> </w:t>
            </w:r>
          </w:p>
        </w:tc>
        <w:tc>
          <w:tcPr>
            <w:tcW w:w="2848" w:type="dxa"/>
            <w:tcBorders>
              <w:top w:val="single" w:color="080000" w:sz="8" w:space="0"/>
              <w:left w:val="single" w:color="080000" w:sz="8" w:space="0"/>
              <w:bottom w:val="single" w:color="080000" w:sz="8" w:space="0"/>
              <w:right w:val="single" w:color="080000" w:sz="8" w:space="0"/>
            </w:tcBorders>
            <w:shd w:val="clear" w:color="auto" w:fill="auto"/>
            <w:tcMar>
              <w:top w:w="15" w:type="dxa"/>
              <w:left w:w="108" w:type="dxa"/>
              <w:bottom w:w="0" w:type="dxa"/>
              <w:right w:w="108" w:type="dxa"/>
            </w:tcMar>
          </w:tcPr>
          <w:p>
            <w:pPr>
              <w:pStyle w:val="17"/>
              <w:tabs>
                <w:tab w:val="left" w:pos="720"/>
              </w:tabs>
              <w:spacing w:line="480" w:lineRule="exact"/>
              <w:rPr>
                <w:rFonts w:ascii="仿宋" w:hAnsi="仿宋" w:eastAsia="仿宋" w:cs="仿宋"/>
                <w:sz w:val="28"/>
                <w:szCs w:val="28"/>
                <w:highlight w:val="none"/>
              </w:rPr>
            </w:pPr>
            <w:r>
              <w:rPr>
                <w:rFonts w:ascii="仿宋" w:hAnsi="仿宋" w:eastAsia="仿宋" w:cs="仿宋"/>
                <w:sz w:val="28"/>
                <w:szCs w:val="28"/>
                <w:highlight w:val="none"/>
              </w:rPr>
              <w:t xml:space="preserve">0.60 </w:t>
            </w:r>
          </w:p>
        </w:tc>
      </w:tr>
      <w:tr>
        <w:tblPrEx>
          <w:tblCellMar>
            <w:top w:w="0" w:type="dxa"/>
            <w:left w:w="0" w:type="dxa"/>
            <w:bottom w:w="0" w:type="dxa"/>
            <w:right w:w="0" w:type="dxa"/>
          </w:tblCellMar>
        </w:tblPrEx>
        <w:trPr>
          <w:trHeight w:val="340" w:hRule="atLeast"/>
          <w:jc w:val="center"/>
        </w:trPr>
        <w:tc>
          <w:tcPr>
            <w:tcW w:w="4012" w:type="dxa"/>
            <w:tcBorders>
              <w:top w:val="single" w:color="080000" w:sz="8" w:space="0"/>
              <w:left w:val="single" w:color="080000" w:sz="8" w:space="0"/>
              <w:bottom w:val="single" w:color="080000" w:sz="8" w:space="0"/>
              <w:right w:val="single" w:color="080000" w:sz="8" w:space="0"/>
            </w:tcBorders>
            <w:shd w:val="clear" w:color="auto" w:fill="auto"/>
            <w:tcMar>
              <w:top w:w="15" w:type="dxa"/>
              <w:left w:w="108" w:type="dxa"/>
              <w:bottom w:w="0" w:type="dxa"/>
              <w:right w:w="108" w:type="dxa"/>
            </w:tcMar>
          </w:tcPr>
          <w:p>
            <w:pPr>
              <w:pStyle w:val="17"/>
              <w:tabs>
                <w:tab w:val="left" w:pos="720"/>
              </w:tabs>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连续</w:t>
            </w:r>
            <w:r>
              <w:rPr>
                <w:rFonts w:ascii="仿宋" w:hAnsi="仿宋" w:eastAsia="仿宋" w:cs="仿宋"/>
                <w:sz w:val="28"/>
                <w:szCs w:val="28"/>
                <w:highlight w:val="none"/>
              </w:rPr>
              <w:t>2</w:t>
            </w:r>
            <w:r>
              <w:rPr>
                <w:rFonts w:hint="eastAsia" w:ascii="仿宋" w:hAnsi="仿宋" w:eastAsia="仿宋" w:cs="仿宋"/>
                <w:sz w:val="28"/>
                <w:szCs w:val="28"/>
                <w:highlight w:val="none"/>
              </w:rPr>
              <w:t>年没有发生赔款</w:t>
            </w:r>
            <w:r>
              <w:rPr>
                <w:rFonts w:ascii="仿宋" w:hAnsi="仿宋" w:eastAsia="仿宋" w:cs="仿宋"/>
                <w:sz w:val="28"/>
                <w:szCs w:val="28"/>
                <w:highlight w:val="none"/>
              </w:rPr>
              <w:t xml:space="preserve"> </w:t>
            </w:r>
          </w:p>
        </w:tc>
        <w:tc>
          <w:tcPr>
            <w:tcW w:w="2848" w:type="dxa"/>
            <w:tcBorders>
              <w:top w:val="single" w:color="080000" w:sz="8" w:space="0"/>
              <w:left w:val="single" w:color="080000" w:sz="8" w:space="0"/>
              <w:bottom w:val="single" w:color="080000" w:sz="8" w:space="0"/>
              <w:right w:val="single" w:color="080000" w:sz="8" w:space="0"/>
            </w:tcBorders>
            <w:shd w:val="clear" w:color="auto" w:fill="auto"/>
            <w:tcMar>
              <w:top w:w="15" w:type="dxa"/>
              <w:left w:w="108" w:type="dxa"/>
              <w:bottom w:w="0" w:type="dxa"/>
              <w:right w:w="108" w:type="dxa"/>
            </w:tcMar>
          </w:tcPr>
          <w:p>
            <w:pPr>
              <w:pStyle w:val="17"/>
              <w:tabs>
                <w:tab w:val="left" w:pos="720"/>
              </w:tabs>
              <w:spacing w:line="480" w:lineRule="exact"/>
              <w:rPr>
                <w:rFonts w:ascii="仿宋" w:hAnsi="仿宋" w:eastAsia="仿宋" w:cs="仿宋"/>
                <w:sz w:val="28"/>
                <w:szCs w:val="28"/>
                <w:highlight w:val="none"/>
              </w:rPr>
            </w:pPr>
            <w:r>
              <w:rPr>
                <w:rFonts w:ascii="仿宋" w:hAnsi="仿宋" w:eastAsia="仿宋" w:cs="仿宋"/>
                <w:sz w:val="28"/>
                <w:szCs w:val="28"/>
                <w:highlight w:val="none"/>
              </w:rPr>
              <w:t xml:space="preserve">0.70 </w:t>
            </w:r>
          </w:p>
        </w:tc>
      </w:tr>
      <w:tr>
        <w:tblPrEx>
          <w:tblCellMar>
            <w:top w:w="0" w:type="dxa"/>
            <w:left w:w="0" w:type="dxa"/>
            <w:bottom w:w="0" w:type="dxa"/>
            <w:right w:w="0" w:type="dxa"/>
          </w:tblCellMar>
        </w:tblPrEx>
        <w:trPr>
          <w:trHeight w:val="340" w:hRule="atLeast"/>
          <w:jc w:val="center"/>
        </w:trPr>
        <w:tc>
          <w:tcPr>
            <w:tcW w:w="4012" w:type="dxa"/>
            <w:tcBorders>
              <w:top w:val="single" w:color="080000" w:sz="8" w:space="0"/>
              <w:left w:val="single" w:color="080000" w:sz="8" w:space="0"/>
              <w:bottom w:val="single" w:color="080000" w:sz="8" w:space="0"/>
              <w:right w:val="single" w:color="080000" w:sz="8" w:space="0"/>
            </w:tcBorders>
            <w:shd w:val="clear" w:color="auto" w:fill="auto"/>
            <w:tcMar>
              <w:top w:w="15" w:type="dxa"/>
              <w:left w:w="108" w:type="dxa"/>
              <w:bottom w:w="0" w:type="dxa"/>
              <w:right w:w="108" w:type="dxa"/>
            </w:tcMar>
          </w:tcPr>
          <w:p>
            <w:pPr>
              <w:pStyle w:val="17"/>
              <w:tabs>
                <w:tab w:val="left" w:pos="720"/>
              </w:tabs>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上年没有发生赔款</w:t>
            </w:r>
            <w:r>
              <w:rPr>
                <w:rFonts w:ascii="仿宋" w:hAnsi="仿宋" w:eastAsia="仿宋" w:cs="仿宋"/>
                <w:sz w:val="28"/>
                <w:szCs w:val="28"/>
                <w:highlight w:val="none"/>
              </w:rPr>
              <w:t xml:space="preserve"> </w:t>
            </w:r>
          </w:p>
        </w:tc>
        <w:tc>
          <w:tcPr>
            <w:tcW w:w="2848" w:type="dxa"/>
            <w:tcBorders>
              <w:top w:val="single" w:color="080000" w:sz="8" w:space="0"/>
              <w:left w:val="single" w:color="080000" w:sz="8" w:space="0"/>
              <w:bottom w:val="single" w:color="080000" w:sz="8" w:space="0"/>
              <w:right w:val="single" w:color="080000" w:sz="8" w:space="0"/>
            </w:tcBorders>
            <w:shd w:val="clear" w:color="auto" w:fill="auto"/>
            <w:tcMar>
              <w:top w:w="15" w:type="dxa"/>
              <w:left w:w="108" w:type="dxa"/>
              <w:bottom w:w="0" w:type="dxa"/>
              <w:right w:w="108" w:type="dxa"/>
            </w:tcMar>
          </w:tcPr>
          <w:p>
            <w:pPr>
              <w:pStyle w:val="17"/>
              <w:tabs>
                <w:tab w:val="left" w:pos="720"/>
              </w:tabs>
              <w:spacing w:line="480" w:lineRule="exact"/>
              <w:rPr>
                <w:rFonts w:ascii="仿宋" w:hAnsi="仿宋" w:eastAsia="仿宋" w:cs="仿宋"/>
                <w:sz w:val="28"/>
                <w:szCs w:val="28"/>
                <w:highlight w:val="none"/>
              </w:rPr>
            </w:pPr>
            <w:r>
              <w:rPr>
                <w:rFonts w:ascii="仿宋" w:hAnsi="仿宋" w:eastAsia="仿宋" w:cs="仿宋"/>
                <w:sz w:val="28"/>
                <w:szCs w:val="28"/>
                <w:highlight w:val="none"/>
              </w:rPr>
              <w:t xml:space="preserve">0.85 </w:t>
            </w:r>
          </w:p>
        </w:tc>
      </w:tr>
      <w:tr>
        <w:tblPrEx>
          <w:tblCellMar>
            <w:top w:w="0" w:type="dxa"/>
            <w:left w:w="0" w:type="dxa"/>
            <w:bottom w:w="0" w:type="dxa"/>
            <w:right w:w="0" w:type="dxa"/>
          </w:tblCellMar>
        </w:tblPrEx>
        <w:trPr>
          <w:trHeight w:val="340" w:hRule="atLeast"/>
          <w:jc w:val="center"/>
        </w:trPr>
        <w:tc>
          <w:tcPr>
            <w:tcW w:w="4012" w:type="dxa"/>
            <w:tcBorders>
              <w:top w:val="single" w:color="080000" w:sz="8" w:space="0"/>
              <w:left w:val="single" w:color="080000" w:sz="8" w:space="0"/>
              <w:bottom w:val="single" w:color="080000" w:sz="8" w:space="0"/>
              <w:right w:val="single" w:color="080000" w:sz="8" w:space="0"/>
            </w:tcBorders>
            <w:shd w:val="clear" w:color="auto" w:fill="auto"/>
            <w:tcMar>
              <w:top w:w="15" w:type="dxa"/>
              <w:left w:w="108" w:type="dxa"/>
              <w:bottom w:w="0" w:type="dxa"/>
              <w:right w:w="108" w:type="dxa"/>
            </w:tcMar>
          </w:tcPr>
          <w:p>
            <w:pPr>
              <w:pStyle w:val="17"/>
              <w:tabs>
                <w:tab w:val="left" w:pos="720"/>
              </w:tabs>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新保或上年发生</w:t>
            </w:r>
            <w:r>
              <w:rPr>
                <w:rFonts w:ascii="仿宋" w:hAnsi="仿宋" w:eastAsia="仿宋" w:cs="仿宋"/>
                <w:sz w:val="28"/>
                <w:szCs w:val="28"/>
                <w:highlight w:val="none"/>
              </w:rPr>
              <w:t>1</w:t>
            </w:r>
            <w:r>
              <w:rPr>
                <w:rFonts w:hint="eastAsia" w:ascii="仿宋" w:hAnsi="仿宋" w:eastAsia="仿宋" w:cs="仿宋"/>
                <w:sz w:val="28"/>
                <w:szCs w:val="28"/>
                <w:highlight w:val="none"/>
              </w:rPr>
              <w:t>次赔款</w:t>
            </w:r>
            <w:r>
              <w:rPr>
                <w:rFonts w:ascii="仿宋" w:hAnsi="仿宋" w:eastAsia="仿宋" w:cs="仿宋"/>
                <w:sz w:val="28"/>
                <w:szCs w:val="28"/>
                <w:highlight w:val="none"/>
              </w:rPr>
              <w:t xml:space="preserve"> </w:t>
            </w:r>
          </w:p>
        </w:tc>
        <w:tc>
          <w:tcPr>
            <w:tcW w:w="2848" w:type="dxa"/>
            <w:tcBorders>
              <w:top w:val="single" w:color="080000" w:sz="8" w:space="0"/>
              <w:left w:val="single" w:color="080000" w:sz="8" w:space="0"/>
              <w:bottom w:val="single" w:color="080000" w:sz="8" w:space="0"/>
              <w:right w:val="single" w:color="080000" w:sz="8" w:space="0"/>
            </w:tcBorders>
            <w:shd w:val="clear" w:color="auto" w:fill="auto"/>
            <w:tcMar>
              <w:top w:w="15" w:type="dxa"/>
              <w:left w:w="108" w:type="dxa"/>
              <w:bottom w:w="0" w:type="dxa"/>
              <w:right w:w="108" w:type="dxa"/>
            </w:tcMar>
          </w:tcPr>
          <w:p>
            <w:pPr>
              <w:pStyle w:val="17"/>
              <w:tabs>
                <w:tab w:val="left" w:pos="720"/>
              </w:tabs>
              <w:spacing w:line="480" w:lineRule="exact"/>
              <w:rPr>
                <w:rFonts w:ascii="仿宋" w:hAnsi="仿宋" w:eastAsia="仿宋" w:cs="仿宋"/>
                <w:sz w:val="28"/>
                <w:szCs w:val="28"/>
                <w:highlight w:val="none"/>
              </w:rPr>
            </w:pPr>
            <w:r>
              <w:rPr>
                <w:rFonts w:ascii="仿宋" w:hAnsi="仿宋" w:eastAsia="仿宋" w:cs="仿宋"/>
                <w:sz w:val="28"/>
                <w:szCs w:val="28"/>
                <w:highlight w:val="none"/>
              </w:rPr>
              <w:t xml:space="preserve">1.00 </w:t>
            </w:r>
          </w:p>
        </w:tc>
      </w:tr>
      <w:tr>
        <w:tblPrEx>
          <w:tblCellMar>
            <w:top w:w="0" w:type="dxa"/>
            <w:left w:w="0" w:type="dxa"/>
            <w:bottom w:w="0" w:type="dxa"/>
            <w:right w:w="0" w:type="dxa"/>
          </w:tblCellMar>
        </w:tblPrEx>
        <w:trPr>
          <w:trHeight w:val="340" w:hRule="atLeast"/>
          <w:jc w:val="center"/>
        </w:trPr>
        <w:tc>
          <w:tcPr>
            <w:tcW w:w="4012" w:type="dxa"/>
            <w:tcBorders>
              <w:top w:val="single" w:color="080000" w:sz="8" w:space="0"/>
              <w:left w:val="single" w:color="080000" w:sz="8" w:space="0"/>
              <w:bottom w:val="single" w:color="080000" w:sz="8" w:space="0"/>
              <w:right w:val="single" w:color="080000" w:sz="8" w:space="0"/>
            </w:tcBorders>
            <w:shd w:val="clear" w:color="auto" w:fill="auto"/>
            <w:tcMar>
              <w:top w:w="15" w:type="dxa"/>
              <w:left w:w="108" w:type="dxa"/>
              <w:bottom w:w="0" w:type="dxa"/>
              <w:right w:w="108" w:type="dxa"/>
            </w:tcMar>
          </w:tcPr>
          <w:p>
            <w:pPr>
              <w:pStyle w:val="17"/>
              <w:tabs>
                <w:tab w:val="left" w:pos="720"/>
              </w:tabs>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上年发生</w:t>
            </w:r>
            <w:r>
              <w:rPr>
                <w:rFonts w:ascii="仿宋" w:hAnsi="仿宋" w:eastAsia="仿宋" w:cs="仿宋"/>
                <w:sz w:val="28"/>
                <w:szCs w:val="28"/>
                <w:highlight w:val="none"/>
              </w:rPr>
              <w:t>2</w:t>
            </w:r>
            <w:r>
              <w:rPr>
                <w:rFonts w:hint="eastAsia" w:ascii="仿宋" w:hAnsi="仿宋" w:eastAsia="仿宋" w:cs="仿宋"/>
                <w:sz w:val="28"/>
                <w:szCs w:val="28"/>
                <w:highlight w:val="none"/>
              </w:rPr>
              <w:t>次赔款</w:t>
            </w:r>
            <w:r>
              <w:rPr>
                <w:rFonts w:ascii="仿宋" w:hAnsi="仿宋" w:eastAsia="仿宋" w:cs="仿宋"/>
                <w:sz w:val="28"/>
                <w:szCs w:val="28"/>
                <w:highlight w:val="none"/>
              </w:rPr>
              <w:t xml:space="preserve"> </w:t>
            </w:r>
          </w:p>
        </w:tc>
        <w:tc>
          <w:tcPr>
            <w:tcW w:w="2848" w:type="dxa"/>
            <w:tcBorders>
              <w:top w:val="single" w:color="080000" w:sz="8" w:space="0"/>
              <w:left w:val="single" w:color="080000" w:sz="8" w:space="0"/>
              <w:bottom w:val="single" w:color="080000" w:sz="8" w:space="0"/>
              <w:right w:val="single" w:color="080000" w:sz="8" w:space="0"/>
            </w:tcBorders>
            <w:shd w:val="clear" w:color="auto" w:fill="auto"/>
            <w:tcMar>
              <w:top w:w="15" w:type="dxa"/>
              <w:left w:w="108" w:type="dxa"/>
              <w:bottom w:w="0" w:type="dxa"/>
              <w:right w:w="108" w:type="dxa"/>
            </w:tcMar>
          </w:tcPr>
          <w:p>
            <w:pPr>
              <w:pStyle w:val="17"/>
              <w:tabs>
                <w:tab w:val="left" w:pos="720"/>
              </w:tabs>
              <w:spacing w:line="480" w:lineRule="exact"/>
              <w:rPr>
                <w:rFonts w:ascii="仿宋" w:hAnsi="仿宋" w:eastAsia="仿宋" w:cs="仿宋"/>
                <w:sz w:val="28"/>
                <w:szCs w:val="28"/>
                <w:highlight w:val="none"/>
              </w:rPr>
            </w:pPr>
            <w:r>
              <w:rPr>
                <w:rFonts w:ascii="仿宋" w:hAnsi="仿宋" w:eastAsia="仿宋" w:cs="仿宋"/>
                <w:sz w:val="28"/>
                <w:szCs w:val="28"/>
                <w:highlight w:val="none"/>
              </w:rPr>
              <w:t xml:space="preserve">1.25 </w:t>
            </w:r>
          </w:p>
        </w:tc>
      </w:tr>
      <w:tr>
        <w:tblPrEx>
          <w:tblCellMar>
            <w:top w:w="0" w:type="dxa"/>
            <w:left w:w="0" w:type="dxa"/>
            <w:bottom w:w="0" w:type="dxa"/>
            <w:right w:w="0" w:type="dxa"/>
          </w:tblCellMar>
        </w:tblPrEx>
        <w:trPr>
          <w:trHeight w:val="340" w:hRule="atLeast"/>
          <w:jc w:val="center"/>
        </w:trPr>
        <w:tc>
          <w:tcPr>
            <w:tcW w:w="4012" w:type="dxa"/>
            <w:tcBorders>
              <w:top w:val="single" w:color="080000" w:sz="8" w:space="0"/>
              <w:left w:val="single" w:color="080000" w:sz="8" w:space="0"/>
              <w:bottom w:val="single" w:color="080000" w:sz="8" w:space="0"/>
              <w:right w:val="single" w:color="080000" w:sz="8" w:space="0"/>
            </w:tcBorders>
            <w:shd w:val="clear" w:color="auto" w:fill="auto"/>
            <w:tcMar>
              <w:top w:w="15" w:type="dxa"/>
              <w:left w:w="108" w:type="dxa"/>
              <w:bottom w:w="0" w:type="dxa"/>
              <w:right w:w="108" w:type="dxa"/>
            </w:tcMar>
          </w:tcPr>
          <w:p>
            <w:pPr>
              <w:pStyle w:val="17"/>
              <w:tabs>
                <w:tab w:val="left" w:pos="720"/>
              </w:tabs>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上年发生</w:t>
            </w:r>
            <w:r>
              <w:rPr>
                <w:rFonts w:ascii="仿宋" w:hAnsi="仿宋" w:eastAsia="仿宋" w:cs="仿宋"/>
                <w:sz w:val="28"/>
                <w:szCs w:val="28"/>
                <w:highlight w:val="none"/>
              </w:rPr>
              <w:t>3</w:t>
            </w:r>
            <w:r>
              <w:rPr>
                <w:rFonts w:hint="eastAsia" w:ascii="仿宋" w:hAnsi="仿宋" w:eastAsia="仿宋" w:cs="仿宋"/>
                <w:sz w:val="28"/>
                <w:szCs w:val="28"/>
                <w:highlight w:val="none"/>
              </w:rPr>
              <w:t>次赔款</w:t>
            </w:r>
            <w:r>
              <w:rPr>
                <w:rFonts w:ascii="仿宋" w:hAnsi="仿宋" w:eastAsia="仿宋" w:cs="仿宋"/>
                <w:sz w:val="28"/>
                <w:szCs w:val="28"/>
                <w:highlight w:val="none"/>
              </w:rPr>
              <w:t xml:space="preserve"> </w:t>
            </w:r>
          </w:p>
        </w:tc>
        <w:tc>
          <w:tcPr>
            <w:tcW w:w="2848" w:type="dxa"/>
            <w:tcBorders>
              <w:top w:val="single" w:color="080000" w:sz="8" w:space="0"/>
              <w:left w:val="single" w:color="080000" w:sz="8" w:space="0"/>
              <w:bottom w:val="single" w:color="080000" w:sz="8" w:space="0"/>
              <w:right w:val="single" w:color="080000" w:sz="8" w:space="0"/>
            </w:tcBorders>
            <w:shd w:val="clear" w:color="auto" w:fill="auto"/>
            <w:tcMar>
              <w:top w:w="15" w:type="dxa"/>
              <w:left w:w="108" w:type="dxa"/>
              <w:bottom w:w="0" w:type="dxa"/>
              <w:right w:w="108" w:type="dxa"/>
            </w:tcMar>
          </w:tcPr>
          <w:p>
            <w:pPr>
              <w:pStyle w:val="17"/>
              <w:tabs>
                <w:tab w:val="left" w:pos="720"/>
              </w:tabs>
              <w:spacing w:line="480" w:lineRule="exact"/>
              <w:rPr>
                <w:rFonts w:ascii="仿宋" w:hAnsi="仿宋" w:eastAsia="仿宋" w:cs="仿宋"/>
                <w:sz w:val="28"/>
                <w:szCs w:val="28"/>
                <w:highlight w:val="none"/>
              </w:rPr>
            </w:pPr>
            <w:r>
              <w:rPr>
                <w:rFonts w:ascii="仿宋" w:hAnsi="仿宋" w:eastAsia="仿宋" w:cs="仿宋"/>
                <w:sz w:val="28"/>
                <w:szCs w:val="28"/>
                <w:highlight w:val="none"/>
              </w:rPr>
              <w:t xml:space="preserve">1.50 </w:t>
            </w:r>
          </w:p>
        </w:tc>
      </w:tr>
      <w:tr>
        <w:tblPrEx>
          <w:tblCellMar>
            <w:top w:w="0" w:type="dxa"/>
            <w:left w:w="0" w:type="dxa"/>
            <w:bottom w:w="0" w:type="dxa"/>
            <w:right w:w="0" w:type="dxa"/>
          </w:tblCellMar>
        </w:tblPrEx>
        <w:trPr>
          <w:trHeight w:val="340" w:hRule="atLeast"/>
          <w:jc w:val="center"/>
        </w:trPr>
        <w:tc>
          <w:tcPr>
            <w:tcW w:w="4012" w:type="dxa"/>
            <w:tcBorders>
              <w:top w:val="single" w:color="080000" w:sz="8" w:space="0"/>
              <w:left w:val="single" w:color="080000" w:sz="8" w:space="0"/>
              <w:bottom w:val="single" w:color="080000" w:sz="8" w:space="0"/>
              <w:right w:val="single" w:color="080000" w:sz="8" w:space="0"/>
            </w:tcBorders>
            <w:shd w:val="clear" w:color="auto" w:fill="auto"/>
            <w:tcMar>
              <w:top w:w="15" w:type="dxa"/>
              <w:left w:w="108" w:type="dxa"/>
              <w:bottom w:w="0" w:type="dxa"/>
              <w:right w:w="108" w:type="dxa"/>
            </w:tcMar>
          </w:tcPr>
          <w:p>
            <w:pPr>
              <w:pStyle w:val="17"/>
              <w:tabs>
                <w:tab w:val="left" w:pos="720"/>
              </w:tabs>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上年发生</w:t>
            </w:r>
            <w:r>
              <w:rPr>
                <w:rFonts w:ascii="仿宋" w:hAnsi="仿宋" w:eastAsia="仿宋" w:cs="仿宋"/>
                <w:sz w:val="28"/>
                <w:szCs w:val="28"/>
                <w:highlight w:val="none"/>
              </w:rPr>
              <w:t>4</w:t>
            </w:r>
            <w:r>
              <w:rPr>
                <w:rFonts w:hint="eastAsia" w:ascii="仿宋" w:hAnsi="仿宋" w:eastAsia="仿宋" w:cs="仿宋"/>
                <w:sz w:val="28"/>
                <w:szCs w:val="28"/>
                <w:highlight w:val="none"/>
              </w:rPr>
              <w:t>次赔款</w:t>
            </w:r>
            <w:r>
              <w:rPr>
                <w:rFonts w:ascii="仿宋" w:hAnsi="仿宋" w:eastAsia="仿宋" w:cs="仿宋"/>
                <w:sz w:val="28"/>
                <w:szCs w:val="28"/>
                <w:highlight w:val="none"/>
              </w:rPr>
              <w:t xml:space="preserve"> </w:t>
            </w:r>
          </w:p>
        </w:tc>
        <w:tc>
          <w:tcPr>
            <w:tcW w:w="2848" w:type="dxa"/>
            <w:tcBorders>
              <w:top w:val="single" w:color="080000" w:sz="8" w:space="0"/>
              <w:left w:val="single" w:color="080000" w:sz="8" w:space="0"/>
              <w:bottom w:val="single" w:color="080000" w:sz="8" w:space="0"/>
              <w:right w:val="single" w:color="080000" w:sz="8" w:space="0"/>
            </w:tcBorders>
            <w:shd w:val="clear" w:color="auto" w:fill="auto"/>
            <w:tcMar>
              <w:top w:w="15" w:type="dxa"/>
              <w:left w:w="108" w:type="dxa"/>
              <w:bottom w:w="0" w:type="dxa"/>
              <w:right w:w="108" w:type="dxa"/>
            </w:tcMar>
          </w:tcPr>
          <w:p>
            <w:pPr>
              <w:pStyle w:val="17"/>
              <w:tabs>
                <w:tab w:val="left" w:pos="720"/>
              </w:tabs>
              <w:spacing w:line="480" w:lineRule="exact"/>
              <w:rPr>
                <w:rFonts w:ascii="仿宋" w:hAnsi="仿宋" w:eastAsia="仿宋" w:cs="仿宋"/>
                <w:sz w:val="28"/>
                <w:szCs w:val="28"/>
                <w:highlight w:val="none"/>
              </w:rPr>
            </w:pPr>
            <w:r>
              <w:rPr>
                <w:rFonts w:ascii="仿宋" w:hAnsi="仿宋" w:eastAsia="仿宋" w:cs="仿宋"/>
                <w:sz w:val="28"/>
                <w:szCs w:val="28"/>
                <w:highlight w:val="none"/>
              </w:rPr>
              <w:t xml:space="preserve">1.75 </w:t>
            </w:r>
          </w:p>
        </w:tc>
      </w:tr>
      <w:tr>
        <w:tblPrEx>
          <w:tblCellMar>
            <w:top w:w="0" w:type="dxa"/>
            <w:left w:w="0" w:type="dxa"/>
            <w:bottom w:w="0" w:type="dxa"/>
            <w:right w:w="0" w:type="dxa"/>
          </w:tblCellMar>
        </w:tblPrEx>
        <w:trPr>
          <w:trHeight w:val="340" w:hRule="atLeast"/>
          <w:jc w:val="center"/>
        </w:trPr>
        <w:tc>
          <w:tcPr>
            <w:tcW w:w="4012" w:type="dxa"/>
            <w:tcBorders>
              <w:top w:val="single" w:color="080000" w:sz="8" w:space="0"/>
              <w:left w:val="single" w:color="080000" w:sz="8" w:space="0"/>
              <w:bottom w:val="single" w:color="080000" w:sz="8" w:space="0"/>
              <w:right w:val="single" w:color="080000" w:sz="8" w:space="0"/>
            </w:tcBorders>
            <w:shd w:val="clear" w:color="auto" w:fill="auto"/>
            <w:tcMar>
              <w:top w:w="15" w:type="dxa"/>
              <w:left w:w="108" w:type="dxa"/>
              <w:bottom w:w="0" w:type="dxa"/>
              <w:right w:w="108" w:type="dxa"/>
            </w:tcMar>
          </w:tcPr>
          <w:p>
            <w:pPr>
              <w:pStyle w:val="17"/>
              <w:tabs>
                <w:tab w:val="left" w:pos="720"/>
              </w:tabs>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上年发生</w:t>
            </w:r>
            <w:r>
              <w:rPr>
                <w:rFonts w:ascii="仿宋" w:hAnsi="仿宋" w:eastAsia="仿宋" w:cs="仿宋"/>
                <w:sz w:val="28"/>
                <w:szCs w:val="28"/>
                <w:highlight w:val="none"/>
              </w:rPr>
              <w:t>5</w:t>
            </w:r>
            <w:r>
              <w:rPr>
                <w:rFonts w:hint="eastAsia" w:ascii="仿宋" w:hAnsi="仿宋" w:eastAsia="仿宋" w:cs="仿宋"/>
                <w:sz w:val="28"/>
                <w:szCs w:val="28"/>
                <w:highlight w:val="none"/>
              </w:rPr>
              <w:t>次及以上赔款</w:t>
            </w:r>
            <w:r>
              <w:rPr>
                <w:rFonts w:ascii="仿宋" w:hAnsi="仿宋" w:eastAsia="仿宋" w:cs="仿宋"/>
                <w:sz w:val="28"/>
                <w:szCs w:val="28"/>
                <w:highlight w:val="none"/>
              </w:rPr>
              <w:t xml:space="preserve"> </w:t>
            </w:r>
          </w:p>
        </w:tc>
        <w:tc>
          <w:tcPr>
            <w:tcW w:w="2848" w:type="dxa"/>
            <w:tcBorders>
              <w:top w:val="single" w:color="080000" w:sz="8" w:space="0"/>
              <w:left w:val="single" w:color="080000" w:sz="8" w:space="0"/>
              <w:bottom w:val="single" w:color="080000" w:sz="8" w:space="0"/>
              <w:right w:val="single" w:color="080000" w:sz="8" w:space="0"/>
            </w:tcBorders>
            <w:shd w:val="clear" w:color="auto" w:fill="auto"/>
            <w:tcMar>
              <w:top w:w="15" w:type="dxa"/>
              <w:left w:w="108" w:type="dxa"/>
              <w:bottom w:w="0" w:type="dxa"/>
              <w:right w:w="108" w:type="dxa"/>
            </w:tcMar>
          </w:tcPr>
          <w:p>
            <w:pPr>
              <w:pStyle w:val="17"/>
              <w:numPr>
                <w:ilvl w:val="0"/>
                <w:numId w:val="1"/>
              </w:numPr>
              <w:tabs>
                <w:tab w:val="left" w:pos="720"/>
              </w:tabs>
              <w:spacing w:line="480" w:lineRule="exact"/>
              <w:rPr>
                <w:rFonts w:ascii="仿宋" w:hAnsi="仿宋" w:eastAsia="仿宋" w:cs="仿宋"/>
                <w:sz w:val="28"/>
                <w:szCs w:val="28"/>
                <w:highlight w:val="none"/>
              </w:rPr>
            </w:pPr>
          </w:p>
        </w:tc>
      </w:tr>
    </w:tbl>
    <w:p>
      <w:pPr>
        <w:pStyle w:val="17"/>
        <w:tabs>
          <w:tab w:val="left" w:pos="720"/>
        </w:tabs>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br w:type="textWrapping"/>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“优惠系数”是乙方投标时所承诺的保费优惠系数  %。</w:t>
      </w:r>
    </w:p>
    <w:p>
      <w:pPr>
        <w:pStyle w:val="17"/>
        <w:numPr>
          <w:ilvl w:val="-1"/>
          <w:numId w:val="0"/>
        </w:numPr>
        <w:tabs>
          <w:tab w:val="left" w:pos="720"/>
        </w:tabs>
        <w:spacing w:line="480" w:lineRule="exact"/>
        <w:ind w:leftChars="200" w:firstLine="0" w:firstLineChars="0"/>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保险费结算</w:t>
      </w:r>
      <w:r>
        <w:rPr>
          <w:rFonts w:hint="eastAsia" w:ascii="仿宋" w:hAnsi="仿宋" w:eastAsia="仿宋" w:cs="仿宋"/>
          <w:sz w:val="28"/>
          <w:szCs w:val="28"/>
          <w:highlight w:val="none"/>
        </w:rPr>
        <w:br w:type="textWrapping"/>
      </w:r>
      <w:r>
        <w:rPr>
          <w:rFonts w:hint="eastAsia" w:ascii="仿宋" w:hAnsi="仿宋" w:eastAsia="仿宋" w:cs="仿宋"/>
          <w:sz w:val="28"/>
          <w:szCs w:val="28"/>
          <w:highlight w:val="none"/>
        </w:rPr>
        <w:t xml:space="preserve">    甲方在收到保险公司出具的投保单并签署盖章后10</w:t>
      </w:r>
      <w:r>
        <w:rPr>
          <w:rFonts w:hint="eastAsia" w:ascii="仿宋" w:hAnsi="仿宋" w:eastAsia="仿宋" w:cs="仿宋"/>
          <w:sz w:val="28"/>
          <w:szCs w:val="28"/>
          <w:highlight w:val="none"/>
          <w:lang w:eastAsia="zh-CN"/>
        </w:rPr>
        <w:t>个工作</w:t>
      </w:r>
      <w:r>
        <w:rPr>
          <w:rFonts w:hint="eastAsia" w:ascii="仿宋" w:hAnsi="仿宋" w:eastAsia="仿宋" w:cs="仿宋"/>
          <w:sz w:val="28"/>
          <w:szCs w:val="28"/>
          <w:highlight w:val="none"/>
        </w:rPr>
        <w:t>天内将相应的款项一次性支付给乙方。乙方将在保险费到账之日起5个工作日内，向甲方送达经乙方签字并盖章的《投保单》、《车辆投保清单表》、保单复印件和保险费发票。</w:t>
      </w:r>
    </w:p>
    <w:p>
      <w:pPr>
        <w:numPr>
          <w:ilvl w:val="255"/>
          <w:numId w:val="0"/>
        </w:numPr>
        <w:spacing w:line="480" w:lineRule="exact"/>
        <w:ind w:firstLine="560"/>
        <w:rPr>
          <w:rFonts w:hint="eastAsia" w:ascii="仿宋" w:hAnsi="仿宋" w:eastAsia="仿宋" w:cs="仿宋"/>
          <w:bCs/>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因甲方使用的是财政资</w:t>
      </w:r>
      <w:r>
        <w:rPr>
          <w:rFonts w:hint="eastAsia" w:ascii="仿宋" w:hAnsi="仿宋" w:eastAsia="仿宋" w:cs="仿宋"/>
          <w:bCs/>
          <w:sz w:val="28"/>
          <w:szCs w:val="28"/>
          <w:highlight w:val="none"/>
        </w:rPr>
        <w:t>金，因此前款规定的甲方付款时间为甲方向政府财政支付部门提出办理财政支付申请手续的时间（不含政府财政支付部门审核的时间），甲方在前款规定的时间内提出支付申请手续后即视为甲方已经按</w:t>
      </w:r>
      <w:bookmarkStart w:id="2" w:name="_GoBack"/>
      <w:bookmarkEnd w:id="2"/>
      <w:r>
        <w:rPr>
          <w:rFonts w:hint="eastAsia" w:ascii="仿宋" w:hAnsi="仿宋" w:eastAsia="仿宋" w:cs="仿宋"/>
          <w:bCs/>
          <w:sz w:val="28"/>
          <w:szCs w:val="28"/>
          <w:highlight w:val="none"/>
        </w:rPr>
        <w:t>期支付。乙方对上述操作没有异议。如因财政资金的下达、拨付问题导致付款延迟的，不视为甲方违约，乙方不能据此追究甲方逾期付款的违约责任。</w:t>
      </w:r>
    </w:p>
    <w:p>
      <w:pPr>
        <w:pStyle w:val="2"/>
        <w:rPr>
          <w:rFonts w:hint="default"/>
          <w:highlight w:val="none"/>
          <w:lang w:val="en-US" w:eastAsia="zh-CN"/>
        </w:rPr>
      </w:pPr>
    </w:p>
    <w:p>
      <w:pPr>
        <w:spacing w:line="480" w:lineRule="exact"/>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第二条  合同期限、项目费用及支付方式</w:t>
      </w:r>
    </w:p>
    <w:p>
      <w:pPr>
        <w:numPr>
          <w:ilvl w:val="0"/>
          <w:numId w:val="2"/>
        </w:numPr>
        <w:spacing w:line="480" w:lineRule="exact"/>
        <w:rPr>
          <w:rFonts w:ascii="仿宋_GB2312" w:hAnsi="仿宋_GB2312" w:cs="仿宋_GB2312"/>
          <w:bCs/>
          <w:sz w:val="28"/>
          <w:szCs w:val="28"/>
          <w:highlight w:val="none"/>
        </w:rPr>
      </w:pPr>
      <w:r>
        <w:rPr>
          <w:rFonts w:hint="eastAsia" w:ascii="仿宋_GB2312" w:hAnsi="仿宋_GB2312" w:cs="仿宋_GB2312"/>
          <w:sz w:val="28"/>
          <w:szCs w:val="28"/>
          <w:highlight w:val="none"/>
        </w:rPr>
        <w:t>合同期限</w:t>
      </w:r>
    </w:p>
    <w:p>
      <w:pPr>
        <w:pStyle w:val="18"/>
        <w:widowControl/>
        <w:spacing w:line="500" w:lineRule="exact"/>
        <w:ind w:firstLine="640" w:firstLineChars="200"/>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lang w:val="en-US" w:eastAsia="zh-CN"/>
        </w:rPr>
        <w:t>1.</w:t>
      </w:r>
      <w:r>
        <w:rPr>
          <w:rFonts w:ascii="仿宋" w:hAnsi="仿宋" w:eastAsia="仿宋" w:cs="Times New Roman"/>
          <w:color w:val="auto"/>
          <w:sz w:val="32"/>
          <w:szCs w:val="32"/>
          <w:highlight w:val="none"/>
        </w:rPr>
        <w:t>项目服务期限为</w:t>
      </w:r>
      <w:r>
        <w:rPr>
          <w:rFonts w:hint="eastAsia" w:ascii="仿宋" w:hAnsi="仿宋" w:eastAsia="仿宋" w:cs="Times New Roman"/>
          <w:color w:val="auto"/>
          <w:sz w:val="32"/>
          <w:szCs w:val="32"/>
          <w:highlight w:val="none"/>
        </w:rPr>
        <w:t>两年</w:t>
      </w:r>
      <w:r>
        <w:rPr>
          <w:rFonts w:hint="eastAsia" w:ascii="仿宋" w:hAnsi="仿宋" w:eastAsia="仿宋" w:cs="Times New Roman"/>
          <w:color w:val="auto"/>
          <w:sz w:val="32"/>
          <w:szCs w:val="32"/>
          <w:highlight w:val="none"/>
          <w:lang w:eastAsia="zh-CN"/>
        </w:rPr>
        <w:t>。</w:t>
      </w:r>
      <w:r>
        <w:rPr>
          <w:rFonts w:hint="eastAsia" w:ascii="仿宋" w:hAnsi="仿宋" w:eastAsia="仿宋" w:cs="Times New Roman"/>
          <w:color w:val="auto"/>
          <w:sz w:val="32"/>
          <w:szCs w:val="32"/>
          <w:highlight w:val="none"/>
        </w:rPr>
        <w:t>自合同签订生效之日起</w:t>
      </w:r>
      <w:r>
        <w:rPr>
          <w:rFonts w:hint="eastAsia" w:ascii="仿宋" w:hAnsi="仿宋" w:eastAsia="仿宋" w:cs="Times New Roman"/>
          <w:color w:val="auto"/>
          <w:sz w:val="32"/>
          <w:szCs w:val="32"/>
          <w:highlight w:val="none"/>
          <w:lang w:eastAsia="zh-CN"/>
        </w:rPr>
        <w:t>开始计算。</w:t>
      </w:r>
    </w:p>
    <w:p>
      <w:pPr>
        <w:pStyle w:val="18"/>
        <w:widowControl/>
        <w:spacing w:line="500" w:lineRule="exact"/>
        <w:ind w:firstLine="640" w:firstLineChars="200"/>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2.支出</w:t>
      </w:r>
      <w:r>
        <w:rPr>
          <w:rFonts w:hint="eastAsia" w:ascii="仿宋" w:hAnsi="仿宋" w:eastAsia="仿宋" w:cs="Times New Roman"/>
          <w:color w:val="auto"/>
          <w:sz w:val="32"/>
          <w:szCs w:val="32"/>
          <w:highlight w:val="none"/>
          <w:lang w:eastAsia="zh-CN"/>
        </w:rPr>
        <w:t>金额达到预算总金额（即</w:t>
      </w:r>
      <w:r>
        <w:rPr>
          <w:rFonts w:hint="eastAsia" w:ascii="仿宋" w:hAnsi="仿宋" w:eastAsia="仿宋" w:cs="Times New Roman"/>
          <w:color w:val="auto"/>
          <w:sz w:val="32"/>
          <w:szCs w:val="32"/>
          <w:highlight w:val="none"/>
          <w:lang w:val="en-US" w:eastAsia="zh-CN"/>
        </w:rPr>
        <w:t>13万元），即项目余额不足于支出下一笔购买保险费用。</w:t>
      </w:r>
    </w:p>
    <w:p>
      <w:pPr>
        <w:pStyle w:val="18"/>
        <w:widowControl/>
        <w:spacing w:line="500" w:lineRule="exact"/>
        <w:ind w:firstLine="640" w:firstLineChars="200"/>
        <w:rPr>
          <w:rFonts w:hint="default"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上述两种情况满足其中一种，则合同自动终止。</w:t>
      </w:r>
    </w:p>
    <w:p>
      <w:pPr>
        <w:numPr>
          <w:ilvl w:val="0"/>
          <w:numId w:val="2"/>
        </w:numPr>
        <w:spacing w:line="480" w:lineRule="exact"/>
        <w:rPr>
          <w:rFonts w:ascii="仿宋_GB2312" w:hAnsi="仿宋_GB2312" w:cs="仿宋_GB2312"/>
          <w:sz w:val="28"/>
          <w:szCs w:val="28"/>
          <w:highlight w:val="none"/>
        </w:rPr>
      </w:pPr>
      <w:r>
        <w:rPr>
          <w:rFonts w:hint="eastAsia" w:ascii="仿宋_GB2312" w:hAnsi="仿宋_GB2312" w:cs="仿宋_GB2312"/>
          <w:sz w:val="28"/>
          <w:szCs w:val="28"/>
          <w:highlight w:val="none"/>
        </w:rPr>
        <w:t>项目费用</w:t>
      </w:r>
    </w:p>
    <w:p>
      <w:pPr>
        <w:spacing w:line="480" w:lineRule="exact"/>
        <w:ind w:firstLine="560" w:firstLineChars="200"/>
        <w:rPr>
          <w:rFonts w:ascii="仿宋_GB2312" w:hAnsi="仿宋_GB2312" w:cs="仿宋_GB2312"/>
          <w:sz w:val="28"/>
          <w:szCs w:val="28"/>
          <w:highlight w:val="none"/>
        </w:rPr>
      </w:pPr>
      <w:r>
        <w:rPr>
          <w:rFonts w:hint="eastAsia" w:ascii="仿宋_GB2312" w:hAnsi="仿宋_GB2312" w:cs="仿宋_GB2312"/>
          <w:sz w:val="28"/>
          <w:szCs w:val="28"/>
          <w:highlight w:val="none"/>
        </w:rPr>
        <w:t>该项目的</w:t>
      </w:r>
      <w:r>
        <w:rPr>
          <w:rFonts w:hint="eastAsia" w:ascii="仿宋_GB2312" w:hAnsi="仿宋_GB2312" w:cs="仿宋_GB2312"/>
          <w:color w:val="000000"/>
          <w:sz w:val="28"/>
          <w:szCs w:val="28"/>
          <w:highlight w:val="none"/>
        </w:rPr>
        <w:t>总费用为</w:t>
      </w:r>
      <w:r>
        <w:rPr>
          <w:rFonts w:hint="eastAsia" w:ascii="仿宋_GB2312" w:hAnsi="仿宋_GB2312" w:cs="仿宋_GB2312"/>
          <w:bCs/>
          <w:sz w:val="28"/>
          <w:szCs w:val="28"/>
          <w:highlight w:val="none"/>
        </w:rPr>
        <w:t>人民币壹拾</w:t>
      </w:r>
      <w:r>
        <w:rPr>
          <w:rFonts w:hint="eastAsia" w:ascii="仿宋_GB2312" w:hAnsi="仿宋_GB2312" w:cs="仿宋_GB2312"/>
          <w:bCs/>
          <w:sz w:val="28"/>
          <w:szCs w:val="28"/>
          <w:highlight w:val="none"/>
          <w:lang w:eastAsia="zh-CN"/>
        </w:rPr>
        <w:t>叁</w:t>
      </w:r>
      <w:r>
        <w:rPr>
          <w:rFonts w:hint="eastAsia" w:ascii="仿宋_GB2312" w:hAnsi="仿宋_GB2312" w:cs="仿宋_GB2312"/>
          <w:bCs/>
          <w:sz w:val="28"/>
          <w:szCs w:val="28"/>
          <w:highlight w:val="none"/>
        </w:rPr>
        <w:t>万元整（￥1</w:t>
      </w:r>
      <w:r>
        <w:rPr>
          <w:rFonts w:hint="eastAsia" w:ascii="仿宋_GB2312" w:hAnsi="仿宋_GB2312" w:cs="仿宋_GB2312"/>
          <w:bCs/>
          <w:sz w:val="28"/>
          <w:szCs w:val="28"/>
          <w:highlight w:val="none"/>
          <w:lang w:val="en-US" w:eastAsia="zh-CN"/>
        </w:rPr>
        <w:t>3</w:t>
      </w:r>
      <w:r>
        <w:rPr>
          <w:rFonts w:hint="eastAsia" w:ascii="仿宋_GB2312" w:hAnsi="仿宋_GB2312" w:cs="仿宋_GB2312"/>
          <w:bCs/>
          <w:sz w:val="28"/>
          <w:szCs w:val="28"/>
          <w:highlight w:val="none"/>
        </w:rPr>
        <w:t>0000.00元）</w:t>
      </w:r>
      <w:r>
        <w:rPr>
          <w:rFonts w:hint="eastAsia" w:ascii="仿宋_GB2312" w:hAnsi="仿宋_GB2312" w:cs="仿宋_GB2312"/>
          <w:bCs/>
          <w:color w:val="666666"/>
          <w:sz w:val="28"/>
          <w:szCs w:val="28"/>
          <w:highlight w:val="none"/>
          <w:shd w:val="clear" w:color="auto" w:fill="FFFFFF"/>
        </w:rPr>
        <w:t>。</w:t>
      </w:r>
      <w:r>
        <w:rPr>
          <w:rFonts w:hint="eastAsia" w:ascii="仿宋_GB2312" w:hAnsi="仿宋_GB2312" w:cs="仿宋_GB2312"/>
          <w:sz w:val="28"/>
          <w:szCs w:val="28"/>
          <w:highlight w:val="none"/>
        </w:rPr>
        <w:t>项目总费用为含税价，且已包含甲方应付所有费用，甲方无需另外支付其他费用。</w:t>
      </w:r>
    </w:p>
    <w:p>
      <w:pPr>
        <w:numPr>
          <w:ilvl w:val="0"/>
          <w:numId w:val="2"/>
        </w:numPr>
        <w:spacing w:line="480" w:lineRule="exact"/>
        <w:rPr>
          <w:rFonts w:ascii="仿宋_GB2312" w:hAnsi="仿宋_GB2312" w:cs="仿宋_GB2312"/>
          <w:sz w:val="28"/>
          <w:szCs w:val="28"/>
          <w:highlight w:val="none"/>
        </w:rPr>
      </w:pPr>
      <w:r>
        <w:rPr>
          <w:rFonts w:hint="eastAsia" w:ascii="仿宋_GB2312" w:hAnsi="仿宋_GB2312" w:cs="仿宋_GB2312"/>
          <w:color w:val="000000"/>
          <w:sz w:val="28"/>
          <w:szCs w:val="28"/>
          <w:highlight w:val="none"/>
        </w:rPr>
        <w:t>付款时间、方式</w:t>
      </w:r>
      <w:r>
        <w:rPr>
          <w:rFonts w:hint="eastAsia" w:ascii="仿宋_GB2312" w:hAnsi="仿宋_GB2312" w:cs="仿宋_GB2312"/>
          <w:sz w:val="28"/>
          <w:szCs w:val="28"/>
          <w:highlight w:val="none"/>
        </w:rPr>
        <w:t>。</w:t>
      </w:r>
    </w:p>
    <w:p>
      <w:pPr>
        <w:numPr>
          <w:ilvl w:val="-1"/>
          <w:numId w:val="0"/>
        </w:numPr>
        <w:spacing w:line="48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cs="仿宋_GB2312"/>
          <w:sz w:val="28"/>
          <w:szCs w:val="28"/>
          <w:highlight w:val="none"/>
          <w:lang w:val="en-US" w:eastAsia="zh-CN"/>
        </w:rPr>
        <w:t>1.</w:t>
      </w:r>
      <w:r>
        <w:rPr>
          <w:rFonts w:hint="eastAsia" w:ascii="仿宋_GB2312" w:hAnsi="仿宋_GB2312" w:cs="仿宋_GB2312"/>
          <w:sz w:val="28"/>
          <w:szCs w:val="28"/>
          <w:highlight w:val="none"/>
        </w:rPr>
        <w:t>双方签订合同后，甲方</w:t>
      </w:r>
      <w:r>
        <w:rPr>
          <w:rFonts w:hint="eastAsia" w:ascii="仿宋_GB2312" w:hAnsi="仿宋_GB2312" w:cs="仿宋_GB2312"/>
          <w:sz w:val="28"/>
          <w:szCs w:val="28"/>
          <w:highlight w:val="none"/>
          <w:lang w:eastAsia="zh-CN"/>
        </w:rPr>
        <w:t>按实际购买车辆保险进行支出。</w:t>
      </w:r>
    </w:p>
    <w:p>
      <w:pPr>
        <w:spacing w:line="480" w:lineRule="exact"/>
        <w:ind w:firstLine="560" w:firstLineChars="200"/>
        <w:jc w:val="left"/>
        <w:rPr>
          <w:rFonts w:hint="eastAsia" w:ascii="仿宋_GB2312" w:hAnsi="仿宋_GB2312" w:cs="仿宋_GB2312"/>
          <w:sz w:val="28"/>
          <w:szCs w:val="28"/>
          <w:highlight w:val="none"/>
        </w:rPr>
      </w:pPr>
      <w:r>
        <w:rPr>
          <w:rFonts w:hint="eastAsia" w:ascii="仿宋_GB2312" w:hAnsi="仿宋_GB2312" w:cs="仿宋_GB2312"/>
          <w:sz w:val="28"/>
          <w:szCs w:val="28"/>
          <w:highlight w:val="none"/>
          <w:lang w:val="en-US" w:eastAsia="zh-CN"/>
        </w:rPr>
        <w:t>2.</w:t>
      </w:r>
      <w:r>
        <w:rPr>
          <w:rFonts w:hint="eastAsia" w:ascii="仿宋_GB2312" w:hAnsi="仿宋_GB2312" w:cs="仿宋_GB2312"/>
          <w:sz w:val="28"/>
          <w:szCs w:val="28"/>
          <w:highlight w:val="none"/>
        </w:rPr>
        <w:t>乙方确认：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如因财政资金的下达、拨付问题导致付款延迟的，不视为甲方违约，乙方不能据此追究甲方逾期付款的违约责任。</w:t>
      </w:r>
    </w:p>
    <w:p>
      <w:pPr>
        <w:numPr>
          <w:ilvl w:val="0"/>
          <w:numId w:val="2"/>
        </w:numPr>
        <w:spacing w:line="480" w:lineRule="exact"/>
        <w:rPr>
          <w:rFonts w:hint="eastAsia" w:ascii="仿宋_GB2312" w:hAnsi="仿宋_GB2312" w:cs="仿宋_GB2312"/>
          <w:sz w:val="28"/>
          <w:szCs w:val="28"/>
          <w:highlight w:val="none"/>
        </w:rPr>
      </w:pPr>
      <w:r>
        <w:rPr>
          <w:rFonts w:hint="eastAsia" w:ascii="仿宋_GB2312" w:hAnsi="仿宋_GB2312" w:cs="仿宋_GB2312"/>
          <w:sz w:val="28"/>
          <w:szCs w:val="28"/>
          <w:highlight w:val="none"/>
        </w:rPr>
        <w:t>乙方账户信息如下：</w:t>
      </w:r>
    </w:p>
    <w:p>
      <w:pPr>
        <w:spacing w:line="480" w:lineRule="exact"/>
        <w:ind w:firstLine="560" w:firstLineChars="200"/>
        <w:rPr>
          <w:rFonts w:hint="eastAsia" w:ascii="仿宋_GB2312" w:hAnsi="仿宋_GB2312" w:cs="仿宋_GB2312"/>
          <w:sz w:val="28"/>
          <w:szCs w:val="28"/>
          <w:highlight w:val="none"/>
          <w:u w:val="single"/>
        </w:rPr>
      </w:pPr>
      <w:r>
        <w:rPr>
          <w:rFonts w:hint="eastAsia" w:ascii="仿宋_GB2312" w:hAnsi="仿宋_GB2312" w:cs="仿宋_GB2312"/>
          <w:sz w:val="28"/>
          <w:szCs w:val="28"/>
          <w:highlight w:val="none"/>
        </w:rPr>
        <w:t>开户名：</w:t>
      </w:r>
      <w:r>
        <w:rPr>
          <w:rFonts w:hint="eastAsia" w:ascii="仿宋_GB2312" w:hAnsi="仿宋_GB2312" w:cs="仿宋_GB2312"/>
          <w:sz w:val="28"/>
          <w:szCs w:val="28"/>
          <w:highlight w:val="none"/>
          <w:u w:val="single"/>
        </w:rPr>
        <w:t xml:space="preserve">                  </w:t>
      </w:r>
    </w:p>
    <w:p>
      <w:pPr>
        <w:spacing w:line="480" w:lineRule="exact"/>
        <w:ind w:firstLine="560" w:firstLineChars="200"/>
        <w:rPr>
          <w:rFonts w:hint="eastAsia" w:ascii="仿宋_GB2312" w:hAnsi="仿宋_GB2312" w:cs="仿宋_GB2312"/>
          <w:sz w:val="28"/>
          <w:szCs w:val="28"/>
          <w:highlight w:val="none"/>
        </w:rPr>
      </w:pPr>
      <w:r>
        <w:rPr>
          <w:rFonts w:hint="eastAsia" w:ascii="仿宋_GB2312" w:hAnsi="仿宋_GB2312" w:cs="仿宋_GB2312"/>
          <w:sz w:val="28"/>
          <w:szCs w:val="28"/>
          <w:highlight w:val="none"/>
        </w:rPr>
        <w:t>开户行：</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w:t>
      </w:r>
    </w:p>
    <w:p>
      <w:pPr>
        <w:spacing w:line="480" w:lineRule="exact"/>
        <w:ind w:firstLine="560" w:firstLineChars="200"/>
        <w:rPr>
          <w:rFonts w:hint="eastAsia" w:ascii="仿宋_GB2312" w:hAnsi="仿宋_GB2312" w:cs="仿宋_GB2312"/>
          <w:sz w:val="28"/>
          <w:szCs w:val="28"/>
          <w:highlight w:val="none"/>
        </w:rPr>
      </w:pPr>
      <w:r>
        <w:rPr>
          <w:rFonts w:hint="eastAsia" w:ascii="仿宋_GB2312" w:hAnsi="仿宋_GB2312" w:cs="仿宋_GB2312"/>
          <w:sz w:val="28"/>
          <w:szCs w:val="28"/>
          <w:highlight w:val="none"/>
        </w:rPr>
        <w:t>账  号：</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w:t>
      </w:r>
    </w:p>
    <w:p>
      <w:pPr>
        <w:pStyle w:val="8"/>
        <w:numPr>
          <w:ilvl w:val="0"/>
          <w:numId w:val="2"/>
        </w:numPr>
        <w:spacing w:line="480" w:lineRule="exact"/>
        <w:ind w:firstLine="560" w:firstLineChars="200"/>
        <w:rPr>
          <w:rFonts w:hint="eastAsia" w:ascii="仿宋_GB2312" w:hAnsi="仿宋_GB2312" w:cs="仿宋_GB2312"/>
          <w:sz w:val="28"/>
          <w:szCs w:val="28"/>
          <w:highlight w:val="none"/>
        </w:rPr>
      </w:pPr>
      <w:r>
        <w:rPr>
          <w:rFonts w:hint="eastAsia" w:ascii="仿宋_GB2312" w:hAnsi="仿宋_GB2312" w:cs="仿宋_GB2312"/>
          <w:sz w:val="28"/>
          <w:szCs w:val="28"/>
          <w:highlight w:val="none"/>
        </w:rPr>
        <w:t>甲方开票信息如下：</w:t>
      </w:r>
    </w:p>
    <w:p>
      <w:pPr>
        <w:pStyle w:val="8"/>
        <w:spacing w:line="480" w:lineRule="exact"/>
        <w:ind w:firstLine="560" w:firstLineChars="200"/>
        <w:rPr>
          <w:rFonts w:hint="eastAsia" w:ascii="仿宋_GB2312" w:hAnsi="仿宋_GB2312" w:cs="仿宋_GB2312"/>
          <w:sz w:val="28"/>
          <w:szCs w:val="28"/>
          <w:highlight w:val="none"/>
        </w:rPr>
      </w:pPr>
      <w:r>
        <w:rPr>
          <w:rFonts w:hint="eastAsia" w:ascii="仿宋_GB2312" w:hAnsi="仿宋_GB2312" w:cs="仿宋_GB2312"/>
          <w:sz w:val="28"/>
          <w:szCs w:val="28"/>
          <w:highlight w:val="none"/>
          <w:lang w:bidi="ar"/>
        </w:rPr>
        <w:t>单位名称：江门市市场监督管理局</w:t>
      </w:r>
    </w:p>
    <w:p>
      <w:pPr>
        <w:pStyle w:val="8"/>
        <w:spacing w:line="480" w:lineRule="exact"/>
        <w:ind w:firstLine="560" w:firstLineChars="200"/>
        <w:rPr>
          <w:rFonts w:hint="eastAsia" w:ascii="仿宋_GB2312" w:hAnsi="仿宋_GB2312" w:cs="仿宋_GB2312"/>
          <w:sz w:val="28"/>
          <w:szCs w:val="28"/>
          <w:highlight w:val="none"/>
          <w:lang w:bidi="ar"/>
        </w:rPr>
      </w:pPr>
      <w:r>
        <w:rPr>
          <w:rFonts w:hint="eastAsia" w:ascii="仿宋_GB2312" w:hAnsi="仿宋_GB2312" w:cs="仿宋_GB2312"/>
          <w:sz w:val="28"/>
          <w:szCs w:val="28"/>
          <w:highlight w:val="none"/>
          <w:lang w:bidi="ar"/>
        </w:rPr>
        <w:t>统一社会信用代码：11440700MB2C90725T</w:t>
      </w:r>
    </w:p>
    <w:p>
      <w:pPr>
        <w:spacing w:line="480" w:lineRule="exact"/>
        <w:rPr>
          <w:rFonts w:hint="eastAsia" w:ascii="仿宋_GB2312" w:hAnsi="仿宋_GB2312" w:eastAsia="仿宋_GB2312" w:cs="仿宋_GB2312"/>
          <w:b/>
          <w:sz w:val="28"/>
          <w:szCs w:val="28"/>
          <w:highlight w:val="none"/>
          <w:shd w:val="clear" w:color="auto" w:fill="FFFFFF"/>
        </w:rPr>
      </w:pPr>
      <w:r>
        <w:rPr>
          <w:rFonts w:hint="eastAsia" w:ascii="仿宋_GB2312" w:hAnsi="仿宋_GB2312" w:eastAsia="仿宋_GB2312" w:cs="仿宋_GB2312"/>
          <w:b/>
          <w:bCs w:val="0"/>
          <w:sz w:val="28"/>
          <w:szCs w:val="28"/>
          <w:highlight w:val="none"/>
        </w:rPr>
        <w:t>第三条  验收方式</w:t>
      </w:r>
      <w:r>
        <w:rPr>
          <w:rFonts w:hint="eastAsia" w:ascii="仿宋_GB2312" w:hAnsi="仿宋_GB2312" w:eastAsia="仿宋_GB2312" w:cs="仿宋_GB2312"/>
          <w:b/>
          <w:sz w:val="28"/>
          <w:szCs w:val="28"/>
          <w:highlight w:val="none"/>
          <w:shd w:val="clear" w:color="auto" w:fill="FFFFFF"/>
        </w:rPr>
        <w:t xml:space="preserve"> </w:t>
      </w:r>
    </w:p>
    <w:p>
      <w:pPr>
        <w:numPr>
          <w:ilvl w:val="0"/>
          <w:numId w:val="3"/>
        </w:numPr>
        <w:spacing w:line="48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验收时间：本项目结束之日起10个工作日内，乙方应按采购公告、甲方要求提交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若损失难以计算的，则以本协议项下的费用作为损失计算依据。</w:t>
      </w:r>
    </w:p>
    <w:p>
      <w:pPr>
        <w:numPr>
          <w:ilvl w:val="0"/>
          <w:numId w:val="3"/>
        </w:numPr>
        <w:spacing w:line="48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验收标准：由甲方依据国家、省、市制定的法律法规政策、</w:t>
      </w:r>
      <w:r>
        <w:rPr>
          <w:rFonts w:hint="eastAsia" w:ascii="仿宋" w:hAnsi="仿宋" w:eastAsia="仿宋" w:cs="仿宋"/>
          <w:bCs/>
          <w:color w:val="auto"/>
          <w:sz w:val="28"/>
          <w:szCs w:val="28"/>
          <w:highlight w:val="none"/>
        </w:rPr>
        <w:t>行业规范或标准以及招标公告、本协议约定的技术、服务标准进行验收。</w:t>
      </w:r>
    </w:p>
    <w:p>
      <w:pPr>
        <w:numPr>
          <w:ilvl w:val="0"/>
          <w:numId w:val="3"/>
        </w:numPr>
        <w:spacing w:line="480" w:lineRule="exact"/>
        <w:ind w:firstLine="560" w:firstLineChars="200"/>
        <w:rPr>
          <w:rFonts w:ascii="仿宋" w:hAnsi="仿宋" w:eastAsia="仿宋" w:cs="仿宋"/>
          <w:color w:val="auto"/>
          <w:sz w:val="28"/>
          <w:szCs w:val="28"/>
          <w:highlight w:val="none"/>
        </w:rPr>
      </w:pPr>
      <w:r>
        <w:rPr>
          <w:rFonts w:hint="eastAsia" w:ascii="仿宋" w:hAnsi="仿宋" w:eastAsia="仿宋" w:cs="仿宋"/>
          <w:bCs/>
          <w:color w:val="auto"/>
          <w:sz w:val="28"/>
          <w:szCs w:val="28"/>
          <w:highlight w:val="none"/>
        </w:rPr>
        <w:t>经甲方验收不</w:t>
      </w:r>
      <w:r>
        <w:rPr>
          <w:rFonts w:hint="eastAsia" w:ascii="仿宋" w:hAnsi="仿宋" w:eastAsia="仿宋" w:cs="仿宋"/>
          <w:color w:val="auto"/>
          <w:sz w:val="28"/>
          <w:szCs w:val="28"/>
          <w:highlight w:val="none"/>
        </w:rPr>
        <w:t>合格</w:t>
      </w:r>
      <w:r>
        <w:rPr>
          <w:rFonts w:hint="eastAsia" w:ascii="仿宋" w:hAnsi="仿宋" w:eastAsia="仿宋" w:cs="仿宋"/>
          <w:bCs/>
          <w:color w:val="auto"/>
          <w:sz w:val="28"/>
          <w:szCs w:val="28"/>
          <w:highlight w:val="none"/>
        </w:rPr>
        <w:t>的，乙方应在甲方指定期限内采取弥补措施并再次提交给甲方验收。</w:t>
      </w:r>
    </w:p>
    <w:p>
      <w:pPr>
        <w:numPr>
          <w:ilvl w:val="0"/>
          <w:numId w:val="3"/>
        </w:numPr>
        <w:spacing w:line="480" w:lineRule="exact"/>
        <w:ind w:firstLine="560" w:firstLineChars="200"/>
        <w:rPr>
          <w:rFonts w:ascii="仿宋" w:hAnsi="仿宋" w:eastAsia="仿宋" w:cs="仿宋"/>
          <w:color w:val="auto"/>
          <w:sz w:val="28"/>
          <w:szCs w:val="28"/>
          <w:highlight w:val="none"/>
        </w:rPr>
      </w:pPr>
      <w:r>
        <w:rPr>
          <w:rFonts w:ascii="仿宋" w:hAnsi="仿宋" w:eastAsia="仿宋" w:cs="仿宋"/>
          <w:color w:val="auto"/>
          <w:sz w:val="28"/>
          <w:szCs w:val="28"/>
          <w:highlight w:val="none"/>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hint="eastAsia" w:ascii="仿宋" w:hAnsi="仿宋" w:eastAsia="仿宋" w:cs="仿宋"/>
          <w:bCs/>
          <w:color w:val="auto"/>
          <w:sz w:val="28"/>
          <w:szCs w:val="28"/>
          <w:highlight w:val="none"/>
        </w:rPr>
        <w:t>。</w:t>
      </w:r>
    </w:p>
    <w:p>
      <w:pPr>
        <w:spacing w:line="480" w:lineRule="exact"/>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第四条  甲方的权利和义务</w:t>
      </w:r>
    </w:p>
    <w:p>
      <w:pPr>
        <w:numPr>
          <w:ilvl w:val="0"/>
          <w:numId w:val="4"/>
        </w:numPr>
        <w:spacing w:line="480" w:lineRule="exact"/>
        <w:ind w:firstLine="560" w:firstLineChars="200"/>
        <w:rPr>
          <w:rFonts w:hint="eastAsia" w:ascii="仿宋_GB2312" w:hAnsi="仿宋_GB2312" w:cs="仿宋_GB2312"/>
          <w:sz w:val="28"/>
          <w:szCs w:val="28"/>
          <w:highlight w:val="none"/>
        </w:rPr>
      </w:pPr>
      <w:r>
        <w:rPr>
          <w:rFonts w:hint="eastAsia" w:ascii="仿宋_GB2312" w:hAnsi="仿宋_GB2312" w:cs="仿宋_GB2312"/>
          <w:sz w:val="28"/>
          <w:szCs w:val="28"/>
          <w:highlight w:val="none"/>
        </w:rPr>
        <w:t>甲方为乙方提供项目实施中所需的相关协助；</w:t>
      </w:r>
    </w:p>
    <w:p>
      <w:pPr>
        <w:numPr>
          <w:ilvl w:val="0"/>
          <w:numId w:val="4"/>
        </w:numPr>
        <w:spacing w:line="480" w:lineRule="exact"/>
        <w:ind w:firstLine="560" w:firstLineChars="200"/>
        <w:rPr>
          <w:rFonts w:hint="eastAsia" w:ascii="仿宋_GB2312" w:hAnsi="仿宋_GB2312" w:cs="仿宋_GB2312"/>
          <w:sz w:val="28"/>
          <w:szCs w:val="28"/>
          <w:highlight w:val="none"/>
        </w:rPr>
      </w:pPr>
      <w:r>
        <w:rPr>
          <w:rFonts w:hint="eastAsia" w:ascii="仿宋_GB2312" w:hAnsi="仿宋_GB2312" w:cs="仿宋_GB2312"/>
          <w:sz w:val="28"/>
          <w:szCs w:val="28"/>
          <w:highlight w:val="none"/>
        </w:rPr>
        <w:t>项目实施期间，甲方有权向乙方提出建议或具体要求；</w:t>
      </w:r>
    </w:p>
    <w:p>
      <w:pPr>
        <w:numPr>
          <w:ilvl w:val="0"/>
          <w:numId w:val="4"/>
        </w:numPr>
        <w:spacing w:line="480" w:lineRule="exact"/>
        <w:ind w:firstLine="560" w:firstLineChars="200"/>
        <w:rPr>
          <w:rFonts w:hint="eastAsia" w:ascii="仿宋_GB2312" w:hAnsi="仿宋_GB2312" w:cs="仿宋_GB2312"/>
          <w:sz w:val="28"/>
          <w:szCs w:val="28"/>
          <w:highlight w:val="none"/>
        </w:rPr>
      </w:pPr>
      <w:r>
        <w:rPr>
          <w:rFonts w:hint="eastAsia" w:ascii="仿宋_GB2312" w:hAnsi="仿宋_GB2312" w:cs="仿宋_GB2312"/>
          <w:sz w:val="28"/>
          <w:szCs w:val="28"/>
          <w:highlight w:val="none"/>
        </w:rPr>
        <w:t>根据甲、乙双方确定的项目计划，甲方有权督促乙方的实施情况，了解工作进度及开展情况。</w:t>
      </w:r>
    </w:p>
    <w:p>
      <w:pPr>
        <w:numPr>
          <w:ilvl w:val="0"/>
          <w:numId w:val="4"/>
        </w:numPr>
        <w:spacing w:line="480" w:lineRule="exact"/>
        <w:ind w:firstLine="560" w:firstLineChars="200"/>
        <w:rPr>
          <w:rFonts w:hint="eastAsia" w:ascii="仿宋_GB2312" w:hAnsi="仿宋_GB2312" w:cs="仿宋_GB2312"/>
          <w:sz w:val="28"/>
          <w:szCs w:val="28"/>
          <w:highlight w:val="none"/>
        </w:rPr>
      </w:pPr>
      <w:r>
        <w:rPr>
          <w:rFonts w:hint="eastAsia" w:ascii="仿宋_GB2312" w:hAnsi="仿宋_GB2312" w:cs="仿宋_GB2312"/>
          <w:sz w:val="28"/>
          <w:szCs w:val="28"/>
          <w:highlight w:val="none"/>
        </w:rPr>
        <w:t>若甲方发现有问题，乙方应当在接到甲方的质疑之日2日内提供相关说明；若甲方认为需要整改的，乙方应当根据甲方要求整改至甲方认为合格为止；若乙方拒绝整改，则视为乙方违约。</w:t>
      </w:r>
    </w:p>
    <w:p>
      <w:pPr>
        <w:numPr>
          <w:ilvl w:val="0"/>
          <w:numId w:val="4"/>
        </w:numPr>
        <w:spacing w:line="480" w:lineRule="exact"/>
        <w:ind w:firstLine="560" w:firstLineChars="200"/>
        <w:rPr>
          <w:rFonts w:hint="eastAsia" w:ascii="仿宋_GB2312" w:hAnsi="仿宋_GB2312" w:cs="仿宋_GB2312"/>
          <w:sz w:val="28"/>
          <w:szCs w:val="28"/>
          <w:highlight w:val="none"/>
        </w:rPr>
      </w:pPr>
      <w:r>
        <w:rPr>
          <w:rFonts w:hint="eastAsia" w:ascii="仿宋_GB2312" w:hAnsi="仿宋_GB2312" w:cs="仿宋_GB2312"/>
          <w:sz w:val="28"/>
          <w:szCs w:val="28"/>
          <w:highlight w:val="none"/>
        </w:rPr>
        <w:t>甲方按本合同约定向乙方支付项目费用。</w:t>
      </w:r>
    </w:p>
    <w:p>
      <w:pPr>
        <w:numPr>
          <w:ilvl w:val="0"/>
          <w:numId w:val="4"/>
        </w:numPr>
        <w:spacing w:line="480" w:lineRule="exact"/>
        <w:ind w:firstLine="560" w:firstLineChars="200"/>
        <w:rPr>
          <w:rFonts w:hint="eastAsia" w:ascii="仿宋_GB2312" w:hAnsi="仿宋_GB2312" w:cs="仿宋_GB2312"/>
          <w:sz w:val="28"/>
          <w:szCs w:val="28"/>
          <w:highlight w:val="none"/>
        </w:rPr>
      </w:pPr>
      <w:r>
        <w:rPr>
          <w:rFonts w:hint="eastAsia" w:ascii="仿宋_GB2312" w:hAnsi="仿宋_GB2312" w:cs="仿宋_GB2312"/>
          <w:sz w:val="28"/>
          <w:szCs w:val="28"/>
          <w:highlight w:val="none"/>
        </w:rPr>
        <w:t>甲方应及时进行验收。</w:t>
      </w:r>
    </w:p>
    <w:p>
      <w:pPr>
        <w:spacing w:line="480" w:lineRule="exact"/>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第五条  乙方的权利和义务</w:t>
      </w:r>
    </w:p>
    <w:p>
      <w:pPr>
        <w:pStyle w:val="16"/>
        <w:numPr>
          <w:ilvl w:val="0"/>
          <w:numId w:val="5"/>
        </w:numPr>
        <w:spacing w:line="480" w:lineRule="exact"/>
        <w:ind w:firstLine="560"/>
        <w:rPr>
          <w:rFonts w:hint="eastAsia" w:ascii="仿宋_GB2312" w:hAnsi="仿宋_GB2312" w:cs="仿宋_GB2312"/>
          <w:sz w:val="28"/>
          <w:szCs w:val="28"/>
          <w:highlight w:val="none"/>
        </w:rPr>
      </w:pPr>
      <w:r>
        <w:rPr>
          <w:rFonts w:hint="eastAsia" w:ascii="仿宋_GB2312" w:hAnsi="仿宋_GB2312" w:cs="仿宋_GB2312"/>
          <w:sz w:val="28"/>
          <w:szCs w:val="28"/>
          <w:highlight w:val="none"/>
        </w:rPr>
        <w:t>乙方需按照甲方要求按时按质完成项目。</w:t>
      </w:r>
    </w:p>
    <w:p>
      <w:pPr>
        <w:pStyle w:val="16"/>
        <w:numPr>
          <w:ilvl w:val="0"/>
          <w:numId w:val="5"/>
        </w:numPr>
        <w:spacing w:line="480" w:lineRule="exact"/>
        <w:ind w:firstLine="560"/>
        <w:rPr>
          <w:rFonts w:hint="eastAsia" w:ascii="仿宋_GB2312" w:hAnsi="仿宋_GB2312" w:cs="仿宋_GB2312"/>
          <w:sz w:val="28"/>
          <w:szCs w:val="28"/>
          <w:highlight w:val="none"/>
        </w:rPr>
      </w:pPr>
      <w:r>
        <w:rPr>
          <w:rFonts w:hint="eastAsia" w:ascii="仿宋_GB2312" w:hAnsi="仿宋_GB2312" w:cs="仿宋_GB2312"/>
          <w:sz w:val="28"/>
          <w:szCs w:val="28"/>
          <w:highlight w:val="none"/>
        </w:rPr>
        <w:t>乙方需保证甲方所提供的所有资料仅用于该项目，且未经甲方书面同意不得向甲方指定运营平台外的第三方泄露。</w:t>
      </w:r>
    </w:p>
    <w:p>
      <w:pPr>
        <w:pStyle w:val="16"/>
        <w:numPr>
          <w:ilvl w:val="0"/>
          <w:numId w:val="5"/>
        </w:numPr>
        <w:adjustRightInd w:val="0"/>
        <w:snapToGrid w:val="0"/>
        <w:spacing w:line="480" w:lineRule="exact"/>
        <w:ind w:firstLine="56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bidi="ar"/>
        </w:rPr>
        <w:t>根据甲方要求做出工作实施方案，并完成项目内容以及确保完成任务期间的人身安全、公私财产安全、交通安全等各项安全事宜及承担责任，若因乙方原因导致出现安全事故、安全责任等情况发生的，由乙方承担全部的赔偿责任。</w:t>
      </w:r>
    </w:p>
    <w:p>
      <w:pPr>
        <w:pStyle w:val="16"/>
        <w:numPr>
          <w:ilvl w:val="0"/>
          <w:numId w:val="5"/>
        </w:numPr>
        <w:adjustRightInd w:val="0"/>
        <w:snapToGrid w:val="0"/>
        <w:spacing w:line="480" w:lineRule="exact"/>
        <w:ind w:firstLine="56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bidi="ar"/>
        </w:rPr>
        <w:t>项目在本合同履行过程中，非因乙方原因有可能致使合同履行失败或者部分失败的，乙方应在知晓该等事项之日起1个工作日内通知甲方，同时采取措施减少损失。</w:t>
      </w:r>
    </w:p>
    <w:p>
      <w:pPr>
        <w:pStyle w:val="16"/>
        <w:numPr>
          <w:ilvl w:val="0"/>
          <w:numId w:val="5"/>
        </w:numPr>
        <w:spacing w:line="480" w:lineRule="exact"/>
        <w:ind w:firstLine="560"/>
        <w:rPr>
          <w:rFonts w:hint="eastAsia" w:ascii="仿宋_GB2312" w:hAnsi="仿宋_GB2312" w:cs="仿宋_GB2312"/>
          <w:sz w:val="28"/>
          <w:szCs w:val="28"/>
          <w:highlight w:val="none"/>
        </w:rPr>
      </w:pPr>
      <w:r>
        <w:rPr>
          <w:rFonts w:hint="eastAsia" w:ascii="仿宋_GB2312" w:hAnsi="仿宋_GB2312" w:eastAsia="仿宋_GB2312" w:cs="仿宋_GB2312"/>
          <w:sz w:val="28"/>
          <w:szCs w:val="28"/>
          <w:highlight w:val="none"/>
          <w:lang w:bidi="ar-SA"/>
        </w:rPr>
        <w:t>因乙方原因，致使合同全部或者部分不能履行的，乙方承担合同不能履行的全部风险及责任，甲方不予支付未履行部分的合同价款给乙方</w:t>
      </w:r>
      <w:r>
        <w:rPr>
          <w:rFonts w:hint="eastAsia" w:ascii="仿宋_GB2312" w:hAnsi="仿宋_GB2312" w:cs="仿宋_GB2312"/>
          <w:sz w:val="28"/>
          <w:szCs w:val="28"/>
          <w:highlight w:val="none"/>
        </w:rPr>
        <w:t>。</w:t>
      </w:r>
    </w:p>
    <w:p>
      <w:pPr>
        <w:spacing w:line="480" w:lineRule="exact"/>
        <w:rPr>
          <w:rFonts w:hint="eastAsia" w:ascii="仿宋_GB2312" w:hAnsi="仿宋_GB2312" w:eastAsia="仿宋_GB2312" w:cs="仿宋_GB2312"/>
          <w:b/>
          <w:bCs w:val="0"/>
          <w:sz w:val="28"/>
          <w:szCs w:val="28"/>
          <w:highlight w:val="none"/>
        </w:rPr>
      </w:pPr>
      <w:r>
        <w:rPr>
          <w:rFonts w:hint="eastAsia" w:ascii="仿宋_GB2312" w:hAnsi="仿宋_GB2312" w:eastAsia="仿宋_GB2312" w:cs="仿宋_GB2312"/>
          <w:b/>
          <w:bCs w:val="0"/>
          <w:sz w:val="28"/>
          <w:szCs w:val="28"/>
          <w:highlight w:val="none"/>
        </w:rPr>
        <w:t>第六条  保密条款</w:t>
      </w:r>
    </w:p>
    <w:p>
      <w:pPr>
        <w:pStyle w:val="2"/>
        <w:spacing w:line="480" w:lineRule="exact"/>
        <w:ind w:firstLine="560"/>
        <w:rPr>
          <w:rFonts w:hint="eastAsia" w:ascii="仿宋_GB2312" w:hAnsi="仿宋_GB2312" w:cs="仿宋_GB2312"/>
          <w:sz w:val="28"/>
          <w:szCs w:val="28"/>
          <w:highlight w:val="none"/>
        </w:rPr>
      </w:pPr>
      <w:r>
        <w:rPr>
          <w:rFonts w:hint="eastAsia" w:ascii="仿宋_GB2312" w:hAnsi="仿宋_GB2312" w:cs="仿宋_GB2312"/>
          <w:sz w:val="28"/>
          <w:szCs w:val="28"/>
          <w:highlight w:val="none"/>
        </w:rPr>
        <w:t>（一）</w:t>
      </w:r>
      <w:r>
        <w:rPr>
          <w:rFonts w:hint="eastAsia" w:ascii="仿宋_GB2312" w:hAnsi="仿宋_GB2312" w:eastAsia="仿宋_GB2312" w:cs="仿宋_GB2312"/>
          <w:sz w:val="28"/>
          <w:szCs w:val="28"/>
          <w:highlight w:val="none"/>
        </w:rPr>
        <w:t>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否则，乙方应独自承担一切责任。前述信息资料</w:t>
      </w:r>
      <w:r>
        <w:rPr>
          <w:rFonts w:hint="eastAsia" w:ascii="仿宋_GB2312" w:hAnsi="仿宋_GB2312" w:eastAsia="仿宋_GB2312" w:cs="仿宋_GB2312"/>
          <w:sz w:val="28"/>
          <w:szCs w:val="28"/>
          <w:highlight w:val="none"/>
          <w:lang w:val="zh-CN"/>
        </w:rPr>
        <w:t>均属于永久保密期限范围，均对乙方有约束力，不因合同的变更、解除、终止而终止</w:t>
      </w:r>
      <w:r>
        <w:rPr>
          <w:rFonts w:hint="eastAsia" w:ascii="仿宋_GB2312" w:hAnsi="仿宋_GB2312" w:cs="仿宋_GB2312"/>
          <w:sz w:val="28"/>
          <w:szCs w:val="28"/>
          <w:highlight w:val="none"/>
        </w:rPr>
        <w:t>；</w:t>
      </w:r>
    </w:p>
    <w:p>
      <w:pPr>
        <w:pStyle w:val="2"/>
        <w:spacing w:line="480" w:lineRule="exact"/>
        <w:ind w:firstLine="560"/>
        <w:rPr>
          <w:rFonts w:hint="eastAsia" w:ascii="仿宋_GB2312" w:hAnsi="仿宋_GB2312" w:cs="仿宋_GB2312"/>
          <w:sz w:val="28"/>
          <w:szCs w:val="28"/>
          <w:highlight w:val="none"/>
        </w:rPr>
      </w:pPr>
      <w:r>
        <w:rPr>
          <w:rFonts w:hint="eastAsia" w:ascii="仿宋_GB2312" w:hAnsi="仿宋_GB2312" w:cs="仿宋_GB2312"/>
          <w:sz w:val="28"/>
          <w:szCs w:val="28"/>
          <w:highlight w:val="none"/>
        </w:rPr>
        <w:t>（二）乙方违反上述保密约定应向甲方按本合同价款总额的20%支付违约金并赔偿甲方因此造成的全部经济损失（包括但不限于甲方因此产生的律师费、诉讼费、调查费、差旅费、赔偿款等）。</w:t>
      </w:r>
    </w:p>
    <w:p>
      <w:pPr>
        <w:spacing w:line="480" w:lineRule="exact"/>
        <w:rPr>
          <w:rFonts w:hint="eastAsia" w:ascii="仿宋_GB2312" w:hAnsi="仿宋_GB2312" w:eastAsia="仿宋_GB2312" w:cs="仿宋_GB2312"/>
          <w:b/>
          <w:bCs w:val="0"/>
          <w:sz w:val="28"/>
          <w:szCs w:val="28"/>
          <w:highlight w:val="none"/>
        </w:rPr>
      </w:pPr>
      <w:r>
        <w:rPr>
          <w:rFonts w:hint="eastAsia" w:ascii="仿宋_GB2312" w:hAnsi="仿宋_GB2312" w:eastAsia="仿宋_GB2312" w:cs="仿宋_GB2312"/>
          <w:b/>
          <w:bCs w:val="0"/>
          <w:sz w:val="28"/>
          <w:szCs w:val="28"/>
          <w:highlight w:val="none"/>
        </w:rPr>
        <w:t>第七条  不可抗力</w:t>
      </w:r>
    </w:p>
    <w:p>
      <w:pPr>
        <w:numPr>
          <w:ilvl w:val="0"/>
          <w:numId w:val="6"/>
        </w:numPr>
        <w:spacing w:line="480" w:lineRule="exact"/>
        <w:rPr>
          <w:rFonts w:hint="eastAsia" w:ascii="仿宋_GB2312" w:hAnsi="仿宋_GB2312" w:cs="仿宋_GB2312"/>
          <w:sz w:val="28"/>
          <w:szCs w:val="28"/>
          <w:highlight w:val="none"/>
        </w:rPr>
      </w:pPr>
      <w:r>
        <w:rPr>
          <w:rFonts w:hint="eastAsia" w:ascii="仿宋_GB2312" w:hAnsi="仿宋_GB2312" w:cs="仿宋_GB2312"/>
          <w:sz w:val="28"/>
          <w:szCs w:val="28"/>
          <w:highlight w:val="none"/>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6"/>
        </w:numPr>
        <w:spacing w:line="480" w:lineRule="exact"/>
        <w:rPr>
          <w:rFonts w:hint="eastAsia" w:ascii="仿宋_GB2312" w:hAnsi="仿宋_GB2312" w:cs="仿宋_GB2312"/>
          <w:sz w:val="28"/>
          <w:szCs w:val="28"/>
          <w:highlight w:val="none"/>
        </w:rPr>
      </w:pPr>
      <w:r>
        <w:rPr>
          <w:rFonts w:hint="eastAsia" w:ascii="仿宋_GB2312" w:hAnsi="仿宋_GB2312" w:cs="仿宋_GB2312"/>
          <w:sz w:val="28"/>
          <w:szCs w:val="28"/>
          <w:highlight w:val="none"/>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6"/>
        </w:numPr>
        <w:spacing w:line="480" w:lineRule="exact"/>
        <w:rPr>
          <w:rFonts w:hint="eastAsia" w:ascii="仿宋_GB2312" w:hAnsi="仿宋_GB2312" w:cs="仿宋_GB2312"/>
          <w:sz w:val="28"/>
          <w:szCs w:val="28"/>
          <w:highlight w:val="none"/>
        </w:rPr>
      </w:pPr>
      <w:r>
        <w:rPr>
          <w:rFonts w:hint="eastAsia" w:ascii="仿宋_GB2312" w:hAnsi="仿宋_GB2312" w:cs="仿宋_GB2312"/>
          <w:sz w:val="28"/>
          <w:szCs w:val="28"/>
          <w:highlight w:val="none"/>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pStyle w:val="2"/>
        <w:spacing w:line="480" w:lineRule="exact"/>
        <w:ind w:firstLine="0" w:firstLineChars="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第八条  知识产权</w:t>
      </w:r>
    </w:p>
    <w:p>
      <w:pPr>
        <w:pStyle w:val="2"/>
        <w:spacing w:line="480" w:lineRule="exact"/>
        <w:ind w:firstLine="560"/>
        <w:rPr>
          <w:rFonts w:hint="eastAsia" w:ascii="仿宋_GB2312" w:hAnsi="仿宋_GB2312" w:cs="仿宋_GB2312"/>
          <w:sz w:val="28"/>
          <w:szCs w:val="28"/>
          <w:highlight w:val="none"/>
        </w:rPr>
      </w:pPr>
      <w:r>
        <w:rPr>
          <w:rFonts w:hint="eastAsia" w:ascii="仿宋_GB2312" w:hAnsi="仿宋_GB2312" w:cs="仿宋_GB2312"/>
          <w:sz w:val="28"/>
          <w:szCs w:val="28"/>
          <w:highlight w:val="none"/>
        </w:rPr>
        <w:t>（一）乙方在项目实施过程中不得侵犯第三人知识产权以及其他权益。需要使用第三人知识产权的，乙方应取得权利人许可或者授权并由乙方承担费用。</w:t>
      </w:r>
      <w:r>
        <w:rPr>
          <w:rFonts w:hint="eastAsia" w:ascii="仿宋_GB2312" w:hAnsi="仿宋_GB2312" w:eastAsia="仿宋_GB2312" w:cs="仿宋_GB2312"/>
          <w:sz w:val="28"/>
          <w:szCs w:val="28"/>
          <w:highlight w:val="none"/>
        </w:rPr>
        <w:t>如因第三方提出其专利权、商标权或其他知识产权的侵权之诉，则一切法律责任由乙方承担（包括但不限于律师费、诉讼费、赔偿款、调查费、差旅费等）。</w:t>
      </w:r>
    </w:p>
    <w:p>
      <w:pPr>
        <w:pStyle w:val="2"/>
        <w:spacing w:line="480" w:lineRule="exact"/>
        <w:ind w:firstLine="560"/>
        <w:rPr>
          <w:rFonts w:hint="eastAsia" w:ascii="仿宋_GB2312" w:hAnsi="仿宋_GB2312" w:cs="仿宋_GB2312"/>
          <w:sz w:val="28"/>
          <w:szCs w:val="28"/>
          <w:highlight w:val="none"/>
        </w:rPr>
      </w:pPr>
      <w:r>
        <w:rPr>
          <w:rFonts w:hint="eastAsia" w:ascii="仿宋_GB2312" w:hAnsi="仿宋_GB2312" w:cs="仿宋_GB2312"/>
          <w:sz w:val="28"/>
          <w:szCs w:val="28"/>
          <w:highlight w:val="none"/>
        </w:rPr>
        <w:t>（二）</w:t>
      </w:r>
      <w:r>
        <w:rPr>
          <w:rFonts w:hint="eastAsia" w:ascii="仿宋_GB2312" w:hAnsi="仿宋_GB2312" w:eastAsia="仿宋_GB2312" w:cs="仿宋_GB2312"/>
          <w:sz w:val="28"/>
          <w:szCs w:val="28"/>
          <w:highlight w:val="none"/>
        </w:rPr>
        <w:t>乙方根据本合同向甲方提供的资料及其所包含的图形、图片、文字等素材以及因本合同产生的作品（包括但不限于任何图案、图像、文字等），其知识产权和其他权益均归甲方所有</w:t>
      </w:r>
      <w:r>
        <w:rPr>
          <w:rFonts w:hint="eastAsia" w:ascii="仿宋_GB2312" w:hAnsi="仿宋_GB2312" w:cs="仿宋_GB2312"/>
          <w:sz w:val="28"/>
          <w:szCs w:val="28"/>
          <w:highlight w:val="none"/>
        </w:rPr>
        <w:t>，未经甲方事先书面许可乙方不得为本合同之外的任何目的、以任何形式自行使用或擅自许可任何第三方使用。</w:t>
      </w:r>
    </w:p>
    <w:p>
      <w:pPr>
        <w:spacing w:line="480" w:lineRule="exact"/>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第九条  违约责任</w:t>
      </w:r>
    </w:p>
    <w:p>
      <w:pPr>
        <w:numPr>
          <w:ilvl w:val="0"/>
          <w:numId w:val="7"/>
        </w:numPr>
        <w:spacing w:line="480" w:lineRule="exact"/>
        <w:rPr>
          <w:rFonts w:hint="eastAsia" w:ascii="仿宋_GB2312" w:hAnsi="仿宋_GB2312" w:cs="仿宋_GB2312"/>
          <w:sz w:val="28"/>
          <w:szCs w:val="28"/>
          <w:highlight w:val="none"/>
        </w:rPr>
      </w:pPr>
      <w:r>
        <w:rPr>
          <w:rFonts w:hint="eastAsia" w:ascii="仿宋_GB2312" w:hAnsi="仿宋_GB2312" w:cs="仿宋_GB2312"/>
          <w:sz w:val="28"/>
          <w:szCs w:val="28"/>
          <w:highlight w:val="none"/>
        </w:rPr>
        <w:t>甲方的违约责任：</w:t>
      </w:r>
    </w:p>
    <w:p>
      <w:pPr>
        <w:numPr>
          <w:ilvl w:val="255"/>
          <w:numId w:val="0"/>
        </w:numPr>
        <w:spacing w:line="480" w:lineRule="exact"/>
        <w:ind w:firstLine="560" w:firstLineChars="200"/>
        <w:rPr>
          <w:rFonts w:hint="eastAsia" w:ascii="仿宋_GB2312" w:hAnsi="仿宋_GB2312" w:cs="仿宋_GB2312"/>
          <w:sz w:val="28"/>
          <w:szCs w:val="28"/>
          <w:highlight w:val="none"/>
        </w:rPr>
      </w:pPr>
      <w:r>
        <w:rPr>
          <w:rFonts w:hint="eastAsia" w:ascii="仿宋_GB2312" w:hAnsi="仿宋_GB2312" w:cs="仿宋_GB2312"/>
          <w:sz w:val="28"/>
          <w:szCs w:val="28"/>
          <w:highlight w:val="none"/>
        </w:rPr>
        <w:t>甲方未按本合同约定向乙方支付款项的，乙方有权要求甲方按照逾期支付款项的日万分之一向乙方支付违约金，但因乙方自身原因造成的除外。</w:t>
      </w:r>
    </w:p>
    <w:p>
      <w:pPr>
        <w:numPr>
          <w:ilvl w:val="0"/>
          <w:numId w:val="7"/>
        </w:numPr>
        <w:spacing w:line="480" w:lineRule="exact"/>
        <w:rPr>
          <w:rFonts w:hint="eastAsia" w:ascii="仿宋_GB2312" w:hAnsi="仿宋_GB2312" w:cs="仿宋_GB2312"/>
          <w:sz w:val="28"/>
          <w:szCs w:val="28"/>
          <w:highlight w:val="none"/>
        </w:rPr>
      </w:pPr>
      <w:r>
        <w:rPr>
          <w:rFonts w:hint="eastAsia" w:ascii="仿宋_GB2312" w:hAnsi="仿宋_GB2312" w:cs="仿宋_GB2312"/>
          <w:sz w:val="28"/>
          <w:szCs w:val="28"/>
          <w:highlight w:val="none"/>
        </w:rPr>
        <w:t>乙方的违约责任：</w:t>
      </w:r>
    </w:p>
    <w:p>
      <w:pPr>
        <w:numPr>
          <w:ilvl w:val="255"/>
          <w:numId w:val="0"/>
        </w:numPr>
        <w:spacing w:line="48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1.乙方未按照合同约定及时提交项目成果性文件或逾期完成项目工作的，从逾期之日起，甲方有权要求乙方按本</w:t>
      </w:r>
      <w:r>
        <w:rPr>
          <w:rFonts w:hint="eastAsia" w:ascii="仿宋_GB2312" w:hAnsi="仿宋_GB2312" w:cs="仿宋_GB2312"/>
          <w:sz w:val="28"/>
          <w:szCs w:val="28"/>
          <w:highlight w:val="none"/>
        </w:rPr>
        <w:t>合同</w:t>
      </w:r>
      <w:r>
        <w:rPr>
          <w:rFonts w:hint="eastAsia" w:ascii="仿宋_GB2312" w:hAnsi="仿宋_GB2312" w:eastAsia="仿宋_GB2312" w:cs="仿宋_GB2312"/>
          <w:sz w:val="28"/>
          <w:szCs w:val="28"/>
          <w:highlight w:val="none"/>
        </w:rPr>
        <w:t>项目总费用的日千分之一向甲方支付违约金直到乙方提交或者完成之日止。</w:t>
      </w:r>
    </w:p>
    <w:p>
      <w:pPr>
        <w:numPr>
          <w:ilvl w:val="255"/>
          <w:numId w:val="0"/>
        </w:numPr>
        <w:spacing w:line="48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w:t>
      </w:r>
      <w:r>
        <w:rPr>
          <w:rFonts w:hint="eastAsia" w:ascii="仿宋_GB2312" w:hAnsi="仿宋_GB2312" w:cs="仿宋_GB2312"/>
          <w:sz w:val="28"/>
          <w:szCs w:val="28"/>
          <w:highlight w:val="none"/>
        </w:rPr>
        <w:t>本合同项目总费用</w:t>
      </w:r>
      <w:r>
        <w:rPr>
          <w:rFonts w:hint="eastAsia" w:ascii="仿宋_GB2312" w:hAnsi="仿宋_GB2312" w:eastAsia="仿宋_GB2312" w:cs="仿宋_GB2312"/>
          <w:sz w:val="28"/>
          <w:szCs w:val="28"/>
          <w:highlight w:val="none"/>
        </w:rPr>
        <w:t>20％的违约金给甲方：</w:t>
      </w:r>
    </w:p>
    <w:p>
      <w:pPr>
        <w:numPr>
          <w:ilvl w:val="255"/>
          <w:numId w:val="0"/>
        </w:numPr>
        <w:spacing w:line="48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（1）乙方逾期提交项目成果性文件或者逾期完成项目工作超过15日以上的；</w:t>
      </w:r>
    </w:p>
    <w:p>
      <w:pPr>
        <w:numPr>
          <w:ilvl w:val="255"/>
          <w:numId w:val="0"/>
        </w:numPr>
        <w:spacing w:line="48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（2）乙方因自身原因不能提供服务（不包括本条第1点的情形）或提供的服务质量不符合本合同约定以及相关法律法规规定的；</w:t>
      </w:r>
    </w:p>
    <w:p>
      <w:pPr>
        <w:numPr>
          <w:ilvl w:val="255"/>
          <w:numId w:val="0"/>
        </w:numPr>
        <w:spacing w:line="480" w:lineRule="exact"/>
        <w:ind w:firstLine="560" w:firstLineChars="200"/>
        <w:rPr>
          <w:rFonts w:hint="eastAsia" w:ascii="仿宋_GB2312" w:hAnsi="仿宋_GB2312" w:cs="仿宋_GB2312"/>
          <w:sz w:val="28"/>
          <w:szCs w:val="28"/>
          <w:highlight w:val="none"/>
        </w:rPr>
      </w:pPr>
      <w:r>
        <w:rPr>
          <w:rFonts w:hint="eastAsia" w:ascii="仿宋_GB2312" w:hAnsi="仿宋_GB2312" w:eastAsia="仿宋_GB2312" w:cs="仿宋_GB2312"/>
          <w:sz w:val="28"/>
          <w:szCs w:val="28"/>
          <w:highlight w:val="none"/>
        </w:rPr>
        <w:t>（3）未经甲方同意，乙方将本合同项目部分或全部技术服务工作转让第三人负责的</w:t>
      </w:r>
      <w:r>
        <w:rPr>
          <w:rFonts w:hint="eastAsia" w:ascii="仿宋_GB2312" w:hAnsi="仿宋_GB2312" w:cs="仿宋_GB2312"/>
          <w:sz w:val="28"/>
          <w:szCs w:val="28"/>
          <w:highlight w:val="none"/>
        </w:rPr>
        <w:t>。</w:t>
      </w:r>
    </w:p>
    <w:p>
      <w:pPr>
        <w:spacing w:line="48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bCs/>
          <w:sz w:val="28"/>
          <w:szCs w:val="28"/>
          <w:highlight w:val="none"/>
        </w:rPr>
        <w:t>第十条  双方确定，出现下列情形，致使本合同的履行成为不必要或不能的，可以解除本合同：</w:t>
      </w:r>
    </w:p>
    <w:p>
      <w:pPr>
        <w:numPr>
          <w:ilvl w:val="0"/>
          <w:numId w:val="8"/>
        </w:numPr>
        <w:spacing w:line="480" w:lineRule="exact"/>
        <w:rPr>
          <w:rFonts w:hint="eastAsia" w:ascii="仿宋_GB2312" w:hAnsi="仿宋_GB2312" w:cs="仿宋_GB2312"/>
          <w:sz w:val="28"/>
          <w:szCs w:val="28"/>
          <w:highlight w:val="none"/>
        </w:rPr>
      </w:pPr>
      <w:r>
        <w:rPr>
          <w:rFonts w:hint="eastAsia" w:ascii="仿宋_GB2312" w:hAnsi="仿宋_GB2312" w:cs="仿宋_GB2312"/>
          <w:sz w:val="28"/>
          <w:szCs w:val="28"/>
          <w:highlight w:val="none"/>
        </w:rPr>
        <w:t>发生不可抗力。</w:t>
      </w:r>
    </w:p>
    <w:p>
      <w:pPr>
        <w:numPr>
          <w:ilvl w:val="0"/>
          <w:numId w:val="8"/>
        </w:numPr>
        <w:spacing w:line="480" w:lineRule="exact"/>
        <w:rPr>
          <w:rFonts w:hint="eastAsia" w:ascii="仿宋_GB2312" w:hAnsi="仿宋_GB2312" w:cs="仿宋_GB2312"/>
          <w:sz w:val="28"/>
          <w:szCs w:val="28"/>
          <w:highlight w:val="none"/>
        </w:rPr>
      </w:pPr>
      <w:r>
        <w:rPr>
          <w:rFonts w:hint="eastAsia" w:ascii="仿宋_GB2312" w:hAnsi="仿宋_GB2312" w:cs="仿宋_GB2312"/>
          <w:sz w:val="28"/>
          <w:szCs w:val="28"/>
          <w:highlight w:val="none"/>
        </w:rPr>
        <w:t>因一方违约使合同不能继续履行或没有必要继续履行。</w:t>
      </w:r>
    </w:p>
    <w:p>
      <w:pPr>
        <w:numPr>
          <w:ilvl w:val="0"/>
          <w:numId w:val="8"/>
        </w:numPr>
        <w:spacing w:line="480" w:lineRule="exact"/>
        <w:rPr>
          <w:rFonts w:hint="eastAsia" w:ascii="仿宋_GB2312" w:hAnsi="仿宋_GB2312" w:cs="仿宋_GB2312"/>
          <w:sz w:val="28"/>
          <w:szCs w:val="28"/>
          <w:highlight w:val="none"/>
        </w:rPr>
      </w:pPr>
      <w:r>
        <w:rPr>
          <w:rFonts w:hint="eastAsia" w:ascii="仿宋_GB2312" w:hAnsi="仿宋_GB2312" w:cs="仿宋_GB2312"/>
          <w:sz w:val="28"/>
          <w:szCs w:val="28"/>
          <w:highlight w:val="none"/>
        </w:rPr>
        <w:t>出现法律法规或国家政策规定等特定情形导致合同不能继续履行。</w:t>
      </w:r>
    </w:p>
    <w:p>
      <w:pPr>
        <w:spacing w:line="480" w:lineRule="exact"/>
        <w:rPr>
          <w:rFonts w:hint="eastAsia" w:ascii="仿宋_GB2312" w:hAnsi="仿宋_GB2312" w:eastAsia="仿宋_GB2312" w:cs="仿宋_GB2312"/>
          <w:b/>
          <w:bCs w:val="0"/>
          <w:sz w:val="28"/>
          <w:szCs w:val="28"/>
          <w:highlight w:val="none"/>
        </w:rPr>
      </w:pPr>
      <w:r>
        <w:rPr>
          <w:rFonts w:hint="eastAsia" w:ascii="仿宋_GB2312" w:hAnsi="仿宋_GB2312" w:eastAsia="仿宋_GB2312" w:cs="仿宋_GB2312"/>
          <w:b/>
          <w:bCs w:val="0"/>
          <w:sz w:val="28"/>
          <w:szCs w:val="28"/>
          <w:highlight w:val="none"/>
        </w:rPr>
        <w:t>第十一条  争议的解决办法</w:t>
      </w:r>
    </w:p>
    <w:p>
      <w:pPr>
        <w:numPr>
          <w:ilvl w:val="255"/>
          <w:numId w:val="0"/>
        </w:numPr>
        <w:spacing w:line="480" w:lineRule="exact"/>
        <w:ind w:firstLine="560" w:firstLineChars="200"/>
        <w:rPr>
          <w:rFonts w:hint="eastAsia" w:ascii="仿宋_GB2312" w:hAnsi="仿宋_GB2312" w:cs="仿宋_GB2312"/>
          <w:sz w:val="28"/>
          <w:szCs w:val="28"/>
          <w:highlight w:val="none"/>
        </w:rPr>
      </w:pPr>
      <w:r>
        <w:rPr>
          <w:rFonts w:hint="eastAsia" w:ascii="仿宋_GB2312" w:hAnsi="仿宋_GB2312" w:cs="仿宋_GB2312"/>
          <w:sz w:val="28"/>
          <w:szCs w:val="28"/>
          <w:highlight w:val="none"/>
        </w:rPr>
        <w:t>本合同在履行过程中发生的争议，由当事人双方协商解决。协商不成的，合同双方任意一方均可向甲方所在地有管辖权的人民法院提起诉讼处理。</w:t>
      </w:r>
    </w:p>
    <w:p>
      <w:pPr>
        <w:spacing w:line="480" w:lineRule="exact"/>
        <w:jc w:val="both"/>
        <w:rPr>
          <w:rFonts w:hint="eastAsia" w:ascii="仿宋_GB2312" w:hAnsi="仿宋_GB2312" w:eastAsia="仿宋_GB2312" w:cs="仿宋_GB2312"/>
          <w:b/>
          <w:bCs w:val="0"/>
          <w:sz w:val="28"/>
          <w:szCs w:val="28"/>
          <w:highlight w:val="none"/>
        </w:rPr>
      </w:pPr>
      <w:r>
        <w:rPr>
          <w:rFonts w:hint="eastAsia" w:ascii="仿宋_GB2312" w:hAnsi="仿宋_GB2312" w:eastAsia="仿宋_GB2312" w:cs="仿宋_GB2312"/>
          <w:b/>
          <w:bCs w:val="0"/>
          <w:sz w:val="28"/>
          <w:szCs w:val="28"/>
          <w:highlight w:val="none"/>
        </w:rPr>
        <w:t>第十二条  其他</w:t>
      </w:r>
    </w:p>
    <w:p>
      <w:pPr>
        <w:numPr>
          <w:ilvl w:val="0"/>
          <w:numId w:val="9"/>
        </w:numPr>
        <w:spacing w:line="480" w:lineRule="exact"/>
        <w:rPr>
          <w:rFonts w:hint="eastAsia" w:ascii="仿宋_GB2312" w:hAnsi="仿宋_GB2312" w:cs="仿宋_GB2312"/>
          <w:sz w:val="28"/>
          <w:szCs w:val="28"/>
          <w:highlight w:val="none"/>
        </w:rPr>
      </w:pPr>
      <w:r>
        <w:rPr>
          <w:rFonts w:hint="eastAsia" w:ascii="仿宋_GB2312" w:hAnsi="仿宋_GB2312" w:cs="仿宋_GB2312"/>
          <w:sz w:val="28"/>
          <w:szCs w:val="28"/>
          <w:highlight w:val="none"/>
        </w:rPr>
        <w:t>合同如有未尽事宜，可以经甲、乙双方另行协商形成书面补充协议，书面补充协议经双方签字、盖章后生效。</w:t>
      </w:r>
    </w:p>
    <w:p>
      <w:pPr>
        <w:numPr>
          <w:ilvl w:val="0"/>
          <w:numId w:val="9"/>
        </w:numPr>
        <w:spacing w:line="480" w:lineRule="exact"/>
        <w:ind w:firstLine="420"/>
        <w:rPr>
          <w:rFonts w:hint="eastAsia" w:ascii="仿宋_GB2312" w:hAnsi="仿宋_GB2312" w:cs="仿宋_GB2312"/>
          <w:sz w:val="28"/>
          <w:szCs w:val="28"/>
          <w:highlight w:val="none"/>
        </w:rPr>
      </w:pPr>
      <w:r>
        <w:rPr>
          <w:rFonts w:hint="eastAsia" w:ascii="仿宋_GB2312" w:hAnsi="仿宋_GB2312" w:eastAsia="仿宋_GB2312" w:cs="仿宋_GB2312"/>
          <w:sz w:val="28"/>
          <w:szCs w:val="28"/>
          <w:highlight w:val="none"/>
          <w:lang w:bidi="ar-SA"/>
        </w:rPr>
        <w:t>甲、乙双方在本协议履行过程中提供给对方的任一地址（包括但不限于注册经营地址、身份证户籍地址、实际经营地址、居住地址等）和联系方式（包括但不限于甲、乙双方指定的联系人手机号码、微信号、电子邮件等）为合同对方或者司法机关等文件有效的送达地址，文件一经到达或退回或拒收即视为送达。一方如有变更，应在变更前3个工作日内通知对方，否则，视为未变更</w:t>
      </w:r>
      <w:r>
        <w:rPr>
          <w:rFonts w:hint="eastAsia" w:ascii="仿宋_GB2312" w:hAnsi="仿宋_GB2312" w:cs="仿宋_GB2312"/>
          <w:sz w:val="28"/>
          <w:szCs w:val="28"/>
          <w:highlight w:val="none"/>
        </w:rPr>
        <w:t>。</w:t>
      </w:r>
    </w:p>
    <w:p>
      <w:pPr>
        <w:numPr>
          <w:ilvl w:val="0"/>
          <w:numId w:val="9"/>
        </w:numPr>
        <w:spacing w:line="480" w:lineRule="exact"/>
        <w:rPr>
          <w:rFonts w:hint="eastAsia" w:ascii="仿宋_GB2312" w:hAnsi="仿宋_GB2312" w:cs="仿宋_GB2312"/>
          <w:sz w:val="28"/>
          <w:szCs w:val="28"/>
          <w:highlight w:val="none"/>
        </w:rPr>
      </w:pPr>
      <w:r>
        <w:rPr>
          <w:rFonts w:hint="eastAsia" w:ascii="仿宋_GB2312" w:hAnsi="仿宋_GB2312" w:cs="仿宋_GB2312"/>
          <w:sz w:val="28"/>
          <w:szCs w:val="28"/>
          <w:highlight w:val="none"/>
        </w:rPr>
        <w:t>本合同一式肆份，自双方签字和盖章后生效。甲方执叁份、乙方执壹份，具有同等法律效力。</w:t>
      </w:r>
    </w:p>
    <w:p>
      <w:pPr>
        <w:pStyle w:val="10"/>
        <w:numPr>
          <w:ilvl w:val="0"/>
          <w:numId w:val="9"/>
        </w:numPr>
        <w:spacing w:line="480" w:lineRule="exact"/>
        <w:ind w:firstLineChars="0"/>
        <w:rPr>
          <w:rFonts w:hint="eastAsia" w:ascii="仿宋_GB2312" w:hAnsi="仿宋_GB2312" w:cs="仿宋_GB2312"/>
          <w:sz w:val="28"/>
          <w:szCs w:val="28"/>
          <w:highlight w:val="none"/>
        </w:rPr>
      </w:pPr>
      <w:r>
        <w:rPr>
          <w:rFonts w:hint="eastAsia" w:ascii="仿宋_GB2312" w:hAnsi="仿宋_GB2312" w:cs="仿宋_GB2312"/>
          <w:sz w:val="28"/>
          <w:szCs w:val="28"/>
          <w:highlight w:val="none"/>
        </w:rPr>
        <w:t>以下为本合同附件，与本合同具有同等效力：</w:t>
      </w:r>
    </w:p>
    <w:p>
      <w:pPr>
        <w:pStyle w:val="10"/>
        <w:numPr>
          <w:ilvl w:val="0"/>
          <w:numId w:val="10"/>
        </w:numPr>
        <w:spacing w:line="480" w:lineRule="exact"/>
        <w:ind w:firstLine="608"/>
        <w:rPr>
          <w:rFonts w:hint="eastAsia" w:ascii="仿宋_GB2312" w:hAnsi="仿宋_GB2312" w:cs="仿宋_GB2312"/>
          <w:sz w:val="28"/>
          <w:szCs w:val="28"/>
          <w:highlight w:val="none"/>
        </w:rPr>
      </w:pPr>
      <w:r>
        <w:rPr>
          <w:rFonts w:hint="eastAsia" w:ascii="仿宋_GB2312" w:hAnsi="仿宋_GB2312" w:cs="仿宋_GB2312"/>
          <w:sz w:val="28"/>
          <w:szCs w:val="28"/>
          <w:highlight w:val="none"/>
        </w:rPr>
        <w:t>项目采购公告；</w:t>
      </w:r>
    </w:p>
    <w:p>
      <w:pPr>
        <w:pStyle w:val="10"/>
        <w:numPr>
          <w:ilvl w:val="0"/>
          <w:numId w:val="10"/>
        </w:numPr>
        <w:spacing w:line="480" w:lineRule="exact"/>
        <w:ind w:firstLine="608"/>
        <w:rPr>
          <w:rFonts w:hint="eastAsia" w:ascii="仿宋_GB2312" w:hAnsi="仿宋_GB2312" w:cs="仿宋_GB2312"/>
          <w:sz w:val="28"/>
          <w:szCs w:val="28"/>
          <w:highlight w:val="none"/>
        </w:rPr>
      </w:pPr>
      <w:r>
        <w:rPr>
          <w:rFonts w:hint="eastAsia" w:ascii="仿宋_GB2312" w:hAnsi="仿宋_GB2312" w:cs="仿宋_GB2312"/>
          <w:sz w:val="28"/>
          <w:szCs w:val="28"/>
          <w:highlight w:val="none"/>
        </w:rPr>
        <w:t>江门市市场监督管理局相关项目采购结果公告；</w:t>
      </w:r>
    </w:p>
    <w:p>
      <w:pPr>
        <w:pStyle w:val="10"/>
        <w:numPr>
          <w:ilvl w:val="0"/>
          <w:numId w:val="10"/>
        </w:numPr>
        <w:spacing w:line="480" w:lineRule="exact"/>
        <w:ind w:firstLine="608"/>
        <w:rPr>
          <w:rFonts w:hint="eastAsia" w:ascii="仿宋_GB2312" w:hAnsi="仿宋_GB2312" w:cs="仿宋_GB2312"/>
          <w:sz w:val="28"/>
          <w:szCs w:val="28"/>
          <w:highlight w:val="none"/>
        </w:rPr>
      </w:pPr>
      <w:r>
        <w:rPr>
          <w:rFonts w:hint="eastAsia" w:ascii="仿宋_GB2312" w:hAnsi="仿宋_GB2312" w:cs="仿宋_GB2312"/>
          <w:sz w:val="28"/>
          <w:szCs w:val="28"/>
          <w:highlight w:val="none"/>
        </w:rPr>
        <w:t>其他附件及补充合同等资料。</w:t>
      </w:r>
    </w:p>
    <w:p>
      <w:pPr>
        <w:spacing w:before="156" w:beforeLines="50" w:line="480" w:lineRule="exact"/>
        <w:ind w:firstLine="560" w:firstLineChars="200"/>
        <w:rPr>
          <w:rFonts w:hint="eastAsia" w:ascii="仿宋_GB2312" w:hAnsi="仿宋_GB2312" w:cs="仿宋_GB2312"/>
          <w:sz w:val="28"/>
          <w:szCs w:val="28"/>
          <w:highlight w:val="none"/>
        </w:rPr>
      </w:pPr>
      <w:r>
        <w:rPr>
          <w:rFonts w:hint="eastAsia" w:ascii="仿宋_GB2312" w:hAnsi="仿宋_GB2312" w:cs="仿宋_GB2312"/>
          <w:sz w:val="28"/>
          <w:szCs w:val="28"/>
          <w:highlight w:val="none"/>
        </w:rPr>
        <w:t>（以下无正文）</w:t>
      </w:r>
    </w:p>
    <w:p>
      <w:pPr>
        <w:pStyle w:val="10"/>
        <w:spacing w:line="480" w:lineRule="exact"/>
        <w:ind w:firstLine="608"/>
        <w:rPr>
          <w:rFonts w:hint="eastAsia" w:ascii="仿宋_GB2312" w:hAnsi="仿宋_GB2312" w:cs="仿宋_GB2312"/>
          <w:sz w:val="28"/>
          <w:szCs w:val="28"/>
          <w:highlight w:val="none"/>
        </w:rPr>
      </w:pPr>
    </w:p>
    <w:p>
      <w:pPr>
        <w:spacing w:line="480" w:lineRule="exact"/>
        <w:ind w:firstLine="562" w:firstLineChars="200"/>
        <w:rPr>
          <w:rFonts w:hint="eastAsia" w:ascii="仿宋_GB2312" w:hAnsi="仿宋_GB2312" w:cs="仿宋_GB2312"/>
          <w:sz w:val="28"/>
          <w:szCs w:val="28"/>
          <w:highlight w:val="none"/>
        </w:rPr>
      </w:pPr>
      <w:r>
        <w:rPr>
          <w:rFonts w:hint="eastAsia" w:ascii="仿宋_GB2312" w:hAnsi="仿宋_GB2312" w:cs="仿宋_GB2312"/>
          <w:b/>
          <w:bCs/>
          <w:sz w:val="28"/>
          <w:szCs w:val="28"/>
          <w:highlight w:val="none"/>
        </w:rPr>
        <w:t>甲方</w:t>
      </w:r>
      <w:r>
        <w:rPr>
          <w:rFonts w:hint="eastAsia" w:ascii="仿宋_GB2312" w:hAnsi="仿宋_GB2312" w:cs="仿宋_GB2312"/>
          <w:sz w:val="28"/>
          <w:szCs w:val="28"/>
          <w:highlight w:val="none"/>
        </w:rPr>
        <w:t xml:space="preserve">：江门市市场监督管理局  </w:t>
      </w:r>
    </w:p>
    <w:p>
      <w:pPr>
        <w:spacing w:line="480" w:lineRule="exact"/>
        <w:ind w:firstLine="2240" w:firstLineChars="800"/>
        <w:rPr>
          <w:rFonts w:hint="eastAsia" w:ascii="仿宋_GB2312" w:hAnsi="仿宋_GB2312" w:cs="仿宋_GB2312"/>
          <w:sz w:val="28"/>
          <w:szCs w:val="28"/>
          <w:highlight w:val="none"/>
        </w:rPr>
      </w:pPr>
      <w:r>
        <w:rPr>
          <w:rFonts w:hint="eastAsia" w:ascii="仿宋_GB2312" w:hAnsi="仿宋_GB2312" w:cs="仿宋_GB2312"/>
          <w:sz w:val="28"/>
          <w:szCs w:val="28"/>
          <w:highlight w:val="none"/>
        </w:rPr>
        <w:t>（盖章）</w:t>
      </w:r>
    </w:p>
    <w:p>
      <w:pPr>
        <w:spacing w:line="480" w:lineRule="exact"/>
        <w:ind w:firstLine="560" w:firstLineChars="200"/>
        <w:rPr>
          <w:rFonts w:hint="eastAsia" w:ascii="仿宋_GB2312" w:hAnsi="仿宋_GB2312" w:cs="仿宋_GB2312"/>
          <w:sz w:val="28"/>
          <w:szCs w:val="28"/>
          <w:highlight w:val="none"/>
        </w:rPr>
      </w:pPr>
      <w:r>
        <w:rPr>
          <w:rFonts w:hint="eastAsia" w:ascii="仿宋_GB2312" w:hAnsi="仿宋_GB2312" w:cs="仿宋_GB2312"/>
          <w:sz w:val="28"/>
          <w:szCs w:val="28"/>
          <w:highlight w:val="none"/>
        </w:rPr>
        <w:t xml:space="preserve">法定代表人或授权委托人：（签字）    </w:t>
      </w:r>
    </w:p>
    <w:p>
      <w:pPr>
        <w:spacing w:line="480" w:lineRule="exact"/>
        <w:ind w:firstLine="1960" w:firstLineChars="700"/>
        <w:rPr>
          <w:rFonts w:hint="eastAsia" w:ascii="仿宋_GB2312" w:hAnsi="仿宋_GB2312" w:cs="仿宋_GB2312"/>
          <w:sz w:val="28"/>
          <w:szCs w:val="28"/>
          <w:highlight w:val="none"/>
        </w:rPr>
      </w:pPr>
      <w:r>
        <w:rPr>
          <w:rFonts w:hint="eastAsia" w:ascii="仿宋_GB2312" w:hAnsi="仿宋_GB2312" w:cs="仿宋_GB2312"/>
          <w:sz w:val="28"/>
          <w:szCs w:val="28"/>
          <w:highlight w:val="none"/>
        </w:rPr>
        <w:t>年    月    日</w:t>
      </w:r>
    </w:p>
    <w:p>
      <w:pPr>
        <w:spacing w:line="480" w:lineRule="exact"/>
        <w:rPr>
          <w:rFonts w:hint="eastAsia" w:ascii="仿宋_GB2312" w:hAnsi="仿宋_GB2312" w:cs="仿宋_GB2312"/>
          <w:sz w:val="28"/>
          <w:szCs w:val="28"/>
          <w:highlight w:val="none"/>
        </w:rPr>
      </w:pPr>
      <w:r>
        <w:rPr>
          <w:rFonts w:hint="eastAsia" w:ascii="仿宋_GB2312" w:hAnsi="仿宋_GB2312" w:cs="仿宋_GB2312"/>
          <w:sz w:val="28"/>
          <w:szCs w:val="28"/>
          <w:highlight w:val="none"/>
        </w:rPr>
        <w:t xml:space="preserve"> </w:t>
      </w:r>
    </w:p>
    <w:p>
      <w:pPr>
        <w:spacing w:line="480" w:lineRule="exact"/>
        <w:ind w:firstLine="560"/>
        <w:rPr>
          <w:rFonts w:hint="eastAsia" w:ascii="仿宋_GB2312" w:hAnsi="仿宋_GB2312" w:cs="仿宋_GB2312"/>
          <w:sz w:val="28"/>
          <w:szCs w:val="28"/>
          <w:highlight w:val="none"/>
        </w:rPr>
      </w:pPr>
      <w:r>
        <w:rPr>
          <w:rFonts w:hint="eastAsia" w:ascii="仿宋_GB2312" w:hAnsi="仿宋_GB2312" w:cs="仿宋_GB2312"/>
          <w:b/>
          <w:bCs/>
          <w:sz w:val="28"/>
          <w:szCs w:val="28"/>
          <w:highlight w:val="none"/>
        </w:rPr>
        <w:t>乙方</w:t>
      </w:r>
      <w:r>
        <w:rPr>
          <w:rFonts w:hint="eastAsia" w:ascii="仿宋_GB2312" w:hAnsi="仿宋_GB2312" w:cs="仿宋_GB2312"/>
          <w:sz w:val="28"/>
          <w:szCs w:val="28"/>
          <w:highlight w:val="none"/>
        </w:rPr>
        <w:t xml:space="preserve">： </w:t>
      </w:r>
    </w:p>
    <w:p>
      <w:pPr>
        <w:spacing w:line="480" w:lineRule="exact"/>
        <w:ind w:firstLine="2419" w:firstLineChars="864"/>
        <w:rPr>
          <w:rFonts w:hint="eastAsia" w:ascii="仿宋_GB2312" w:hAnsi="仿宋_GB2312" w:cs="仿宋_GB2312"/>
          <w:sz w:val="28"/>
          <w:szCs w:val="28"/>
          <w:highlight w:val="none"/>
        </w:rPr>
      </w:pPr>
      <w:r>
        <w:rPr>
          <w:rFonts w:hint="eastAsia" w:ascii="仿宋_GB2312" w:hAnsi="仿宋_GB2312" w:cs="仿宋_GB2312"/>
          <w:sz w:val="28"/>
          <w:szCs w:val="28"/>
          <w:highlight w:val="none"/>
        </w:rPr>
        <w:t>（盖章）</w:t>
      </w:r>
    </w:p>
    <w:p>
      <w:pPr>
        <w:spacing w:line="480" w:lineRule="exact"/>
        <w:ind w:firstLine="560" w:firstLineChars="200"/>
        <w:rPr>
          <w:rFonts w:hint="eastAsia" w:ascii="仿宋_GB2312" w:hAnsi="仿宋_GB2312" w:cs="仿宋_GB2312"/>
          <w:sz w:val="28"/>
          <w:szCs w:val="28"/>
          <w:highlight w:val="none"/>
        </w:rPr>
      </w:pPr>
      <w:r>
        <w:rPr>
          <w:rFonts w:hint="eastAsia" w:ascii="仿宋_GB2312" w:hAnsi="仿宋_GB2312" w:cs="仿宋_GB2312"/>
          <w:sz w:val="28"/>
          <w:szCs w:val="28"/>
          <w:highlight w:val="none"/>
        </w:rPr>
        <w:t>法定代表人或授权委托人：（签字）</w:t>
      </w:r>
    </w:p>
    <w:p>
      <w:pPr>
        <w:spacing w:line="480" w:lineRule="exact"/>
        <w:ind w:firstLine="1960" w:firstLineChars="700"/>
        <w:rPr>
          <w:rFonts w:hint="eastAsia" w:ascii="仿宋_GB2312" w:hAnsi="仿宋_GB2312" w:cs="仿宋_GB2312"/>
          <w:sz w:val="28"/>
          <w:szCs w:val="28"/>
          <w:highlight w:val="none"/>
        </w:rPr>
      </w:pPr>
      <w:r>
        <w:rPr>
          <w:rFonts w:hint="eastAsia" w:ascii="仿宋_GB2312" w:hAnsi="仿宋_GB2312" w:cs="仿宋_GB2312"/>
          <w:sz w:val="28"/>
          <w:szCs w:val="28"/>
          <w:highlight w:val="none"/>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T Extra"/>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0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MS Sans Serif">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MT Extra">
    <w:panose1 w:val="02000609000000000000"/>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2">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3">
    <w:nsid w:val="07F32869"/>
    <w:multiLevelType w:val="multilevel"/>
    <w:tmpl w:val="07F32869"/>
    <w:lvl w:ilvl="0" w:tentative="0">
      <w:start w:val="2"/>
      <w:numFmt w:val="decimal"/>
      <w:lvlText w:val="%1.0"/>
      <w:lvlJc w:val="left"/>
      <w:pPr>
        <w:ind w:left="720" w:hanging="720"/>
      </w:pPr>
      <w:rPr>
        <w:rFonts w:hint="default"/>
      </w:rPr>
    </w:lvl>
    <w:lvl w:ilvl="1" w:tentative="0">
      <w:start w:val="1"/>
      <w:numFmt w:val="decimalZero"/>
      <w:lvlText w:val="%1.%2"/>
      <w:lvlJc w:val="left"/>
      <w:pPr>
        <w:ind w:left="1140" w:hanging="720"/>
      </w:pPr>
      <w:rPr>
        <w:rFonts w:hint="default"/>
      </w:rPr>
    </w:lvl>
    <w:lvl w:ilvl="2" w:tentative="0">
      <w:start w:val="1"/>
      <w:numFmt w:val="decimal"/>
      <w:lvlText w:val="%1.%2.%3"/>
      <w:lvlJc w:val="left"/>
      <w:pPr>
        <w:ind w:left="1560" w:hanging="720"/>
      </w:pPr>
      <w:rPr>
        <w:rFonts w:hint="default"/>
      </w:rPr>
    </w:lvl>
    <w:lvl w:ilvl="3" w:tentative="0">
      <w:start w:val="1"/>
      <w:numFmt w:val="decimal"/>
      <w:lvlText w:val="%1.%2.%3.%4"/>
      <w:lvlJc w:val="left"/>
      <w:pPr>
        <w:ind w:left="2340" w:hanging="1080"/>
      </w:pPr>
      <w:rPr>
        <w:rFonts w:hint="default"/>
      </w:rPr>
    </w:lvl>
    <w:lvl w:ilvl="4" w:tentative="0">
      <w:start w:val="1"/>
      <w:numFmt w:val="decimal"/>
      <w:lvlText w:val="%1.%2.%3.%4.%5"/>
      <w:lvlJc w:val="left"/>
      <w:pPr>
        <w:ind w:left="3120" w:hanging="1440"/>
      </w:pPr>
      <w:rPr>
        <w:rFonts w:hint="default"/>
      </w:rPr>
    </w:lvl>
    <w:lvl w:ilvl="5" w:tentative="0">
      <w:start w:val="1"/>
      <w:numFmt w:val="decimal"/>
      <w:lvlText w:val="%1.%2.%3.%4.%5.%6"/>
      <w:lvlJc w:val="left"/>
      <w:pPr>
        <w:ind w:left="3900" w:hanging="1800"/>
      </w:pPr>
      <w:rPr>
        <w:rFonts w:hint="default"/>
      </w:rPr>
    </w:lvl>
    <w:lvl w:ilvl="6" w:tentative="0">
      <w:start w:val="1"/>
      <w:numFmt w:val="decimal"/>
      <w:lvlText w:val="%1.%2.%3.%4.%5.%6.%7"/>
      <w:lvlJc w:val="left"/>
      <w:pPr>
        <w:ind w:left="4680" w:hanging="2160"/>
      </w:pPr>
      <w:rPr>
        <w:rFonts w:hint="default"/>
      </w:rPr>
    </w:lvl>
    <w:lvl w:ilvl="7" w:tentative="0">
      <w:start w:val="1"/>
      <w:numFmt w:val="decimal"/>
      <w:lvlText w:val="%1.%2.%3.%4.%5.%6.%7.%8"/>
      <w:lvlJc w:val="left"/>
      <w:pPr>
        <w:ind w:left="5100" w:hanging="2160"/>
      </w:pPr>
      <w:rPr>
        <w:rFonts w:hint="default"/>
      </w:rPr>
    </w:lvl>
    <w:lvl w:ilvl="8" w:tentative="0">
      <w:start w:val="1"/>
      <w:numFmt w:val="decimal"/>
      <w:lvlText w:val="%1.%2.%3.%4.%5.%6.%7.%8.%9"/>
      <w:lvlJc w:val="left"/>
      <w:pPr>
        <w:ind w:left="5880" w:hanging="2520"/>
      </w:pPr>
      <w:rPr>
        <w:rFonts w:hint="default"/>
      </w:rPr>
    </w:lvl>
  </w:abstractNum>
  <w:abstractNum w:abstractNumId="4">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5">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6">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7">
    <w:nsid w:val="5F271FE5"/>
    <w:multiLevelType w:val="singleLevel"/>
    <w:tmpl w:val="5F271FE5"/>
    <w:lvl w:ilvl="0" w:tentative="0">
      <w:start w:val="1"/>
      <w:numFmt w:val="chineseCounting"/>
      <w:suff w:val="nothing"/>
      <w:lvlText w:val="（%1）"/>
      <w:lvlJc w:val="left"/>
      <w:pPr>
        <w:ind w:left="0" w:firstLine="420"/>
      </w:pPr>
      <w:rPr>
        <w:rFonts w:hint="eastAsia"/>
      </w:rPr>
    </w:lvl>
  </w:abstractNum>
  <w:abstractNum w:abstractNumId="8">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9">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3"/>
  </w:num>
  <w:num w:numId="2">
    <w:abstractNumId w:val="2"/>
  </w:num>
  <w:num w:numId="3">
    <w:abstractNumId w:val="8"/>
  </w:num>
  <w:num w:numId="4">
    <w:abstractNumId w:val="9"/>
  </w:num>
  <w:num w:numId="5">
    <w:abstractNumId w:val="7"/>
  </w:num>
  <w:num w:numId="6">
    <w:abstractNumId w:val="5"/>
  </w:num>
  <w:num w:numId="7">
    <w:abstractNumId w:val="4"/>
  </w:num>
  <w:num w:numId="8">
    <w:abstractNumId w:val="1"/>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1ZmEwOGYxMTU3ZmRlYzVmYmQ2NzcwOWQ0NDdkOWEifQ=="/>
  </w:docVars>
  <w:rsids>
    <w:rsidRoot w:val="00966675"/>
    <w:rsid w:val="00022EE7"/>
    <w:rsid w:val="00050EE0"/>
    <w:rsid w:val="000756F1"/>
    <w:rsid w:val="000821CF"/>
    <w:rsid w:val="000C143A"/>
    <w:rsid w:val="000F477F"/>
    <w:rsid w:val="000F76CB"/>
    <w:rsid w:val="00162921"/>
    <w:rsid w:val="001C382A"/>
    <w:rsid w:val="00201EA2"/>
    <w:rsid w:val="002150AE"/>
    <w:rsid w:val="002373BE"/>
    <w:rsid w:val="0024497A"/>
    <w:rsid w:val="002E204B"/>
    <w:rsid w:val="00307C85"/>
    <w:rsid w:val="00327AAE"/>
    <w:rsid w:val="00346907"/>
    <w:rsid w:val="00357432"/>
    <w:rsid w:val="0044280C"/>
    <w:rsid w:val="00474C47"/>
    <w:rsid w:val="004E42FF"/>
    <w:rsid w:val="00521A8E"/>
    <w:rsid w:val="005E0579"/>
    <w:rsid w:val="00675F78"/>
    <w:rsid w:val="006F724C"/>
    <w:rsid w:val="007000C3"/>
    <w:rsid w:val="00734E4C"/>
    <w:rsid w:val="007361A2"/>
    <w:rsid w:val="007442E0"/>
    <w:rsid w:val="00744531"/>
    <w:rsid w:val="007A39F0"/>
    <w:rsid w:val="007E3DCC"/>
    <w:rsid w:val="00804A6C"/>
    <w:rsid w:val="008673F1"/>
    <w:rsid w:val="008C41DA"/>
    <w:rsid w:val="00934B02"/>
    <w:rsid w:val="00943D85"/>
    <w:rsid w:val="00966675"/>
    <w:rsid w:val="009712BC"/>
    <w:rsid w:val="00982D91"/>
    <w:rsid w:val="009D1694"/>
    <w:rsid w:val="009E247C"/>
    <w:rsid w:val="009F5F86"/>
    <w:rsid w:val="00A55509"/>
    <w:rsid w:val="00A80607"/>
    <w:rsid w:val="00AE5953"/>
    <w:rsid w:val="00B040AD"/>
    <w:rsid w:val="00BA38DB"/>
    <w:rsid w:val="00C80ADC"/>
    <w:rsid w:val="00D23424"/>
    <w:rsid w:val="00D25635"/>
    <w:rsid w:val="00D37D97"/>
    <w:rsid w:val="00D94470"/>
    <w:rsid w:val="00D94745"/>
    <w:rsid w:val="00DB228A"/>
    <w:rsid w:val="00DE3C29"/>
    <w:rsid w:val="00E0511D"/>
    <w:rsid w:val="00E262AC"/>
    <w:rsid w:val="00F75DD3"/>
    <w:rsid w:val="09D77ACF"/>
    <w:rsid w:val="09DE0A66"/>
    <w:rsid w:val="0BEA35C3"/>
    <w:rsid w:val="0D122F39"/>
    <w:rsid w:val="0DDF3CA5"/>
    <w:rsid w:val="0FB72321"/>
    <w:rsid w:val="0FF4F19C"/>
    <w:rsid w:val="10FC4243"/>
    <w:rsid w:val="13EB3287"/>
    <w:rsid w:val="171724B5"/>
    <w:rsid w:val="17F97C14"/>
    <w:rsid w:val="1A19383D"/>
    <w:rsid w:val="1EFD7AA6"/>
    <w:rsid w:val="1EFE21EE"/>
    <w:rsid w:val="20075F93"/>
    <w:rsid w:val="23F9331C"/>
    <w:rsid w:val="24EE444C"/>
    <w:rsid w:val="28F2788A"/>
    <w:rsid w:val="293A0576"/>
    <w:rsid w:val="2D016C87"/>
    <w:rsid w:val="2DFBA2F7"/>
    <w:rsid w:val="38F75A22"/>
    <w:rsid w:val="391A5AE0"/>
    <w:rsid w:val="3B19643C"/>
    <w:rsid w:val="3E365781"/>
    <w:rsid w:val="3FA76621"/>
    <w:rsid w:val="404A6C17"/>
    <w:rsid w:val="43F43818"/>
    <w:rsid w:val="47C7B3FB"/>
    <w:rsid w:val="4B562BFB"/>
    <w:rsid w:val="4C504380"/>
    <w:rsid w:val="4D261BEA"/>
    <w:rsid w:val="4D70028A"/>
    <w:rsid w:val="4DD70C4E"/>
    <w:rsid w:val="51874BBA"/>
    <w:rsid w:val="577FD652"/>
    <w:rsid w:val="5789094D"/>
    <w:rsid w:val="58CB32EC"/>
    <w:rsid w:val="5B2D9C84"/>
    <w:rsid w:val="5BB2671C"/>
    <w:rsid w:val="5E963A50"/>
    <w:rsid w:val="5FF42EF1"/>
    <w:rsid w:val="61286ED1"/>
    <w:rsid w:val="67BDC8B8"/>
    <w:rsid w:val="690D3BC4"/>
    <w:rsid w:val="693B3F28"/>
    <w:rsid w:val="6B7E7578"/>
    <w:rsid w:val="6C7B1287"/>
    <w:rsid w:val="6F5F4F93"/>
    <w:rsid w:val="72AF67A9"/>
    <w:rsid w:val="76A81E4D"/>
    <w:rsid w:val="79276609"/>
    <w:rsid w:val="7BBF43E1"/>
    <w:rsid w:val="7C44ED2E"/>
    <w:rsid w:val="7EAD8FBF"/>
    <w:rsid w:val="7EF77269"/>
    <w:rsid w:val="7EFEE140"/>
    <w:rsid w:val="7F7BC183"/>
    <w:rsid w:val="7FE2FE5F"/>
    <w:rsid w:val="7FEFE5D8"/>
    <w:rsid w:val="7FF53FDD"/>
    <w:rsid w:val="90EF200C"/>
    <w:rsid w:val="9F7C5456"/>
    <w:rsid w:val="BAB7C09A"/>
    <w:rsid w:val="D7F7AA84"/>
    <w:rsid w:val="DDF9F884"/>
    <w:rsid w:val="DE7CBDE5"/>
    <w:rsid w:val="E7EF1424"/>
    <w:rsid w:val="E7F935A4"/>
    <w:rsid w:val="EAA32CF4"/>
    <w:rsid w:val="EADFD714"/>
    <w:rsid w:val="EB35E882"/>
    <w:rsid w:val="EFFDC37B"/>
    <w:rsid w:val="F7CF5773"/>
    <w:rsid w:val="FB8F4D3B"/>
    <w:rsid w:val="FBDA1719"/>
    <w:rsid w:val="FBFDF671"/>
    <w:rsid w:val="FEFC17F2"/>
    <w:rsid w:val="FFC6F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4"/>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Title"/>
    <w:basedOn w:val="1"/>
    <w:next w:val="1"/>
    <w:qFormat/>
    <w:uiPriority w:val="10"/>
    <w:pPr>
      <w:spacing w:before="240" w:after="60"/>
      <w:jc w:val="center"/>
      <w:outlineLvl w:val="0"/>
    </w:pPr>
    <w:rPr>
      <w:rFonts w:ascii="Cambria" w:hAnsi="Cambria" w:eastAsia="宋体"/>
      <w:b/>
      <w:bCs/>
      <w:sz w:val="32"/>
      <w:szCs w:val="32"/>
    </w:rPr>
  </w:style>
  <w:style w:type="paragraph" w:styleId="10">
    <w:name w:val="Body Text First Indent 2"/>
    <w:basedOn w:val="4"/>
    <w:qFormat/>
    <w:uiPriority w:val="0"/>
    <w:pPr>
      <w:ind w:firstLine="420" w:firstLineChars="200"/>
    </w:pPr>
    <w:rPr>
      <w:rFonts w:ascii="宋体" w:hAnsi="MS Sans Serif"/>
      <w:spacing w:val="12"/>
    </w:rPr>
  </w:style>
  <w:style w:type="character" w:styleId="13">
    <w:name w:val="Strong"/>
    <w:basedOn w:val="12"/>
    <w:qFormat/>
    <w:uiPriority w:val="0"/>
    <w:rPr>
      <w:b/>
    </w:rPr>
  </w:style>
  <w:style w:type="character" w:customStyle="1" w:styleId="14">
    <w:name w:val="批注框文本 Char"/>
    <w:basedOn w:val="12"/>
    <w:link w:val="5"/>
    <w:qFormat/>
    <w:uiPriority w:val="0"/>
    <w:rPr>
      <w:rFonts w:eastAsia="仿宋_GB2312"/>
      <w:kern w:val="2"/>
      <w:sz w:val="18"/>
      <w:szCs w:val="18"/>
    </w:rPr>
  </w:style>
  <w:style w:type="paragraph" w:customStyle="1" w:styleId="15">
    <w:name w:val="修订1"/>
    <w:hidden/>
    <w:unhideWhenUsed/>
    <w:qFormat/>
    <w:uiPriority w:val="99"/>
    <w:rPr>
      <w:rFonts w:ascii="Times New Roman" w:hAnsi="Times New Roman" w:eastAsia="仿宋_GB2312" w:cs="Times New Roman"/>
      <w:kern w:val="2"/>
      <w:sz w:val="30"/>
      <w:lang w:val="en-US" w:eastAsia="zh-CN" w:bidi="ar-SA"/>
    </w:rPr>
  </w:style>
  <w:style w:type="paragraph" w:customStyle="1" w:styleId="16">
    <w:name w:val="列出段落1"/>
    <w:basedOn w:val="1"/>
    <w:qFormat/>
    <w:uiPriority w:val="34"/>
    <w:pPr>
      <w:ind w:firstLine="420" w:firstLineChars="200"/>
    </w:pPr>
  </w:style>
  <w:style w:type="paragraph" w:customStyle="1" w:styleId="17">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普通(网站)1"/>
    <w:basedOn w:val="1"/>
    <w:qFormat/>
    <w:uiPriority w:val="0"/>
    <w:pPr>
      <w:jc w:val="left"/>
    </w:pPr>
    <w:rPr>
      <w:rFonts w:ascii="Calibri" w:hAnsi="Calibri" w:cs="黑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9</Pages>
  <Words>764</Words>
  <Characters>4357</Characters>
  <Lines>36</Lines>
  <Paragraphs>10</Paragraphs>
  <TotalTime>8</TotalTime>
  <ScaleCrop>false</ScaleCrop>
  <LinksUpToDate>false</LinksUpToDate>
  <CharactersWithSpaces>5111</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2025-02-25T23:43:00Z</dcterms:created>
  <dc:creator>杨婉芳</dc:creator>
  <cp:lastModifiedBy>greatwall</cp:lastModifiedBy>
  <cp:lastPrinted>2026-02-28T03:28:00Z</cp:lastPrinted>
  <dcterms:modified xsi:type="dcterms:W3CDTF">2026-07-10T15:04:25Z</dcterms:modified>
  <dc:title>2020年江门市工业产品生产许可证证后</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FF1183901A684E9380E2D6BED9628E55</vt:lpwstr>
  </property>
</Properties>
</file>