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bCs/>
          <w:color w:val="auto"/>
          <w:sz w:val="30"/>
          <w:szCs w:val="30"/>
          <w:highlight w:val="none"/>
          <w:lang w:eastAsia="zh-CN"/>
        </w:rPr>
      </w:pPr>
      <w:r>
        <w:rPr>
          <w:rFonts w:hint="eastAsia" w:ascii="黑体" w:hAnsi="黑体" w:eastAsia="黑体" w:cs="黑体"/>
          <w:b/>
          <w:bCs/>
          <w:color w:val="auto"/>
          <w:sz w:val="30"/>
          <w:szCs w:val="30"/>
          <w:highlight w:val="none"/>
        </w:rPr>
        <w:t>附件</w:t>
      </w:r>
      <w:r>
        <w:rPr>
          <w:rFonts w:hint="eastAsia" w:ascii="黑体" w:hAnsi="黑体" w:eastAsia="黑体" w:cs="黑体"/>
          <w:b/>
          <w:bCs/>
          <w:color w:val="auto"/>
          <w:sz w:val="30"/>
          <w:szCs w:val="30"/>
          <w:highlight w:val="none"/>
          <w:lang w:val="en-US" w:eastAsia="zh-CN"/>
        </w:rPr>
        <w:t>5</w:t>
      </w:r>
      <w:bookmarkStart w:id="0" w:name="_GoBack"/>
      <w:bookmarkEnd w:id="0"/>
    </w:p>
    <w:p>
      <w:pPr>
        <w:jc w:val="center"/>
        <w:rPr>
          <w:rFonts w:hint="eastAsia" w:ascii="方正小标宋简体" w:hAnsi="方正小标宋简体" w:eastAsia="方正小标宋简体" w:cs="方正小标宋简体"/>
          <w:color w:val="auto"/>
          <w:sz w:val="44"/>
          <w:szCs w:val="44"/>
          <w:highlight w:val="none"/>
        </w:rPr>
      </w:pPr>
    </w:p>
    <w:p>
      <w:pPr>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rPr>
        <w:t>小型工程通用环境社会管理计划（示例</w:t>
      </w:r>
      <w:r>
        <w:rPr>
          <w:rFonts w:hint="eastAsia" w:ascii="仿宋_GB2312" w:hAnsi="仿宋_GB2312" w:eastAsia="仿宋_GB2312" w:cs="仿宋_GB2312"/>
          <w:sz w:val="32"/>
          <w:szCs w:val="32"/>
        </w:rPr>
        <w:footnoteReference w:id="0"/>
      </w:r>
      <w:r>
        <w:rPr>
          <w:rFonts w:hint="eastAsia" w:ascii="方正小标宋简体" w:hAnsi="方正小标宋简体" w:eastAsia="方正小标宋简体" w:cs="方正小标宋简体"/>
          <w:color w:val="auto"/>
          <w:sz w:val="44"/>
          <w:szCs w:val="44"/>
          <w:highlight w:val="none"/>
        </w:rPr>
        <w:t>）</w:t>
      </w:r>
    </w:p>
    <w:p>
      <w:pPr>
        <w:rPr>
          <w:rFonts w:hint="eastAsia"/>
        </w:rPr>
      </w:pPr>
    </w:p>
    <w:p>
      <w:pPr>
        <w:rPr>
          <w:rFonts w:hint="eastAsia"/>
          <w:sz w:val="32"/>
          <w:szCs w:val="32"/>
        </w:rPr>
      </w:pPr>
    </w:p>
    <w:p>
      <w:pPr>
        <w:rPr>
          <w:rFonts w:hint="eastAsia"/>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r>
        <w:rPr>
          <w:rFonts w:hint="eastAsia" w:ascii="仿宋_GB2312" w:hAnsi="仿宋_GB2312" w:eastAsia="仿宋_GB2312" w:cs="仿宋_GB2312"/>
          <w:i/>
          <w:iCs/>
          <w:sz w:val="32"/>
          <w:szCs w:val="32"/>
        </w:rPr>
        <w:t>请填写具体的小型工程项目名称，如：XX县XX镇连片池塘生态化改造与尾水治理工程</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实施主体：[</w:t>
      </w:r>
      <w:r>
        <w:rPr>
          <w:rFonts w:hint="eastAsia" w:ascii="仿宋_GB2312" w:hAnsi="仿宋_GB2312" w:eastAsia="仿宋_GB2312" w:cs="仿宋_GB2312"/>
          <w:i/>
          <w:iCs/>
          <w:sz w:val="32"/>
          <w:szCs w:val="32"/>
        </w:rPr>
        <w:t>请填写实施主体全称</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项目地点：[</w:t>
      </w:r>
      <w:r>
        <w:rPr>
          <w:rFonts w:hint="eastAsia" w:ascii="仿宋_GB2312" w:hAnsi="仿宋_GB2312" w:eastAsia="仿宋_GB2312" w:cs="仿宋_GB2312"/>
          <w:i/>
          <w:iCs/>
          <w:sz w:val="32"/>
          <w:szCs w:val="32"/>
        </w:rPr>
        <w:t>请填写项目所在具体市、县、镇、村</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编制日期： 年 月 日</w:t>
      </w:r>
    </w:p>
    <w:p>
      <w:pPr>
        <w:rPr>
          <w:rFonts w:hint="eastAsia" w:ascii="仿宋_GB2312" w:hAnsi="仿宋_GB2312" w:eastAsia="仿宋_GB2312" w:cs="仿宋_GB2312"/>
          <w:sz w:val="32"/>
          <w:szCs w:val="32"/>
        </w:rPr>
      </w:pPr>
    </w:p>
    <w:p>
      <w:pPr>
        <w:rPr>
          <w:rFonts w:hint="eastAsia"/>
        </w:rPr>
      </w:pPr>
      <w:r>
        <w:rPr>
          <w:rFonts w:hint="eastAsia"/>
        </w:rPr>
        <w:br w:type="page"/>
      </w:r>
    </w:p>
    <w:p>
      <w:pPr>
        <w:rPr>
          <w:rFonts w:hint="eastAsia"/>
        </w:rPr>
      </w:pPr>
    </w:p>
    <w:p>
      <w:pPr>
        <w:snapToGrid/>
        <w:spacing w:beforeLines="0" w:afterLines="0"/>
        <w:ind w:firstLine="642" w:firstLineChars="200"/>
        <w:outlineLvl w:val="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 项目简要描述</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本项目为世行贷款广东省农产品质量安全提升（示范）项目支持的水产养殖质量安全提升小型工程。主要建设内容包括：</w:t>
      </w:r>
      <w:r>
        <w:rPr>
          <w:rFonts w:hint="eastAsia" w:ascii="仿宋" w:hAnsi="仿宋" w:eastAsia="仿宋" w:cs="仿宋"/>
          <w:i/>
          <w:iCs/>
          <w:color w:val="auto"/>
          <w:sz w:val="32"/>
          <w:szCs w:val="32"/>
          <w:highlight w:val="none"/>
          <w:lang w:val="en-US" w:eastAsia="zh-CN"/>
        </w:rPr>
        <w:t>[请简要描述，例如：池塘清淤与护坡、进排水系统分离、尾水处理设施（如生态沟渠、沉淀池、过滤坝、生态塘等）建设、智能化投喂与监测设备安装等]</w:t>
      </w:r>
      <w:r>
        <w:rPr>
          <w:rFonts w:hint="eastAsia" w:ascii="仿宋" w:hAnsi="仿宋" w:eastAsia="仿宋" w:cs="仿宋"/>
          <w:color w:val="auto"/>
          <w:sz w:val="32"/>
          <w:szCs w:val="32"/>
          <w:highlight w:val="none"/>
          <w:lang w:val="en-US" w:eastAsia="zh-CN"/>
        </w:rPr>
        <w:t>。项目旨在通过工程与设施改造，提升养殖基础设施水平，实现养殖尾水达标排放或资源化利用，保障水产品质量安全。</w:t>
      </w:r>
    </w:p>
    <w:p>
      <w:pPr>
        <w:rPr>
          <w:rFonts w:hint="eastAsia"/>
        </w:rPr>
      </w:pPr>
    </w:p>
    <w:p>
      <w:pPr>
        <w:snapToGrid/>
        <w:spacing w:beforeLines="0" w:afterLines="0"/>
        <w:ind w:firstLine="642" w:firstLineChars="200"/>
        <w:outlineLvl w:val="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二、可能产生的环境与社会影响及通用减缓措施</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本计划列出了水产养殖小型工程在施工期和运营期可能产生的常见环境影响与社会风险，以及必须采取的通用减缓措施。实施主体及选定的施工单位必须在项目全过程遵守下表要求。</w:t>
      </w:r>
    </w:p>
    <w:p>
      <w:pPr>
        <w:rPr>
          <w:rFonts w:hint="eastAsia"/>
        </w:rPr>
      </w:pPr>
    </w:p>
    <w:p>
      <w:pPr>
        <w:snapToGrid/>
        <w:spacing w:line="360" w:lineRule="auto"/>
        <w:ind w:firstLine="640" w:firstLineChars="200"/>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表1：施工期通用环境社会管理计划</w:t>
      </w:r>
    </w:p>
    <w:tbl>
      <w:tblPr>
        <w:tblStyle w:val="7"/>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7"/>
        <w:gridCol w:w="4512"/>
        <w:gridCol w:w="1290"/>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977" w:type="dxa"/>
            <w:vAlign w:val="center"/>
          </w:tcPr>
          <w:p>
            <w:pPr>
              <w:jc w:val="center"/>
              <w:rPr>
                <w:rFonts w:hint="eastAsia" w:ascii="黑体" w:hAnsi="黑体" w:eastAsia="黑体" w:cs="黑体"/>
                <w:sz w:val="24"/>
                <w:szCs w:val="24"/>
                <w:vertAlign w:val="baseline"/>
              </w:rPr>
            </w:pPr>
            <w:r>
              <w:rPr>
                <w:rFonts w:hint="eastAsia" w:ascii="黑体" w:hAnsi="黑体" w:eastAsia="黑体" w:cs="黑体"/>
                <w:sz w:val="24"/>
                <w:szCs w:val="24"/>
              </w:rPr>
              <w:t>潜在负面影响</w:t>
            </w:r>
          </w:p>
        </w:tc>
        <w:tc>
          <w:tcPr>
            <w:tcW w:w="4512" w:type="dxa"/>
            <w:vAlign w:val="center"/>
          </w:tcPr>
          <w:p>
            <w:pPr>
              <w:jc w:val="center"/>
              <w:rPr>
                <w:rFonts w:hint="eastAsia" w:ascii="黑体" w:hAnsi="黑体" w:eastAsia="黑体" w:cs="黑体"/>
                <w:sz w:val="24"/>
                <w:szCs w:val="24"/>
                <w:vertAlign w:val="baseline"/>
              </w:rPr>
            </w:pPr>
            <w:r>
              <w:rPr>
                <w:rFonts w:hint="eastAsia" w:ascii="黑体" w:hAnsi="黑体" w:eastAsia="黑体" w:cs="黑体"/>
                <w:sz w:val="24"/>
                <w:szCs w:val="24"/>
              </w:rPr>
              <w:t>主要减缓与防治措施</w:t>
            </w:r>
          </w:p>
        </w:tc>
        <w:tc>
          <w:tcPr>
            <w:tcW w:w="1290" w:type="dxa"/>
            <w:vAlign w:val="center"/>
          </w:tcPr>
          <w:p>
            <w:pPr>
              <w:jc w:val="center"/>
              <w:rPr>
                <w:rFonts w:hint="eastAsia" w:ascii="黑体" w:hAnsi="黑体" w:eastAsia="黑体" w:cs="黑体"/>
                <w:sz w:val="24"/>
                <w:szCs w:val="24"/>
                <w:vertAlign w:val="baseline"/>
              </w:rPr>
            </w:pPr>
            <w:r>
              <w:rPr>
                <w:rFonts w:hint="eastAsia" w:ascii="黑体" w:hAnsi="黑体" w:eastAsia="黑体" w:cs="黑体"/>
                <w:sz w:val="24"/>
                <w:szCs w:val="24"/>
              </w:rPr>
              <w:t>执行责任方</w:t>
            </w:r>
          </w:p>
        </w:tc>
        <w:tc>
          <w:tcPr>
            <w:tcW w:w="1277" w:type="dxa"/>
            <w:vAlign w:val="center"/>
          </w:tcPr>
          <w:p>
            <w:pPr>
              <w:jc w:val="center"/>
              <w:rPr>
                <w:rFonts w:hint="eastAsia" w:ascii="黑体" w:hAnsi="黑体" w:eastAsia="黑体" w:cs="黑体"/>
                <w:sz w:val="24"/>
                <w:szCs w:val="24"/>
                <w:vertAlign w:val="baseline"/>
              </w:rPr>
            </w:pPr>
            <w:r>
              <w:rPr>
                <w:rFonts w:hint="eastAsia" w:ascii="黑体" w:hAnsi="黑体" w:eastAsia="黑体" w:cs="黑体"/>
                <w:sz w:val="24"/>
                <w:szCs w:val="24"/>
              </w:rPr>
              <w:t>监督方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1. 水污染（施工废水、泥浆、物料冲洗水）</w:t>
            </w:r>
          </w:p>
        </w:tc>
        <w:tc>
          <w:tcPr>
            <w:tcW w:w="4512"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1.设置临时的沉沙池、排水沟，防止泥浆水直接排入周边水体。2.施工材料（如水泥、涂料）堆放点应远离沟渠、池塘，并有防雨遮盖。3.机械、车辆检修应在硬化地面进行，防止油污渗漏。4.施工人员生活污水应依托现有设施收集处理，不得随意排放。</w:t>
            </w:r>
          </w:p>
        </w:tc>
        <w:tc>
          <w:tcPr>
            <w:tcW w:w="129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施工单位</w:t>
            </w:r>
          </w:p>
        </w:tc>
        <w:tc>
          <w:tcPr>
            <w:tcW w:w="12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实施主体、工程监理机构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2. 扬尘与空气污染（土方开挖、运输）</w:t>
            </w:r>
          </w:p>
        </w:tc>
        <w:tc>
          <w:tcPr>
            <w:tcW w:w="4512"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1.对裸露土方和易起尘物料进行覆盖。2.施工现场定期洒水抑尘。3.运输车辆出场前应冲洗轮胎，物料运输应密闭或遮盖。</w:t>
            </w:r>
          </w:p>
        </w:tc>
        <w:tc>
          <w:tcPr>
            <w:tcW w:w="129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施工单位</w:t>
            </w:r>
          </w:p>
        </w:tc>
        <w:tc>
          <w:tcPr>
            <w:tcW w:w="12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实施主体、工程监理机构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3. 噪声与振动（施工机械、运输车辆）</w:t>
            </w:r>
          </w:p>
        </w:tc>
        <w:tc>
          <w:tcPr>
            <w:tcW w:w="4512"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1.选用低噪声设备，定期维护。2.合理安排高噪声作业时间，避免在午间（12:00-14:00）和夜间（22:00-次日6:00）施工。3.车辆在村庄、居民区附近禁止鸣笛，减速慢行。</w:t>
            </w:r>
          </w:p>
        </w:tc>
        <w:tc>
          <w:tcPr>
            <w:tcW w:w="129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施工单位</w:t>
            </w:r>
          </w:p>
        </w:tc>
        <w:tc>
          <w:tcPr>
            <w:tcW w:w="12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实施主体、工程监理机构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4. 固体废弃物（建筑垃圾、生活垃圾）</w:t>
            </w:r>
          </w:p>
        </w:tc>
        <w:tc>
          <w:tcPr>
            <w:tcW w:w="4512"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1.垃圾分类收集，可回收物（如包装材料）应回收利用。2.建筑垃圾及时清运至指定消纳场所，不得随意倾倒。3.生活垃圾集中收集，交由环卫部门统一处理。</w:t>
            </w:r>
          </w:p>
        </w:tc>
        <w:tc>
          <w:tcPr>
            <w:tcW w:w="129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施工单位</w:t>
            </w:r>
          </w:p>
        </w:tc>
        <w:tc>
          <w:tcPr>
            <w:tcW w:w="12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实施主体、工程监理机构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5. 生态干扰（破坏植被、扰动底泥）</w:t>
            </w:r>
          </w:p>
        </w:tc>
        <w:tc>
          <w:tcPr>
            <w:tcW w:w="4512"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1.严格控制施工范围，减少不必要的植被破坏。2.开挖的土方应合理堆放，及时用于回填或护坡，减少水土流失。3.施工结束后，对临时占地进行平整恢复。</w:t>
            </w:r>
          </w:p>
        </w:tc>
        <w:tc>
          <w:tcPr>
            <w:tcW w:w="129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施工单位</w:t>
            </w:r>
          </w:p>
        </w:tc>
        <w:tc>
          <w:tcPr>
            <w:tcW w:w="12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实施主体、工程监理机构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6. 社区安全与交通</w:t>
            </w:r>
          </w:p>
        </w:tc>
        <w:tc>
          <w:tcPr>
            <w:tcW w:w="4512"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1.在施工区域设置明显的安全警示标志和围挡。2.规划合理的物料运输路线和时间，避开社区交通高峰和人群密集时段。3.与周边社区保持沟通，提前告知重大施工活动。</w:t>
            </w:r>
          </w:p>
        </w:tc>
        <w:tc>
          <w:tcPr>
            <w:tcW w:w="129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施工单位</w:t>
            </w:r>
          </w:p>
        </w:tc>
        <w:tc>
          <w:tcPr>
            <w:tcW w:w="12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实施主体、县（市、区）</w:t>
            </w:r>
            <w:r>
              <w:rPr>
                <w:rFonts w:hint="eastAsia" w:ascii="仿宋_GB2312" w:hAnsi="仿宋_GB2312" w:eastAsia="仿宋_GB2312" w:cs="仿宋_GB2312"/>
                <w:sz w:val="24"/>
                <w:szCs w:val="24"/>
                <w:lang w:eastAsia="zh-CN"/>
              </w:rPr>
              <w:t>农业农村部门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7. 工人职业健康与安全（OHS）</w:t>
            </w:r>
          </w:p>
        </w:tc>
        <w:tc>
          <w:tcPr>
            <w:tcW w:w="4512"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1.为工人提供安全培训，特别是用电、机械操作、有限空间作业安全。2.配备必要的个人防护装备（PPE），如安全帽、反光衣、手套、防尘口罩等。3.提供清洁的饮用水和卫生的临时休息场所。4.开展防止工作场所性骚扰和性别歧视的宣传与培训。</w:t>
            </w:r>
          </w:p>
        </w:tc>
        <w:tc>
          <w:tcPr>
            <w:tcW w:w="129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施工单位</w:t>
            </w:r>
          </w:p>
        </w:tc>
        <w:tc>
          <w:tcPr>
            <w:tcW w:w="127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rPr>
              <w:t>实施主体、工程监理机构</w:t>
            </w:r>
          </w:p>
        </w:tc>
      </w:tr>
    </w:tbl>
    <w:p>
      <w:pPr>
        <w:rPr>
          <w:rFonts w:hint="eastAsia"/>
        </w:rPr>
      </w:pPr>
    </w:p>
    <w:p>
      <w:pPr>
        <w:snapToGrid/>
        <w:spacing w:line="360" w:lineRule="auto"/>
        <w:ind w:firstLine="640" w:firstLineChars="200"/>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表2：运营期通用环境社会管理计划</w:t>
      </w:r>
    </w:p>
    <w:tbl>
      <w:tblPr>
        <w:tblStyle w:val="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713"/>
        <w:gridCol w:w="835"/>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23" w:type="dxa"/>
            <w:shd w:val="clear" w:color="auto" w:fill="auto"/>
            <w:vAlign w:val="center"/>
          </w:tcPr>
          <w:p>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rPr>
              <w:t>潜在负面影响</w:t>
            </w:r>
          </w:p>
        </w:tc>
        <w:tc>
          <w:tcPr>
            <w:tcW w:w="5713" w:type="dxa"/>
            <w:shd w:val="clear" w:color="auto" w:fill="auto"/>
            <w:vAlign w:val="center"/>
          </w:tcPr>
          <w:p>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rPr>
              <w:t>主要减缓与防治措施</w:t>
            </w:r>
          </w:p>
        </w:tc>
        <w:tc>
          <w:tcPr>
            <w:tcW w:w="835" w:type="dxa"/>
            <w:shd w:val="clear" w:color="auto" w:fill="auto"/>
            <w:vAlign w:val="center"/>
          </w:tcPr>
          <w:p>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rPr>
              <w:t>执行责任方</w:t>
            </w:r>
          </w:p>
        </w:tc>
        <w:tc>
          <w:tcPr>
            <w:tcW w:w="1389" w:type="dxa"/>
            <w:shd w:val="clear" w:color="auto" w:fill="auto"/>
            <w:vAlign w:val="center"/>
          </w:tcPr>
          <w:p>
            <w:pPr>
              <w:jc w:val="center"/>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rPr>
              <w:t>监督方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1. 养殖尾水污染</w:t>
            </w:r>
          </w:p>
        </w:tc>
        <w:tc>
          <w:tcPr>
            <w:tcW w:w="571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核心要求：确保尾水稳定达到《广东省水产养殖尾水排放标准（DB44/2462-2024）》或实现资源化利用（如循环回用、灌溉等）。1.设施运维：定期清理和维护尾水处理设施（如生态沟渠、沉淀池、过滤坝、曝气设备、生态塘等），确保其正常运行。2.规范排水：通过标准排放口排放，并记录排水时间和水量。3.循环利用：鼓励将处理后的尾水循环用于养殖或农业灌溉，提高水资源利用率。</w:t>
            </w:r>
          </w:p>
        </w:tc>
        <w:tc>
          <w:tcPr>
            <w:tcW w:w="835"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实施主体</w:t>
            </w:r>
          </w:p>
        </w:tc>
        <w:tc>
          <w:tcPr>
            <w:tcW w:w="1389"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县（市、区）</w:t>
            </w:r>
            <w:r>
              <w:rPr>
                <w:rFonts w:hint="eastAsia" w:ascii="仿宋_GB2312" w:hAnsi="仿宋_GB2312" w:eastAsia="仿宋_GB2312" w:cs="仿宋_GB2312"/>
                <w:sz w:val="24"/>
                <w:szCs w:val="24"/>
                <w:lang w:eastAsia="zh-CN"/>
              </w:rPr>
              <w:t>农业农村部门</w:t>
            </w:r>
            <w:r>
              <w:rPr>
                <w:rFonts w:hint="eastAsia" w:ascii="仿宋_GB2312" w:hAnsi="仿宋_GB2312" w:eastAsia="仿宋_GB2312" w:cs="仿宋_GB2312"/>
                <w:sz w:val="24"/>
                <w:szCs w:val="24"/>
              </w:rPr>
              <w:t>、效果评价检测机构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2. 投入品污染风险（渔药、饲料、微生物制剂）</w:t>
            </w:r>
          </w:p>
        </w:tc>
        <w:tc>
          <w:tcPr>
            <w:tcW w:w="571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1.遵守GAP：严格执行良好水产养殖规范，建立投入品购买和使用台账。2.减量用药：优先使用环境友好型渔药和微生物制剂，严格遵守休药期规定，减少抗生素等化学品使用。3.精准投喂：使用智能投喂设备，减少饲料残饵，提高饲料利用率。</w:t>
            </w:r>
          </w:p>
        </w:tc>
        <w:tc>
          <w:tcPr>
            <w:tcW w:w="835"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实施主体</w:t>
            </w:r>
          </w:p>
        </w:tc>
        <w:tc>
          <w:tcPr>
            <w:tcW w:w="1389"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县（市、区）</w:t>
            </w:r>
            <w:r>
              <w:rPr>
                <w:rFonts w:hint="eastAsia" w:ascii="仿宋_GB2312" w:hAnsi="仿宋_GB2312" w:eastAsia="仿宋_GB2312" w:cs="仿宋_GB2312"/>
                <w:sz w:val="24"/>
                <w:szCs w:val="24"/>
                <w:lang w:eastAsia="zh-CN"/>
              </w:rPr>
              <w:t>农业农村部门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3. 固体废弃物（病死水产动物、废弃包装物、污泥）</w:t>
            </w:r>
          </w:p>
        </w:tc>
        <w:tc>
          <w:tcPr>
            <w:tcW w:w="571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1.无害化处理：病死水产动物须按规定进行无害化处理（如深埋、化制等），不得随意丢弃。2.分类收集：兽药等危险废弃物包装物应单独收集，交由有资质的单位处理。3.资源化利用：尾水处理设施产生的污泥，经无害化处理后可作为农肥安全利用。</w:t>
            </w:r>
          </w:p>
        </w:tc>
        <w:tc>
          <w:tcPr>
            <w:tcW w:w="835"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实施主体</w:t>
            </w:r>
          </w:p>
        </w:tc>
        <w:tc>
          <w:tcPr>
            <w:tcW w:w="1389"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县（市、区）</w:t>
            </w:r>
            <w:r>
              <w:rPr>
                <w:rFonts w:hint="eastAsia" w:ascii="仿宋_GB2312" w:hAnsi="仿宋_GB2312" w:eastAsia="仿宋_GB2312" w:cs="仿宋_GB2312"/>
                <w:sz w:val="24"/>
                <w:szCs w:val="24"/>
                <w:lang w:eastAsia="zh-CN"/>
              </w:rPr>
              <w:t>农业农村部门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4. 能源与资源消耗</w:t>
            </w:r>
          </w:p>
        </w:tc>
        <w:tc>
          <w:tcPr>
            <w:tcW w:w="571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1.选用节能型水泵、增氧机等设备。2.利用太阳能等可再生能源为监测设备供电。</w:t>
            </w:r>
          </w:p>
        </w:tc>
        <w:tc>
          <w:tcPr>
            <w:tcW w:w="835"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实施主体</w:t>
            </w:r>
          </w:p>
        </w:tc>
        <w:tc>
          <w:tcPr>
            <w:tcW w:w="1389"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（鼓励措施）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5. 社区关系与工人安全</w:t>
            </w:r>
          </w:p>
        </w:tc>
        <w:tc>
          <w:tcPr>
            <w:tcW w:w="5713"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1.保持养殖区及周边环境整洁，避免异味、噪声扰民。2.为长期雇佣的养殖工人提供必要的劳动保护和安全培训。3. 承诺项目设施在非生产敏感期对外开放参观学习。</w:t>
            </w:r>
          </w:p>
        </w:tc>
        <w:tc>
          <w:tcPr>
            <w:tcW w:w="835"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实施主体</w:t>
            </w:r>
          </w:p>
        </w:tc>
        <w:tc>
          <w:tcPr>
            <w:tcW w:w="1389" w:type="dxa"/>
            <w:shd w:val="clear" w:color="auto" w:fill="auto"/>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rPr>
              <w:t>县（市、区）</w:t>
            </w:r>
            <w:r>
              <w:rPr>
                <w:rFonts w:hint="eastAsia" w:ascii="仿宋_GB2312" w:hAnsi="仿宋_GB2312" w:eastAsia="仿宋_GB2312" w:cs="仿宋_GB2312"/>
                <w:sz w:val="24"/>
                <w:szCs w:val="24"/>
                <w:lang w:eastAsia="zh-CN"/>
              </w:rPr>
              <w:t>农业农村部门</w:t>
            </w:r>
          </w:p>
        </w:tc>
      </w:tr>
    </w:tbl>
    <w:p>
      <w:pPr>
        <w:snapToGrid/>
        <w:spacing w:line="360" w:lineRule="auto"/>
        <w:ind w:firstLine="640" w:firstLineChars="200"/>
        <w:jc w:val="center"/>
        <w:rPr>
          <w:rFonts w:hint="eastAsia" w:ascii="仿宋" w:hAnsi="仿宋" w:eastAsia="仿宋" w:cs="仿宋"/>
          <w:color w:val="auto"/>
          <w:sz w:val="32"/>
          <w:szCs w:val="32"/>
          <w:highlight w:val="none"/>
          <w:lang w:val="en-US" w:eastAsia="zh-CN"/>
        </w:rPr>
      </w:pPr>
    </w:p>
    <w:p>
      <w:pPr>
        <w:snapToGrid/>
        <w:spacing w:beforeLines="0" w:afterLines="0"/>
        <w:ind w:firstLine="642" w:firstLineChars="200"/>
        <w:outlineLvl w:val="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三、环境监测要求</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1.施工期：实施主体/施工单位应进行自我监督，重点检查抑尘、降噪、废水处置等措施落实情况。监理机构应在监理报告中记录环境管理情况。</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2.运营期：</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强制性监测：必须按照项目验收和运维监督要求，委托有资质的第三方检测机构对养殖尾水进行定期检测，以及委托第三方检测机构养殖水产品质量进行出场检测，接受农业主管部门的例行检测或抽检，以验证尾水和水产品质量达标情况。检测频率和指标按有关主管部门规定执行。</w:t>
      </w:r>
    </w:p>
    <w:p>
      <w:pPr>
        <w:snapToGrid/>
        <w:spacing w:line="360" w:lineRule="auto"/>
        <w:ind w:firstLine="640" w:firstLineChars="200"/>
        <w:rPr>
          <w:rFonts w:hint="eastAsia"/>
        </w:rPr>
      </w:pPr>
      <w:r>
        <w:rPr>
          <w:rFonts w:hint="eastAsia" w:ascii="仿宋" w:hAnsi="仿宋" w:eastAsia="仿宋" w:cs="仿宋"/>
          <w:color w:val="auto"/>
          <w:sz w:val="32"/>
          <w:szCs w:val="32"/>
          <w:highlight w:val="none"/>
          <w:lang w:val="en-US" w:eastAsia="zh-CN"/>
        </w:rPr>
        <w:t>自我监测：鼓励实施主体利用安装的在线水质监测设备，对尾水排放口的关键指标（如pH、</w:t>
      </w:r>
      <w:r>
        <w:rPr>
          <w:rFonts w:hint="eastAsia" w:ascii="仿宋" w:hAnsi="仿宋" w:eastAsia="仿宋" w:cs="仿宋"/>
          <w:i w:val="0"/>
          <w:iCs w:val="0"/>
          <w:caps w:val="0"/>
          <w:color w:val="auto"/>
          <w:spacing w:val="0"/>
          <w:sz w:val="32"/>
          <w:szCs w:val="32"/>
          <w:highlight w:val="none"/>
          <w:shd w:val="clear"/>
          <w:lang w:val="en-US" w:eastAsia="zh-CN"/>
        </w:rPr>
        <w:t>CODMn、总氮、总磷、SS</w:t>
      </w:r>
      <w:r>
        <w:rPr>
          <w:rFonts w:hint="eastAsia" w:ascii="仿宋" w:hAnsi="仿宋" w:eastAsia="仿宋" w:cs="仿宋"/>
          <w:color w:val="auto"/>
          <w:sz w:val="32"/>
          <w:szCs w:val="32"/>
          <w:highlight w:val="none"/>
          <w:lang w:val="en-US" w:eastAsia="zh-CN"/>
        </w:rPr>
        <w:t>等）进行日常监测和记录。实施主体在水产品上市流通前，要按国家有关规定开展自检和记录。</w:t>
      </w:r>
    </w:p>
    <w:p>
      <w:pPr>
        <w:snapToGrid/>
        <w:spacing w:beforeLines="0" w:afterLines="0"/>
        <w:ind w:firstLine="642" w:firstLineChars="200"/>
        <w:outlineLvl w:val="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四、机构与职责</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实施主体：对本项目环境社会管理的最终结果负总责。负责选择有资质、有经验的施工单位，在施工合同中明确其环境社会责任；负责运营期所有减缓措施的长期落实、记录和报告。</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施工单位：对施工期所有环境社会影响的管理和减缓措施负直接责任，必须严格执行本计划表1中的要求。</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工程监理机构：负责监督施工单位落实施工期环境社会管理措施，并在监理月报中设立专门章节记录环境社会管理情况。</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县（市、区）农业农村部门：负责对实施主体和施工单位的环境社会管理履行情况进行日常监督和抽查。</w:t>
      </w:r>
    </w:p>
    <w:p>
      <w:pPr>
        <w:snapToGrid/>
        <w:spacing w:beforeLines="0" w:afterLines="0"/>
        <w:ind w:firstLine="642" w:firstLineChars="200"/>
        <w:outlineLvl w:val="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五、培训与意识提升</w:t>
      </w:r>
    </w:p>
    <w:p>
      <w:pPr>
        <w:snapToGrid/>
        <w:spacing w:line="360" w:lineRule="auto"/>
        <w:ind w:firstLine="640" w:firstLineChars="200"/>
        <w:rPr>
          <w:rFonts w:hint="eastAsia"/>
        </w:rPr>
      </w:pPr>
      <w:r>
        <w:rPr>
          <w:rFonts w:hint="eastAsia" w:ascii="仿宋" w:hAnsi="仿宋" w:eastAsia="仿宋" w:cs="仿宋"/>
          <w:color w:val="auto"/>
          <w:sz w:val="32"/>
          <w:szCs w:val="32"/>
          <w:highlight w:val="none"/>
          <w:lang w:val="en-US" w:eastAsia="zh-CN"/>
        </w:rPr>
        <w:t>实施主体和施工单位的主要管理人员应接受本项目组织的环境社会管理、良好水产养殖规范（GAP）和安全生产方面的培训。</w:t>
      </w:r>
    </w:p>
    <w:p>
      <w:pPr>
        <w:snapToGrid/>
        <w:spacing w:beforeLines="0" w:afterLines="0"/>
        <w:ind w:firstLine="642" w:firstLineChars="200"/>
        <w:outlineLvl w:val="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六、记录、报告与申诉</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1.记录：实施主体应保存施工合同（含环保条款）、监理报告、投入品台账、尾水与产品检测报告、设施运维记录等至少3年。</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2.报告：实施主体应按要求向县（市、区）农业农村部门报告与环境社会管理相关的重大事项。</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3.申诉：社区成员或工人如发现项目存在环境破坏、安全问题或不公平对待，可通过以下渠道反映：</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向实施主体负责人直接反映。</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向项目所在地的县（市、区）农业农村部门反映（联系方式：</w:t>
      </w:r>
      <w:r>
        <w:rPr>
          <w:rFonts w:hint="eastAsia" w:ascii="仿宋" w:hAnsi="仿宋" w:eastAsia="仿宋" w:cs="仿宋"/>
          <w:i/>
          <w:iCs/>
          <w:color w:val="auto"/>
          <w:sz w:val="32"/>
          <w:szCs w:val="32"/>
          <w:highlight w:val="none"/>
          <w:lang w:val="en-US" w:eastAsia="zh-CN"/>
        </w:rPr>
        <w:t>[由县级部门公布]</w:t>
      </w:r>
      <w:r>
        <w:rPr>
          <w:rFonts w:hint="eastAsia" w:ascii="仿宋" w:hAnsi="仿宋" w:eastAsia="仿宋" w:cs="仿宋"/>
          <w:color w:val="auto"/>
          <w:sz w:val="32"/>
          <w:szCs w:val="32"/>
          <w:highlight w:val="none"/>
          <w:lang w:val="en-US" w:eastAsia="zh-CN"/>
        </w:rPr>
        <w:t>）。</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向地级以上市农业农村部门反映（联系方式：</w:t>
      </w:r>
      <w:r>
        <w:rPr>
          <w:rFonts w:hint="eastAsia" w:ascii="仿宋" w:hAnsi="仿宋" w:eastAsia="仿宋" w:cs="仿宋"/>
          <w:i/>
          <w:iCs/>
          <w:color w:val="auto"/>
          <w:sz w:val="32"/>
          <w:szCs w:val="32"/>
          <w:highlight w:val="none"/>
          <w:lang w:val="en-US" w:eastAsia="zh-CN"/>
        </w:rPr>
        <w:t>[由市级部门公布]</w:t>
      </w:r>
      <w:r>
        <w:rPr>
          <w:rFonts w:hint="eastAsia" w:ascii="仿宋" w:hAnsi="仿宋" w:eastAsia="仿宋" w:cs="仿宋"/>
          <w:color w:val="auto"/>
          <w:sz w:val="32"/>
          <w:szCs w:val="32"/>
          <w:highlight w:val="none"/>
          <w:lang w:val="en-US" w:eastAsia="zh-CN"/>
        </w:rPr>
        <w:t>）。</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所有申诉应得到及时和透明的处理与反馈。</w:t>
      </w:r>
    </w:p>
    <w:p>
      <w:pPr>
        <w:rPr>
          <w:rFonts w:hint="eastAsia"/>
        </w:rPr>
      </w:pPr>
    </w:p>
    <w:p>
      <w:pPr>
        <w:rPr>
          <w:rFonts w:hint="eastAsia"/>
        </w:rPr>
      </w:pPr>
      <w:r>
        <w:rPr>
          <w:rFonts w:hint="eastAsia"/>
        </w:rPr>
        <w:t>---------------------------------------------------------------------------------------------------------------------------------</w:t>
      </w:r>
    </w:p>
    <w:p>
      <w:pPr>
        <w:rPr>
          <w:rFonts w:hint="eastAsia"/>
        </w:rPr>
      </w:pPr>
    </w:p>
    <w:p>
      <w:pPr>
        <w:snapToGrid/>
        <w:spacing w:line="36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实施主体承诺：</w:t>
      </w:r>
    </w:p>
    <w:p>
      <w:pPr>
        <w:snapToGrid/>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我方已阅读并理解本《通用环境社会管理计划》的全部内容，承诺在项目的设计、施工和运营全过程中，积极履行上述环境与社会责任，落实相关减缓措施，并接受各级农业农村部门及相关机构的监督。</w:t>
      </w:r>
    </w:p>
    <w:p>
      <w:pPr>
        <w:snapToGrid/>
        <w:spacing w:line="360" w:lineRule="auto"/>
        <w:ind w:firstLine="640" w:firstLineChars="200"/>
        <w:rPr>
          <w:rFonts w:hint="eastAsia" w:ascii="仿宋" w:hAnsi="仿宋" w:eastAsia="仿宋" w:cs="仿宋"/>
          <w:color w:val="auto"/>
          <w:sz w:val="32"/>
          <w:szCs w:val="32"/>
          <w:highlight w:val="none"/>
          <w:lang w:val="en-US" w:eastAsia="zh-CN"/>
        </w:rPr>
      </w:pPr>
    </w:p>
    <w:p>
      <w:pPr>
        <w:snapToGrid/>
        <w:spacing w:line="360" w:lineRule="auto"/>
        <w:ind w:firstLine="640" w:firstLineChars="200"/>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实施主体（盖章）：</w:t>
      </w:r>
    </w:p>
    <w:p>
      <w:pPr>
        <w:snapToGrid/>
        <w:spacing w:line="360" w:lineRule="auto"/>
        <w:ind w:firstLine="640" w:firstLineChars="200"/>
        <w:jc w:val="righ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法定代表人（或授权代表）签字：</w:t>
      </w:r>
    </w:p>
    <w:p>
      <w:pPr>
        <w:snapToGrid/>
        <w:spacing w:line="360" w:lineRule="auto"/>
        <w:ind w:firstLine="640" w:firstLineChars="200"/>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年   月   日</w:t>
      </w:r>
    </w:p>
    <w:p>
      <w:pPr>
        <w:jc w:val="right"/>
        <w:rPr>
          <w:rFonts w:hint="eastAsia"/>
          <w:lang w:eastAsia="zh-CN"/>
        </w:rPr>
      </w:pPr>
    </w:p>
    <w:sectPr>
      <w:footerReference r:id="rId4" w:type="default"/>
      <w:pgSz w:w="11906" w:h="16838"/>
      <w:pgMar w:top="1871"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rPr>
          <w:rFonts w:hint="eastAsia" w:eastAsiaTheme="minorEastAsia"/>
          <w:lang w:eastAsia="zh-CN"/>
        </w:rPr>
      </w:pPr>
      <w:r>
        <w:rPr>
          <w:rStyle w:val="9"/>
        </w:rPr>
        <w:footnoteRef/>
      </w:r>
      <w:r>
        <w:t xml:space="preserve"> </w:t>
      </w:r>
      <w:r>
        <w:rPr>
          <w:rFonts w:hint="eastAsia"/>
        </w:rPr>
        <w:t>本文件为示例，实施主体可根据具体项目特点，在本框架基础上进行细化，但不得降低管理要求。</w:t>
      </w:r>
    </w:p>
    <w:p>
      <w:pPr>
        <w:pStyle w:val="5"/>
        <w:snapToGrid w:val="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99"/>
    <w:multiLevelType w:val="multilevel"/>
    <w:tmpl w:val="00000099"/>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decimal"/>
      <w:pStyle w:val="2"/>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55D61"/>
    <w:rsid w:val="07455D61"/>
    <w:rsid w:val="134B75F2"/>
    <w:rsid w:val="18C80CC5"/>
    <w:rsid w:val="1A247F11"/>
    <w:rsid w:val="1E734276"/>
    <w:rsid w:val="205A6C49"/>
    <w:rsid w:val="26F32175"/>
    <w:rsid w:val="2A4247C4"/>
    <w:rsid w:val="3D670DD2"/>
    <w:rsid w:val="45E8583B"/>
    <w:rsid w:val="5CA93F99"/>
    <w:rsid w:val="5FCA3265"/>
    <w:rsid w:val="72BD2C86"/>
    <w:rsid w:val="78940B62"/>
    <w:rsid w:val="7BF78F15"/>
    <w:rsid w:val="7C72153E"/>
    <w:rsid w:val="A5DFF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numPr>
        <w:ilvl w:val="2"/>
        <w:numId w:val="1"/>
      </w:numPr>
      <w:spacing w:line="360" w:lineRule="auto"/>
      <w:outlineLvl w:val="2"/>
    </w:pPr>
    <w:rPr>
      <w:rFonts w:eastAsia="仿宋_GB2312"/>
      <w:b/>
      <w:sz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helison</Company>
  <Pages>7</Pages>
  <Words>2861</Words>
  <Characters>3093</Characters>
  <Lines>0</Lines>
  <Paragraphs>0</Paragraphs>
  <TotalTime>4</TotalTime>
  <ScaleCrop>false</ScaleCrop>
  <LinksUpToDate>false</LinksUpToDate>
  <CharactersWithSpaces>3131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2025-12-30T01:44:00Z</dcterms:created>
  <dc:creator>lkl</dc:creator>
  <cp:lastModifiedBy>greatwall</cp:lastModifiedBy>
  <dcterms:modified xsi:type="dcterms:W3CDTF">2026-07-13T14:50:10Z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0C511DD77B234C87BD38B67A9D234C2E</vt:lpwstr>
  </property>
  <property fmtid="{D5CDD505-2E9C-101B-9397-08002B2CF9AE}" pid="4" name="KSOTemplateDocerSaveRecord">
    <vt:lpwstr>eyJoZGlkIjoiZjVjYzE1OTRjOGQzMWQ5ZTk3ZTFiNDIwMjliMjA2OTEiLCJ1c2VySWQiOiIxMTQ5Mzc1NTM2In0=</vt:lpwstr>
  </property>
</Properties>
</file>