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w:t>
      </w:r>
      <w:r>
        <w:rPr>
          <w:rFonts w:hint="eastAsia" w:ascii="宋体" w:hAnsi="宋体" w:eastAsia="宋体" w:cs="宋体"/>
          <w:b/>
          <w:color w:val="000000" w:themeColor="text1"/>
          <w:sz w:val="44"/>
          <w:szCs w:val="44"/>
          <w:shd w:val="clear" w:color="auto" w:fill="FFFFFF"/>
          <w:lang w:val="en-US" w:eastAsia="zh-CN"/>
          <w14:textFill>
            <w14:solidFill>
              <w14:schemeClr w14:val="tx1"/>
            </w14:solidFill>
          </w14:textFill>
        </w:rPr>
        <w:t>6</w:t>
      </w:r>
      <w:r>
        <w:rPr>
          <w:rFonts w:hint="eastAsia" w:ascii="宋体" w:hAnsi="宋体" w:eastAsia="宋体" w:cs="宋体"/>
          <w:b/>
          <w:color w:val="000000" w:themeColor="text1"/>
          <w:sz w:val="44"/>
          <w:szCs w:val="44"/>
          <w:shd w:val="clear" w:color="auto" w:fill="FFFFFF"/>
          <w14:textFill>
            <w14:solidFill>
              <w14:schemeClr w14:val="tx1"/>
            </w14:solidFill>
          </w14:textFill>
        </w:rPr>
        <w:t>年档案整理</w:t>
      </w:r>
      <w:r>
        <w:rPr>
          <w:rFonts w:ascii="宋体" w:hAnsi="宋体" w:eastAsia="宋体" w:cs="宋体"/>
          <w:b/>
          <w:color w:val="000000" w:themeColor="text1"/>
          <w:sz w:val="44"/>
          <w:szCs w:val="44"/>
          <w:shd w:val="clear" w:color="auto" w:fill="FFFFFF"/>
          <w14:textFill>
            <w14:solidFill>
              <w14:schemeClr w14:val="tx1"/>
            </w14:solidFill>
          </w14:textFill>
        </w:rPr>
        <w:br w:type="textWrapping"/>
      </w:r>
      <w:r>
        <w:rPr>
          <w:rFonts w:hint="eastAsia" w:ascii="宋体" w:hAnsi="宋体" w:eastAsia="宋体" w:cs="宋体"/>
          <w:b/>
          <w:color w:val="000000" w:themeColor="text1"/>
          <w:sz w:val="44"/>
          <w:szCs w:val="44"/>
          <w:shd w:val="clear" w:color="auto" w:fill="FFFFFF"/>
          <w14:textFill>
            <w14:solidFill>
              <w14:schemeClr w14:val="tx1"/>
            </w14:solidFill>
          </w14:textFill>
        </w:rPr>
        <w:t>及数字化加工社会购买服务合同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themeColor="text1"/>
          <w:sz w:val="28"/>
          <w:szCs w:val="28"/>
          <w:u w:val="single"/>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bCs/>
          <w:color w:val="000000" w:themeColor="text1"/>
          <w:sz w:val="28"/>
          <w:szCs w:val="28"/>
          <w:u w:val="single"/>
          <w14:textFill>
            <w14:solidFill>
              <w14:schemeClr w14:val="tx1"/>
            </w14:solidFill>
          </w14:textFill>
        </w:rPr>
        <w:t>江门市市场监督管理局</w:t>
      </w:r>
    </w:p>
    <w:p>
      <w:pPr>
        <w:spacing w:line="480" w:lineRule="exact"/>
        <w:rPr>
          <w:rFonts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地址：  </w:t>
      </w:r>
      <w:r>
        <w:rPr>
          <w:rFonts w:hint="eastAsia" w:ascii="仿宋" w:hAnsi="仿宋" w:eastAsia="仿宋" w:cs="仿宋"/>
          <w:color w:val="000000" w:themeColor="text1"/>
          <w:sz w:val="28"/>
          <w:szCs w:val="28"/>
          <w:u w:val="single"/>
          <w14:textFill>
            <w14:solidFill>
              <w14:schemeClr w14:val="tx1"/>
            </w14:solidFill>
          </w14:textFill>
        </w:rPr>
        <w:t>江门市东华二路7号</w:t>
      </w:r>
    </w:p>
    <w:p>
      <w:pPr>
        <w:spacing w:line="48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spacing w:line="480" w:lineRule="exact"/>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电话： </w:t>
      </w:r>
    </w:p>
    <w:p>
      <w:pPr>
        <w:spacing w:line="48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spacing w:line="480" w:lineRule="exact"/>
        <w:rPr>
          <w:rFonts w:hint="eastAsia" w:ascii="仿宋" w:hAnsi="仿宋" w:eastAsia="仿宋" w:cs="仿宋"/>
          <w:color w:val="000000" w:themeColor="text1"/>
          <w:sz w:val="28"/>
          <w:szCs w:val="28"/>
          <w:lang w:val="en" w:eastAsia="zh-CN"/>
          <w14:textFill>
            <w14:solidFill>
              <w14:schemeClr w14:val="tx1"/>
            </w14:solidFill>
          </w14:textFill>
        </w:rPr>
      </w:pPr>
      <w:r>
        <w:rPr>
          <w:rFonts w:hint="eastAsia" w:ascii="仿宋" w:hAnsi="仿宋" w:eastAsia="仿宋" w:cs="仿宋"/>
          <w:b/>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spacing w:line="480" w:lineRule="exact"/>
        <w:ind w:left="1120" w:hanging="1120" w:hangingChars="400"/>
        <w:rPr>
          <w:rFonts w:hint="eastAsia" w:ascii="仿宋" w:hAnsi="仿宋" w:eastAsia="仿宋" w:cs="仿宋"/>
          <w:color w:val="000000" w:themeColor="text1"/>
          <w:sz w:val="28"/>
          <w:szCs w:val="28"/>
          <w:lang w:val="en"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地址：</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spacing w:line="48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联系人：</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widowControl/>
        <w:spacing w:line="480" w:lineRule="exact"/>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电话： </w:t>
      </w:r>
      <w:r>
        <w:rPr>
          <w:rFonts w:hint="eastAsia" w:ascii="仿宋" w:hAnsi="仿宋" w:eastAsia="仿宋" w:cs="仿宋"/>
          <w:color w:val="000000" w:themeColor="text1"/>
          <w:sz w:val="28"/>
          <w:szCs w:val="28"/>
          <w:lang w:val="en-US" w:eastAsia="zh-CN"/>
          <w14:textFill>
            <w14:solidFill>
              <w14:schemeClr w14:val="tx1"/>
            </w14:solidFill>
          </w14:textFill>
        </w:rPr>
        <w:t xml:space="preserve"> </w:t>
      </w:r>
    </w:p>
    <w:p>
      <w:pPr>
        <w:widowControl/>
        <w:spacing w:before="312" w:beforeLines="100" w:line="480" w:lineRule="exact"/>
        <w:ind w:firstLine="560" w:firstLineChars="200"/>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甲、乙双方根据“江门市市场监督管理局202</w:t>
      </w:r>
      <w:r>
        <w:rPr>
          <w:rFonts w:hint="eastAsia" w:ascii="仿宋" w:hAnsi="仿宋" w:eastAsia="仿宋" w:cs="仿宋"/>
          <w:color w:val="000000" w:themeColor="text1"/>
          <w:sz w:val="28"/>
          <w:szCs w:val="28"/>
          <w:lang w:val="en-US" w:eastAsia="zh-CN"/>
          <w14:textFill>
            <w14:solidFill>
              <w14:schemeClr w14:val="tx1"/>
            </w14:solidFill>
          </w14:textFill>
        </w:rPr>
        <w:t>6</w:t>
      </w:r>
      <w:r>
        <w:rPr>
          <w:rFonts w:hint="eastAsia" w:ascii="仿宋" w:hAnsi="仿宋" w:eastAsia="仿宋" w:cs="仿宋"/>
          <w:color w:val="000000" w:themeColor="text1"/>
          <w:sz w:val="28"/>
          <w:szCs w:val="28"/>
          <w14:textFill>
            <w14:solidFill>
              <w14:schemeClr w14:val="tx1"/>
            </w14:solidFill>
          </w14:textFill>
        </w:rPr>
        <w:t>年档案整理及数字化加工社会购买服务项目”（项目编号：</w:t>
      </w:r>
      <w:r>
        <w:rPr>
          <w:rFonts w:hint="eastAsia" w:ascii="仿宋" w:hAnsi="仿宋" w:eastAsia="仿宋" w:cs="仿宋"/>
          <w:color w:val="000000" w:themeColor="text1"/>
          <w:sz w:val="28"/>
          <w:szCs w:val="28"/>
          <w:lang w:val="en-US" w:eastAsia="zh-CN"/>
          <w14:textFill>
            <w14:solidFill>
              <w14:schemeClr w14:val="tx1"/>
            </w14:solidFill>
          </w14:textFill>
        </w:rPr>
        <w:t>2026032</w:t>
      </w:r>
      <w:r>
        <w:rPr>
          <w:rFonts w:hint="eastAsia" w:ascii="仿宋" w:hAnsi="仿宋" w:eastAsia="仿宋" w:cs="仿宋"/>
          <w:color w:val="000000" w:themeColor="text1"/>
          <w:sz w:val="28"/>
          <w:szCs w:val="28"/>
          <w:lang w:val="en"/>
          <w14:textFill>
            <w14:solidFill>
              <w14:schemeClr w14:val="tx1"/>
            </w14:solidFill>
          </w14:textFill>
        </w:rPr>
        <w:t>）</w:t>
      </w:r>
      <w:r>
        <w:rPr>
          <w:rFonts w:hint="eastAsia" w:ascii="仿宋" w:hAnsi="仿宋" w:eastAsia="仿宋" w:cs="仿宋"/>
          <w:color w:val="000000" w:themeColor="text1"/>
          <w:sz w:val="28"/>
          <w:szCs w:val="28"/>
          <w14:textFill>
            <w14:solidFill>
              <w14:schemeClr w14:val="tx1"/>
            </w14:solidFill>
          </w14:textFill>
        </w:rPr>
        <w:t xml:space="preserve">（以下简称项目）的采购公告、项目采购结果公告的要求，依据《中华人民共和国民法典》《中华人民共和国政府采购法》及其实施条例等相关法律法规的规定，经双方协商，本着平等、自愿、公平和诚实信用的原则，一致同意签订本合同如下： </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第一条  项目内容 、要求、时间、地点</w:t>
      </w:r>
    </w:p>
    <w:p>
      <w:pPr>
        <w:pStyle w:val="14"/>
        <w:widowControl/>
        <w:spacing w:line="480" w:lineRule="exact"/>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（一）乙方负责整理以下档案内容：</w:t>
      </w:r>
    </w:p>
    <w:p>
      <w:pPr>
        <w:pStyle w:val="14"/>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1．</w:t>
      </w:r>
      <w:r>
        <w:rPr>
          <w:rFonts w:hint="eastAsia" w:ascii="仿宋" w:hAnsi="仿宋" w:eastAsia="仿宋" w:cs="仿宋"/>
          <w:color w:val="000000" w:themeColor="text1"/>
          <w:kern w:val="2"/>
          <w:sz w:val="28"/>
          <w:szCs w:val="28"/>
          <w:lang w:val="en-US" w:eastAsia="zh-CN"/>
          <w14:textFill>
            <w14:solidFill>
              <w14:schemeClr w14:val="tx1"/>
            </w14:solidFill>
          </w14:textFill>
        </w:rPr>
        <w:t>2025年度纸质文书档案约5300件（包括永久、30年、10年），整理项目包括：打印文件、档案分类、保管期限分类、组件排序、单份文件装订、打码、编号、数字化加工扫描、编目、泰坦系统条目录入、打印目录、装订目录、装盒、刻录光盘、上架等。</w:t>
      </w:r>
    </w:p>
    <w:p>
      <w:pPr>
        <w:pStyle w:val="14"/>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2．</w:t>
      </w:r>
      <w:r>
        <w:rPr>
          <w:rFonts w:hint="eastAsia" w:ascii="仿宋" w:hAnsi="仿宋" w:eastAsia="仿宋" w:cs="仿宋"/>
          <w:color w:val="000000" w:themeColor="text1"/>
          <w:kern w:val="2"/>
          <w:sz w:val="28"/>
          <w:szCs w:val="28"/>
          <w:lang w:val="en-US" w:eastAsia="zh-CN"/>
          <w14:textFill>
            <w14:solidFill>
              <w14:schemeClr w14:val="tx1"/>
            </w14:solidFill>
          </w14:textFill>
        </w:rPr>
        <w:t>企业登记纸质档案整理约3600卷，整理项目包括：起钉、托纸、分类、扫描、排序、挂接（包括对扫描资料进行检查、设置级别、图像纠偏、去噪等图像处理）、装订、条形码录入管理、质检、档案盒条形码编号、打印封面、入盒、上架等。</w:t>
      </w:r>
    </w:p>
    <w:p>
      <w:pPr>
        <w:pStyle w:val="14"/>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3．</w:t>
      </w:r>
      <w:r>
        <w:rPr>
          <w:rFonts w:hint="eastAsia" w:ascii="仿宋" w:hAnsi="仿宋" w:eastAsia="仿宋" w:cs="仿宋"/>
          <w:color w:val="000000" w:themeColor="text1"/>
          <w:kern w:val="2"/>
          <w:sz w:val="28"/>
          <w:szCs w:val="28"/>
          <w:lang w:val="en-US" w:eastAsia="zh-CN"/>
          <w14:textFill>
            <w14:solidFill>
              <w14:schemeClr w14:val="tx1"/>
            </w14:solidFill>
          </w14:textFill>
        </w:rPr>
        <w:t>其他专业档案整理约800卷，整理项目包括：起钉、托纸、打页码、分类、扫描、装订、档案盒的编号、打印封面、入盒、编目、泰坦系统条目录入、打印目录、装订目录、刻录光盘和上架等。</w:t>
      </w:r>
    </w:p>
    <w:p>
      <w:pPr>
        <w:pStyle w:val="14"/>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4．</w:t>
      </w:r>
      <w:r>
        <w:rPr>
          <w:rFonts w:hint="eastAsia" w:ascii="仿宋" w:hAnsi="仿宋" w:eastAsia="仿宋" w:cs="仿宋"/>
          <w:color w:val="000000" w:themeColor="text1"/>
          <w:kern w:val="2"/>
          <w:sz w:val="28"/>
          <w:szCs w:val="28"/>
          <w:lang w:val="en-US" w:eastAsia="zh-CN"/>
          <w14:textFill>
            <w14:solidFill>
              <w14:schemeClr w14:val="tx1"/>
            </w14:solidFill>
          </w14:textFill>
        </w:rPr>
        <w:t>人事档案辅助整理220本，委托项目包括：装订、裱糊等技术性、辅助性服务事项。</w:t>
      </w:r>
    </w:p>
    <w:p>
      <w:pPr>
        <w:pStyle w:val="14"/>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5．</w:t>
      </w:r>
      <w:r>
        <w:rPr>
          <w:rFonts w:hint="eastAsia" w:ascii="仿宋" w:hAnsi="仿宋" w:eastAsia="仿宋" w:cs="仿宋"/>
          <w:color w:val="000000" w:themeColor="text1"/>
          <w:kern w:val="2"/>
          <w:sz w:val="28"/>
          <w:szCs w:val="28"/>
          <w:lang w:val="en-US" w:eastAsia="zh-CN"/>
          <w14:textFill>
            <w14:solidFill>
              <w14:schemeClr w14:val="tx1"/>
            </w14:solidFill>
          </w14:textFill>
        </w:rPr>
        <w:t>党员档案辅助整理15本，整理项目包括：起钉、打码、装订、打印目录、装盒等辅助性服务事项。</w:t>
      </w:r>
    </w:p>
    <w:p>
      <w:pPr>
        <w:pStyle w:val="14"/>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6．</w:t>
      </w:r>
      <w:r>
        <w:rPr>
          <w:rFonts w:hint="eastAsia" w:ascii="仿宋" w:hAnsi="仿宋" w:eastAsia="仿宋" w:cs="仿宋"/>
          <w:color w:val="000000" w:themeColor="text1"/>
          <w:kern w:val="2"/>
          <w:sz w:val="28"/>
          <w:szCs w:val="28"/>
          <w:lang w:val="en-US" w:eastAsia="zh-CN"/>
          <w14:textFill>
            <w14:solidFill>
              <w14:schemeClr w14:val="tx1"/>
            </w14:solidFill>
          </w14:textFill>
        </w:rPr>
        <w:t>荣誉档案2件，单价15元/件，整理项目包括：分类、编号、入盒、编目、泰坦系统条目录入、打印目录、上架等。</w:t>
      </w:r>
    </w:p>
    <w:p>
      <w:pPr>
        <w:pStyle w:val="14"/>
        <w:widowControl/>
        <w:spacing w:line="480" w:lineRule="exact"/>
        <w:ind w:firstLine="560" w:firstLineChars="200"/>
        <w:rPr>
          <w:rFonts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14:textFill>
            <w14:solidFill>
              <w14:schemeClr w14:val="tx1"/>
            </w14:solidFill>
          </w14:textFill>
        </w:rPr>
        <w:t>7．以上档案整理包含档案用品使用的不锈钢钉、档案专用胶水、人事档案盒、其他耗材等（文书、专业档案纸质档案盒、光盘、目录夹和目录纸除外）。</w:t>
      </w:r>
    </w:p>
    <w:p>
      <w:pPr>
        <w:pStyle w:val="2"/>
        <w:spacing w:line="480" w:lineRule="exact"/>
        <w:ind w:firstLine="560"/>
        <w:rPr>
          <w:rFonts w:ascii="仿宋" w:hAnsi="仿宋" w:eastAsia="仿宋"/>
          <w:color w:val="000000" w:themeColor="text1"/>
          <w:kern w:val="0"/>
          <w:sz w:val="28"/>
          <w:szCs w:val="28"/>
          <w14:textFill>
            <w14:solidFill>
              <w14:schemeClr w14:val="tx1"/>
            </w14:solidFill>
          </w14:textFill>
        </w:rPr>
      </w:pPr>
      <w:r>
        <w:rPr>
          <w:rFonts w:hint="eastAsia" w:ascii="仿宋" w:hAnsi="仿宋" w:eastAsia="仿宋"/>
          <w:color w:val="000000" w:themeColor="text1"/>
          <w:kern w:val="0"/>
          <w:sz w:val="28"/>
          <w:szCs w:val="28"/>
          <w14:textFill>
            <w14:solidFill>
              <w14:schemeClr w14:val="tx1"/>
            </w14:solidFill>
          </w14:textFill>
        </w:rPr>
        <w:t>（二）服务要求</w:t>
      </w:r>
    </w:p>
    <w:p>
      <w:pPr>
        <w:widowControl/>
        <w:spacing w:line="480" w:lineRule="exact"/>
        <w:ind w:firstLine="560" w:firstLineChars="200"/>
        <w:jc w:val="lef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乙方应当按照国家、广东省、江门市档案管理的要求、标准以及《关于转发&lt;广东省档案局关于DA/T22-2015归档文件整理规则的贯彻意见&gt;的通知》（江</w:t>
      </w:r>
      <w:r>
        <w:rPr>
          <w:rFonts w:hint="eastAsia" w:ascii="仿宋" w:hAnsi="仿宋" w:eastAsia="仿宋" w:cs="仿宋"/>
          <w:color w:val="000000" w:themeColor="text1"/>
          <w:sz w:val="28"/>
          <w:szCs w:val="28"/>
          <w:highlight w:val="none"/>
          <w14:textFill>
            <w14:solidFill>
              <w14:schemeClr w14:val="tx1"/>
            </w14:solidFill>
          </w14:textFill>
        </w:rPr>
        <w:t>档〔2016〕82号）、</w:t>
      </w:r>
      <w:r>
        <w:rPr>
          <w:rFonts w:hint="eastAsia" w:ascii="仿宋" w:hAnsi="仿宋" w:eastAsia="仿宋" w:cs="仿宋"/>
          <w:color w:val="000000" w:themeColor="text1"/>
          <w:sz w:val="28"/>
          <w:szCs w:val="28"/>
          <w:highlight w:val="none"/>
          <w:shd w:val="clear" w:color="auto" w:fill="FFFFFF"/>
          <w:lang w:bidi="ar"/>
          <w14:textFill>
            <w14:solidFill>
              <w14:schemeClr w14:val="tx1"/>
            </w14:solidFill>
          </w14:textFill>
        </w:rPr>
        <w:t>《纸质档案数字化规范</w:t>
      </w:r>
      <w:r>
        <w:rPr>
          <w:rFonts w:hint="eastAsia" w:ascii="仿宋" w:hAnsi="仿宋" w:eastAsia="仿宋" w:cs="仿宋"/>
          <w:color w:val="000000" w:themeColor="text1"/>
          <w:sz w:val="28"/>
          <w:szCs w:val="28"/>
          <w:highlight w:val="none"/>
          <w:lang w:bidi="ar"/>
          <w14:textFill>
            <w14:solidFill>
              <w14:schemeClr w14:val="tx1"/>
            </w14:solidFill>
          </w14:textFill>
        </w:rPr>
        <w:t>》</w:t>
      </w:r>
      <w:r>
        <w:rPr>
          <w:rFonts w:hint="eastAsia" w:ascii="仿宋" w:hAnsi="仿宋" w:eastAsia="仿宋" w:cs="仿宋"/>
          <w:color w:val="000000" w:themeColor="text1"/>
          <w:sz w:val="28"/>
          <w:szCs w:val="28"/>
          <w:highlight w:val="none"/>
          <w:shd w:val="clear" w:color="auto" w:fill="FFFFFF"/>
          <w:lang w:bidi="ar"/>
          <w14:textFill>
            <w14:solidFill>
              <w14:schemeClr w14:val="tx1"/>
            </w14:solidFill>
          </w14:textFill>
        </w:rPr>
        <w:t>（DA/T31-2017）</w:t>
      </w:r>
      <w:r>
        <w:rPr>
          <w:rFonts w:hint="eastAsia" w:ascii="仿宋" w:hAnsi="仿宋" w:eastAsia="仿宋" w:cs="仿宋"/>
          <w:color w:val="000000" w:themeColor="text1"/>
          <w:sz w:val="28"/>
          <w:szCs w:val="28"/>
          <w:highlight w:val="none"/>
          <w:lang w:bidi="ar"/>
          <w14:textFill>
            <w14:solidFill>
              <w14:schemeClr w14:val="tx1"/>
            </w14:solidFill>
          </w14:textFill>
        </w:rPr>
        <w:t>等要求</w:t>
      </w:r>
      <w:r>
        <w:rPr>
          <w:rFonts w:hint="eastAsia" w:ascii="仿宋" w:hAnsi="仿宋" w:eastAsia="仿宋" w:cs="仿宋"/>
          <w:color w:val="000000" w:themeColor="text1"/>
          <w:sz w:val="28"/>
          <w:szCs w:val="28"/>
          <w:highlight w:val="none"/>
          <w14:textFill>
            <w14:solidFill>
              <w14:schemeClr w14:val="tx1"/>
            </w14:solidFill>
          </w14:textFill>
        </w:rPr>
        <w:t>以及甲方档案归档的有关规定进行整理和数字化加工。</w:t>
      </w:r>
    </w:p>
    <w:p>
      <w:pPr>
        <w:spacing w:line="480" w:lineRule="exact"/>
        <w:rPr>
          <w:rFonts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第二条  合同期限、地点、项目费用及支付方式</w:t>
      </w:r>
    </w:p>
    <w:p>
      <w:pPr>
        <w:numPr>
          <w:ilvl w:val="0"/>
          <w:numId w:val="1"/>
        </w:numPr>
        <w:spacing w:line="480" w:lineRule="exact"/>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乙方向甲方提供服务的合同期限为自合同签订生效之日起至甲、乙双方权利义务履行完毕之日止；</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纸质文书档案整理和数字化加工必须在20</w:t>
      </w:r>
      <w:r>
        <w:rPr>
          <w:rFonts w:hint="eastAsia" w:ascii="仿宋" w:hAnsi="仿宋" w:eastAsia="仿宋" w:cs="仿宋"/>
          <w:color w:val="000000" w:themeColor="text1"/>
          <w:sz w:val="28"/>
          <w:szCs w:val="28"/>
          <w:highlight w:val="none"/>
          <w:shd w:val="clear" w:color="auto" w:fill="FFFFFF"/>
          <w:lang w:val="en-US" w:eastAsia="zh-CN"/>
          <w14:textFill>
            <w14:solidFill>
              <w14:schemeClr w14:val="tx1"/>
            </w14:solidFill>
          </w14:textFill>
        </w:rPr>
        <w:t>26</w:t>
      </w:r>
      <w:r>
        <w:rPr>
          <w:rFonts w:hint="eastAsia" w:ascii="仿宋" w:hAnsi="仿宋" w:eastAsia="仿宋" w:cs="仿宋"/>
          <w:color w:val="000000" w:themeColor="text1"/>
          <w:sz w:val="28"/>
          <w:szCs w:val="28"/>
          <w:highlight w:val="none"/>
          <w:shd w:val="clear" w:color="auto" w:fill="FFFFFF"/>
          <w14:textFill>
            <w14:solidFill>
              <w14:schemeClr w14:val="tx1"/>
            </w14:solidFill>
          </w14:textFill>
        </w:rPr>
        <w:t>年11月30日前完成</w:t>
      </w:r>
      <w:r>
        <w:rPr>
          <w:rFonts w:hint="eastAsia" w:ascii="仿宋" w:hAnsi="仿宋" w:eastAsia="仿宋" w:cs="仿宋"/>
          <w:color w:val="000000" w:themeColor="text1"/>
          <w:sz w:val="28"/>
          <w:szCs w:val="28"/>
          <w:highlight w:val="none"/>
          <w14:textFill>
            <w14:solidFill>
              <w14:schemeClr w14:val="tx1"/>
            </w14:solidFill>
          </w14:textFill>
        </w:rPr>
        <w:t>。</w:t>
      </w:r>
    </w:p>
    <w:p>
      <w:pPr>
        <w:widowControl/>
        <w:numPr>
          <w:ilvl w:val="0"/>
          <w:numId w:val="1"/>
        </w:numPr>
        <w:spacing w:line="480" w:lineRule="exact"/>
        <w:jc w:val="left"/>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乙方为甲方提供档案整理和数字化加工服务的地点为江门市市场监督管理局东华路办公区或星河路办公区内。</w:t>
      </w:r>
    </w:p>
    <w:p>
      <w:pPr>
        <w:numPr>
          <w:ilvl w:val="-1"/>
          <w:numId w:val="0"/>
        </w:numPr>
        <w:spacing w:line="480" w:lineRule="exact"/>
        <w:ind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乙方向甲方提供服务可获得的项目技术服务总费用（即项目总费用）为人民币</w:t>
      </w:r>
      <w:r>
        <w:rPr>
          <w:rFonts w:hint="eastAsia" w:ascii="仿宋" w:hAnsi="仿宋" w:eastAsia="仿宋" w:cs="仿宋"/>
          <w:color w:val="000000" w:themeColor="text1"/>
          <w:sz w:val="28"/>
          <w:szCs w:val="28"/>
          <w:highlight w:val="none"/>
          <w:lang w:val="en-US" w:eastAsia="zh-CN"/>
          <w14:textFill>
            <w14:solidFill>
              <w14:schemeClr w14:val="tx1"/>
            </w14:solidFill>
          </w14:textFill>
        </w:rPr>
        <w:t>贰拾万壹仟</w:t>
      </w:r>
      <w:r>
        <w:rPr>
          <w:rFonts w:hint="eastAsia" w:ascii="仿宋" w:hAnsi="仿宋" w:eastAsia="仿宋" w:cs="仿宋"/>
          <w:color w:val="000000" w:themeColor="text1"/>
          <w:sz w:val="28"/>
          <w:szCs w:val="28"/>
          <w:highlight w:val="none"/>
          <w14:textFill>
            <w14:solidFill>
              <w14:schemeClr w14:val="tx1"/>
            </w14:solidFill>
          </w14:textFill>
        </w:rPr>
        <w:t>元整（￥2</w:t>
      </w:r>
      <w:r>
        <w:rPr>
          <w:rFonts w:hint="eastAsia" w:ascii="仿宋" w:hAnsi="仿宋" w:eastAsia="仿宋" w:cs="仿宋"/>
          <w:color w:val="000000" w:themeColor="text1"/>
          <w:sz w:val="28"/>
          <w:szCs w:val="28"/>
          <w:highlight w:val="none"/>
          <w:lang w:val="en-US" w:eastAsia="zh-CN"/>
          <w14:textFill>
            <w14:solidFill>
              <w14:schemeClr w14:val="tx1"/>
            </w14:solidFill>
          </w14:textFill>
        </w:rPr>
        <w:t>01000</w:t>
      </w:r>
      <w:r>
        <w:rPr>
          <w:rFonts w:hint="eastAsia" w:ascii="仿宋" w:hAnsi="仿宋" w:eastAsia="仿宋" w:cs="仿宋"/>
          <w:color w:val="000000" w:themeColor="text1"/>
          <w:sz w:val="28"/>
          <w:szCs w:val="28"/>
          <w:highlight w:val="none"/>
          <w14:textFill>
            <w14:solidFill>
              <w14:schemeClr w14:val="tx1"/>
            </w14:solidFill>
          </w14:textFill>
        </w:rPr>
        <w:t>元）。项目总费用为含税价，且已包含甲方应付所有费用。</w:t>
      </w:r>
    </w:p>
    <w:p>
      <w:pPr>
        <w:numPr>
          <w:ilvl w:val="-1"/>
          <w:numId w:val="0"/>
        </w:numPr>
        <w:spacing w:line="480" w:lineRule="exact"/>
        <w:ind w:left="420" w:firstLine="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（四）</w:t>
      </w:r>
      <w:r>
        <w:rPr>
          <w:rFonts w:hint="eastAsia" w:ascii="仿宋" w:hAnsi="仿宋" w:eastAsia="仿宋" w:cs="仿宋"/>
          <w:color w:val="000000" w:themeColor="text1"/>
          <w:sz w:val="28"/>
          <w:szCs w:val="28"/>
          <w:highlight w:val="none"/>
          <w14:textFill>
            <w14:solidFill>
              <w14:schemeClr w14:val="tx1"/>
            </w14:solidFill>
          </w14:textFill>
        </w:rPr>
        <w:t>付款时间、方式。</w:t>
      </w:r>
    </w:p>
    <w:p>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双方签署合同后，甲方</w:t>
      </w:r>
      <w:r>
        <w:rPr>
          <w:rFonts w:hint="eastAsia" w:ascii="仿宋" w:hAnsi="仿宋" w:eastAsia="仿宋" w:cs="仿宋"/>
          <w:color w:val="000000" w:themeColor="text1"/>
          <w:sz w:val="28"/>
          <w:szCs w:val="28"/>
          <w:highlight w:val="none"/>
          <w:lang w:val="en-US" w:eastAsia="zh-CN"/>
          <w14:textFill>
            <w14:solidFill>
              <w14:schemeClr w14:val="tx1"/>
            </w14:solidFill>
          </w14:textFill>
        </w:rPr>
        <w:t>分两期支付相应的款项</w:t>
      </w:r>
      <w:r>
        <w:rPr>
          <w:rFonts w:hint="eastAsia" w:ascii="仿宋" w:hAnsi="仿宋" w:eastAsia="仿宋" w:cs="仿宋"/>
          <w:color w:val="000000" w:themeColor="text1"/>
          <w:sz w:val="28"/>
          <w:szCs w:val="28"/>
          <w:highlight w:val="none"/>
          <w14:textFill>
            <w14:solidFill>
              <w14:schemeClr w14:val="tx1"/>
            </w14:solidFill>
          </w14:textFill>
        </w:rPr>
        <w:t>给乙方：</w:t>
      </w:r>
    </w:p>
    <w:p>
      <w:pPr>
        <w:spacing w:line="48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1</w:t>
      </w:r>
      <w:r>
        <w:rPr>
          <w:rFonts w:hint="eastAsia"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第一期：甲、乙双方签订本合同后，甲方收到乙方开具的相对应金额发票之日起30个工作日内，向乙方支付项目费用XX元，即人民币XX万元整（¥XX,000.00元）；</w:t>
      </w:r>
    </w:p>
    <w:p>
      <w:pPr>
        <w:spacing w:line="480" w:lineRule="exact"/>
        <w:ind w:firstLine="560" w:firstLineChars="200"/>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lang w:val="en-US" w:eastAsia="zh-CN"/>
          <w14:textFill>
            <w14:solidFill>
              <w14:schemeClr w14:val="tx1"/>
            </w14:solidFill>
          </w14:textFill>
        </w:rPr>
        <w:t>2</w:t>
      </w:r>
      <w:r>
        <w:rPr>
          <w:rFonts w:hint="eastAsia"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sz w:val="28"/>
          <w:szCs w:val="28"/>
          <w:highlight w:val="none"/>
          <w:lang w:val="en-US" w:eastAsia="zh-CN"/>
          <w14:textFill>
            <w14:solidFill>
              <w14:schemeClr w14:val="tx1"/>
            </w14:solidFill>
          </w14:textFill>
        </w:rPr>
        <w:t>第二期：待项目经甲方验收合格后，甲方再次凭收到乙方开具等额有效的发票之日起60个工作日内支付剩余项目费用给乙方，即人民币XX万元整（¥XX0,000.00元）。</w:t>
      </w:r>
    </w:p>
    <w:p>
      <w:pPr>
        <w:pStyle w:val="2"/>
        <w:numPr>
          <w:ilvl w:val="-1"/>
          <w:numId w:val="0"/>
        </w:numPr>
        <w:spacing w:line="480" w:lineRule="exact"/>
        <w:ind w:firstLine="562"/>
        <w:rPr>
          <w:rFonts w:ascii="仿宋" w:hAnsi="仿宋" w:eastAsia="仿宋" w:cs="仿宋"/>
          <w:b/>
          <w:color w:val="000000" w:themeColor="text1"/>
          <w:sz w:val="28"/>
          <w:szCs w:val="28"/>
          <w:shd w:val="clear" w:color="auto" w:fill="FFFFFF"/>
          <w14:textFill>
            <w14:solidFill>
              <w14:schemeClr w14:val="tx1"/>
            </w14:solidFill>
          </w14:textFill>
        </w:rPr>
      </w:pPr>
      <w:r>
        <w:rPr>
          <w:rFonts w:hint="eastAsia" w:ascii="仿宋" w:hAnsi="仿宋" w:eastAsia="仿宋" w:cs="仿宋"/>
          <w:b/>
          <w:color w:val="000000" w:themeColor="text1"/>
          <w:sz w:val="28"/>
          <w:szCs w:val="28"/>
          <w:highlight w:val="none"/>
          <w:shd w:val="clear" w:color="auto" w:fill="FFFFFF"/>
          <w:lang w:val="en-US" w:eastAsia="zh-CN"/>
          <w14:textFill>
            <w14:solidFill>
              <w14:schemeClr w14:val="tx1"/>
            </w14:solidFill>
          </w14:textFill>
        </w:rPr>
        <w:t>3．</w:t>
      </w:r>
      <w:r>
        <w:rPr>
          <w:rFonts w:hint="eastAsia" w:ascii="仿宋" w:hAnsi="仿宋" w:eastAsia="仿宋" w:cs="仿宋"/>
          <w:b/>
          <w:color w:val="000000" w:themeColor="text1"/>
          <w:sz w:val="28"/>
          <w:szCs w:val="28"/>
          <w:highlight w:val="none"/>
          <w:shd w:val="clear" w:color="auto" w:fill="FFFFFF"/>
          <w14:textFill>
            <w14:solidFill>
              <w14:schemeClr w14:val="tx1"/>
            </w14:solidFill>
          </w14:textFill>
        </w:rPr>
        <w:t>乙方确认</w:t>
      </w:r>
      <w:bookmarkStart w:id="0" w:name="_GoBack"/>
      <w:r>
        <w:rPr>
          <w:rFonts w:hint="eastAsia" w:ascii="仿宋" w:hAnsi="仿宋" w:eastAsia="仿宋" w:cs="仿宋"/>
          <w:b/>
          <w:color w:val="000000" w:themeColor="text1"/>
          <w:sz w:val="28"/>
          <w:szCs w:val="28"/>
          <w:highlight w:val="none"/>
          <w:shd w:val="clear" w:color="auto" w:fill="FFFFFF"/>
          <w14:textFill>
            <w14:solidFill>
              <w14:schemeClr w14:val="tx1"/>
            </w14:solidFill>
          </w14:textFill>
        </w:rPr>
        <w:t>：</w:t>
      </w:r>
      <w:bookmarkEnd w:id="0"/>
      <w:r>
        <w:rPr>
          <w:rFonts w:hint="eastAsia" w:ascii="仿宋" w:hAnsi="仿宋" w:eastAsia="仿宋" w:cs="仿宋"/>
          <w:b/>
          <w:color w:val="000000" w:themeColor="text1"/>
          <w:sz w:val="28"/>
          <w:szCs w:val="28"/>
          <w:highlight w:val="none"/>
          <w:shd w:val="clear" w:color="auto" w:fill="FFFFFF"/>
          <w14:textFill>
            <w14:solidFill>
              <w14:schemeClr w14:val="tx1"/>
            </w14:solidFill>
          </w14:textFill>
        </w:rPr>
        <w:t>因甲方使用的是财政资金，因此前款规定的甲方付款时间为甲方向政府财政支付部门提出办理财政支付申请手续的时间（不含政府财政支付部门审核的时间），甲方在前款规定的时间</w:t>
      </w:r>
      <w:r>
        <w:rPr>
          <w:rFonts w:hint="eastAsia" w:ascii="仿宋" w:hAnsi="仿宋" w:eastAsia="仿宋" w:cs="仿宋"/>
          <w:b/>
          <w:color w:val="000000" w:themeColor="text1"/>
          <w:sz w:val="28"/>
          <w:szCs w:val="28"/>
          <w:shd w:val="clear" w:color="auto" w:fill="FFFFFF"/>
          <w14:textFill>
            <w14:solidFill>
              <w14:schemeClr w14:val="tx1"/>
            </w14:solidFill>
          </w14:textFill>
        </w:rPr>
        <w:t>内提出支付申请手续后即视为甲方已经按期支付。乙方对上述操作没有异议。如因财政资金的下达、拨付问题导致付款延迟的，不视为甲方违约，乙方不能据此追究甲方逾期付款的违约责任。</w:t>
      </w:r>
    </w:p>
    <w:p>
      <w:pPr>
        <w:pStyle w:val="2"/>
        <w:numPr>
          <w:ilvl w:val="-1"/>
          <w:numId w:val="0"/>
        </w:numPr>
        <w:spacing w:line="480" w:lineRule="exact"/>
        <w:ind w:firstLine="560"/>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color w:val="000000" w:themeColor="text1"/>
          <w:sz w:val="28"/>
          <w:szCs w:val="28"/>
          <w:shd w:val="clear" w:color="auto" w:fill="FFFFFF"/>
          <w:lang w:val="en-US" w:eastAsia="zh-CN"/>
          <w14:textFill>
            <w14:solidFill>
              <w14:schemeClr w14:val="tx1"/>
            </w14:solidFill>
          </w14:textFill>
        </w:rPr>
        <w:t>4</w:t>
      </w:r>
      <w:r>
        <w:rPr>
          <w:rFonts w:hint="eastAsia" w:ascii="仿宋" w:hAnsi="仿宋" w:eastAsia="仿宋" w:cs="仿宋"/>
          <w:color w:val="000000" w:themeColor="text1"/>
          <w:kern w:val="2"/>
          <w:sz w:val="28"/>
          <w:szCs w:val="28"/>
          <w14:textFill>
            <w14:solidFill>
              <w14:schemeClr w14:val="tx1"/>
            </w14:solidFill>
          </w14:textFill>
        </w:rPr>
        <w:t>．</w:t>
      </w:r>
      <w:r>
        <w:rPr>
          <w:rFonts w:hint="eastAsia" w:ascii="仿宋" w:hAnsi="仿宋" w:eastAsia="仿宋" w:cs="仿宋"/>
          <w:color w:val="000000" w:themeColor="text1"/>
          <w:sz w:val="28"/>
          <w:szCs w:val="28"/>
          <w:shd w:val="clear" w:color="auto" w:fill="FFFFFF"/>
          <w14:textFill>
            <w14:solidFill>
              <w14:schemeClr w14:val="tx1"/>
            </w14:solidFill>
          </w14:textFill>
        </w:rPr>
        <w:t>项目实际总费用若超过投标价，按投标价结算；若小于投标价，按实结算。</w:t>
      </w:r>
    </w:p>
    <w:p>
      <w:pPr>
        <w:numPr>
          <w:ilvl w:val="0"/>
          <w:numId w:val="1"/>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乙方账户信息如下：</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开户名：</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开户行：</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账  号：</w:t>
      </w:r>
      <w:r>
        <w:rPr>
          <w:rFonts w:ascii="仿宋" w:hAnsi="仿宋" w:eastAsia="仿宋" w:cs="仿宋"/>
          <w:color w:val="000000" w:themeColor="text1"/>
          <w:sz w:val="28"/>
          <w:szCs w:val="28"/>
          <w14:textFill>
            <w14:solidFill>
              <w14:schemeClr w14:val="tx1"/>
            </w14:solidFill>
          </w14:textFill>
        </w:rPr>
        <w:t xml:space="preserve"> </w:t>
      </w:r>
    </w:p>
    <w:p>
      <w:pPr>
        <w:pStyle w:val="8"/>
        <w:numPr>
          <w:ilvl w:val="0"/>
          <w:numId w:val="1"/>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甲方开票信息如下：</w:t>
      </w:r>
    </w:p>
    <w:p>
      <w:pPr>
        <w:pStyle w:val="8"/>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单位名称：江门市市场监督管理局</w:t>
      </w:r>
    </w:p>
    <w:p>
      <w:pPr>
        <w:pStyle w:val="8"/>
        <w:spacing w:line="480" w:lineRule="exact"/>
        <w:ind w:firstLine="560" w:firstLineChars="200"/>
        <w:rPr>
          <w:rFonts w:ascii="仿宋" w:hAnsi="仿宋" w:eastAsia="仿宋" w:cs="仿宋"/>
          <w:color w:val="000000" w:themeColor="text1"/>
          <w:sz w:val="28"/>
          <w:szCs w:val="28"/>
          <w:lang w:bidi="ar"/>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统一</w:t>
      </w:r>
      <w:r>
        <w:rPr>
          <w:rFonts w:hint="eastAsia" w:ascii="仿宋" w:hAnsi="仿宋" w:eastAsia="仿宋" w:cs="仿宋"/>
          <w:color w:val="000000" w:themeColor="text1"/>
          <w:sz w:val="28"/>
          <w:szCs w:val="28"/>
          <w:lang w:eastAsia="zh-CN" w:bidi="ar"/>
          <w14:textFill>
            <w14:solidFill>
              <w14:schemeClr w14:val="tx1"/>
            </w14:solidFill>
          </w14:textFill>
        </w:rPr>
        <w:t>社会</w:t>
      </w:r>
      <w:r>
        <w:rPr>
          <w:rFonts w:hint="eastAsia" w:ascii="仿宋" w:hAnsi="仿宋" w:eastAsia="仿宋" w:cs="仿宋"/>
          <w:color w:val="000000" w:themeColor="text1"/>
          <w:sz w:val="28"/>
          <w:szCs w:val="28"/>
          <w:lang w:bidi="ar"/>
          <w14:textFill>
            <w14:solidFill>
              <w14:schemeClr w14:val="tx1"/>
            </w14:solidFill>
          </w14:textFill>
        </w:rPr>
        <w:t>信用代码：11440700MB2C90725T</w:t>
      </w:r>
    </w:p>
    <w:p>
      <w:pPr>
        <w:spacing w:line="480" w:lineRule="exact"/>
        <w:rPr>
          <w:rFonts w:ascii="仿宋" w:hAnsi="仿宋" w:eastAsia="仿宋" w:cs="仿宋"/>
          <w:color w:val="000000" w:themeColor="text1"/>
          <w:sz w:val="28"/>
          <w:szCs w:val="28"/>
          <w:shd w:val="clear" w:color="auto" w:fill="FFFFFF"/>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第三条  验收方式</w:t>
      </w:r>
      <w:r>
        <w:rPr>
          <w:rFonts w:hint="eastAsia" w:ascii="仿宋" w:hAnsi="仿宋" w:eastAsia="仿宋" w:cs="仿宋"/>
          <w:color w:val="000000" w:themeColor="text1"/>
          <w:sz w:val="28"/>
          <w:szCs w:val="28"/>
          <w:shd w:val="clear" w:color="auto" w:fill="FFFFFF"/>
          <w14:textFill>
            <w14:solidFill>
              <w14:schemeClr w14:val="tx1"/>
            </w14:solidFill>
          </w14:textFill>
        </w:rPr>
        <w:t xml:space="preserve"> </w:t>
      </w:r>
    </w:p>
    <w:p>
      <w:pPr>
        <w:numPr>
          <w:ilvl w:val="-1"/>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验收时间：乙方完成本项目档案整理和数字化加工工作之日起</w:t>
      </w:r>
      <w:r>
        <w:rPr>
          <w:rFonts w:hint="eastAsia" w:ascii="仿宋" w:hAnsi="仿宋" w:eastAsia="仿宋" w:cs="仿宋"/>
          <w:color w:val="000000" w:themeColor="text1"/>
          <w:sz w:val="28"/>
          <w:szCs w:val="28"/>
          <w:lang w:val="en-US" w:eastAsia="zh-CN"/>
          <w14:textFill>
            <w14:solidFill>
              <w14:schemeClr w14:val="tx1"/>
            </w14:solidFill>
          </w14:textFill>
        </w:rPr>
        <w:t>15</w:t>
      </w:r>
      <w:r>
        <w:rPr>
          <w:rFonts w:hint="eastAsia" w:ascii="仿宋" w:hAnsi="仿宋" w:eastAsia="仿宋" w:cs="仿宋"/>
          <w:color w:val="000000" w:themeColor="text1"/>
          <w:sz w:val="28"/>
          <w:szCs w:val="28"/>
          <w14:textFill>
            <w14:solidFill>
              <w14:schemeClr w14:val="tx1"/>
            </w14:solidFill>
          </w14:textFill>
        </w:rPr>
        <w:t>个工作日内，乙方应按采购公告、本合同约定及甲方要求提交项目相关的文件、资料等成果性资料给甲方进行验收，甲方在收到乙方提交的上述成果性资料之日起</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14:textFill>
            <w14:solidFill>
              <w14:schemeClr w14:val="tx1"/>
            </w14:solidFill>
          </w14:textFill>
        </w:rPr>
        <w:t>个工作日内完成验收工作；但因乙方自身原因导致甲方无法在上述期限内完成验收的，由此产生的费用、损失由乙方自行承担；若损失难以计算的，则以本合同项下的费用作为损失计算依据。</w:t>
      </w:r>
    </w:p>
    <w:p>
      <w:pPr>
        <w:pStyle w:val="15"/>
        <w:numPr>
          <w:ilvl w:val="-1"/>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（二）</w:t>
      </w:r>
      <w:r>
        <w:rPr>
          <w:rFonts w:hint="eastAsia" w:ascii="仿宋" w:hAnsi="仿宋" w:eastAsia="仿宋" w:cs="仿宋"/>
          <w:color w:val="000000" w:themeColor="text1"/>
          <w:sz w:val="28"/>
          <w:szCs w:val="28"/>
          <w14:textFill>
            <w14:solidFill>
              <w14:schemeClr w14:val="tx1"/>
            </w14:solidFill>
          </w14:textFill>
        </w:rPr>
        <w:t>验收标准：甲方按照《关于转发&lt;广东省档案局关于DA/T22-2015归档文件整理规则的贯彻意见&gt;的通知》（江档〔2016〕82号）、《纸质档案数字化规范》（DA/T31-2017）及</w:t>
      </w:r>
      <w:r>
        <w:rPr>
          <w:rFonts w:hint="eastAsia" w:ascii="仿宋" w:hAnsi="仿宋" w:eastAsia="仿宋"/>
          <w:color w:val="000000" w:themeColor="text1"/>
          <w:kern w:val="0"/>
          <w:sz w:val="28"/>
          <w:szCs w:val="28"/>
          <w14:textFill>
            <w14:solidFill>
              <w14:schemeClr w14:val="tx1"/>
            </w14:solidFill>
          </w14:textFill>
        </w:rPr>
        <w:t>甲方档案归档的有关规定</w:t>
      </w:r>
      <w:r>
        <w:rPr>
          <w:rFonts w:hint="eastAsia" w:ascii="仿宋" w:hAnsi="仿宋" w:eastAsia="仿宋" w:cs="仿宋"/>
          <w:color w:val="000000" w:themeColor="text1"/>
          <w:sz w:val="28"/>
          <w:szCs w:val="28"/>
          <w14:textFill>
            <w14:solidFill>
              <w14:schemeClr w14:val="tx1"/>
            </w14:solidFill>
          </w14:textFill>
        </w:rPr>
        <w:t>的标准进行验收，保证数字化项目图像清晰度、</w:t>
      </w:r>
      <w:r>
        <w:rPr>
          <w:rFonts w:ascii="仿宋" w:hAnsi="仿宋" w:eastAsia="仿宋" w:cs="仿宋"/>
          <w:color w:val="000000" w:themeColor="text1"/>
          <w:sz w:val="28"/>
          <w:szCs w:val="28"/>
          <w14:textFill>
            <w14:solidFill>
              <w14:schemeClr w14:val="tx1"/>
            </w14:solidFill>
          </w14:textFill>
        </w:rPr>
        <w:t>目录数据准确率</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装订质量要求等</w:t>
      </w:r>
      <w:r>
        <w:rPr>
          <w:rFonts w:hint="eastAsia" w:ascii="仿宋" w:hAnsi="仿宋" w:eastAsia="仿宋" w:cs="仿宋"/>
          <w:color w:val="000000" w:themeColor="text1"/>
          <w:sz w:val="28"/>
          <w:szCs w:val="28"/>
          <w14:textFill>
            <w14:solidFill>
              <w14:schemeClr w14:val="tx1"/>
            </w14:solidFill>
          </w14:textFill>
        </w:rPr>
        <w:t>。验收合格后由甲方和乙方共同签字确认。</w:t>
      </w:r>
    </w:p>
    <w:p>
      <w:pPr>
        <w:numPr>
          <w:ilvl w:val="-1"/>
          <w:numId w:val="0"/>
        </w:numPr>
        <w:spacing w:line="480" w:lineRule="exact"/>
        <w:ind w:leftChars="0"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Cs/>
          <w:color w:val="000000" w:themeColor="text1"/>
          <w:sz w:val="28"/>
          <w:szCs w:val="28"/>
          <w:lang w:eastAsia="zh-CN"/>
          <w14:textFill>
            <w14:solidFill>
              <w14:schemeClr w14:val="tx1"/>
            </w14:solidFill>
          </w14:textFill>
        </w:rPr>
        <w:t>（三）</w:t>
      </w:r>
      <w:r>
        <w:rPr>
          <w:rFonts w:hint="eastAsia" w:ascii="仿宋" w:hAnsi="仿宋" w:eastAsia="仿宋" w:cs="仿宋"/>
          <w:bCs/>
          <w:color w:val="000000" w:themeColor="text1"/>
          <w:sz w:val="28"/>
          <w:szCs w:val="28"/>
          <w14:textFill>
            <w14:solidFill>
              <w14:schemeClr w14:val="tx1"/>
            </w14:solidFill>
          </w14:textFill>
        </w:rPr>
        <w:t>经甲方验收不</w:t>
      </w:r>
      <w:r>
        <w:rPr>
          <w:rFonts w:hint="eastAsia" w:ascii="仿宋" w:hAnsi="仿宋" w:eastAsia="仿宋" w:cs="仿宋"/>
          <w:color w:val="000000" w:themeColor="text1"/>
          <w:sz w:val="28"/>
          <w:szCs w:val="28"/>
          <w14:textFill>
            <w14:solidFill>
              <w14:schemeClr w14:val="tx1"/>
            </w14:solidFill>
          </w14:textFill>
        </w:rPr>
        <w:t>合格</w:t>
      </w:r>
      <w:r>
        <w:rPr>
          <w:rFonts w:hint="eastAsia" w:ascii="仿宋" w:hAnsi="仿宋" w:eastAsia="仿宋" w:cs="仿宋"/>
          <w:bCs/>
          <w:color w:val="000000" w:themeColor="text1"/>
          <w:sz w:val="28"/>
          <w:szCs w:val="28"/>
          <w14:textFill>
            <w14:solidFill>
              <w14:schemeClr w14:val="tx1"/>
            </w14:solidFill>
          </w14:textFill>
        </w:rPr>
        <w:t>的，乙方应在甲方指定期限内采取弥补措施并再次提交给甲方验收；验收合格后由甲方和乙方共同签字确认并作为结算及甲方支付项目费用的依据。</w:t>
      </w:r>
    </w:p>
    <w:p>
      <w:pPr>
        <w:pStyle w:val="2"/>
        <w:spacing w:line="480" w:lineRule="exact"/>
        <w:ind w:firstLine="560"/>
        <w:rPr>
          <w:rFonts w:eastAsia="仿宋"/>
          <w:color w:val="000000" w:themeColor="text1"/>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（四）</w:t>
      </w:r>
      <w:r>
        <w:rPr>
          <w:rFonts w:ascii="仿宋" w:hAnsi="仿宋" w:eastAsia="仿宋" w:cs="仿宋"/>
          <w:color w:val="000000" w:themeColor="text1"/>
          <w:sz w:val="28"/>
          <w:szCs w:val="28"/>
          <w14:textFill>
            <w14:solidFill>
              <w14:schemeClr w14:val="tx1"/>
            </w14:solidFill>
          </w14:textFill>
        </w:rPr>
        <w:t>若经甲方再次验收未通过的，且甲方已经支付项目费用的，甲方有权在乙方已收取款项中</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按未通过验收部分工作量所占合同总金额的比例</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或根据双方认可的第三方评估机构确定的合格部分价值进行扣减后</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要求乙方将剩余金额</w:t>
      </w:r>
      <w:r>
        <w:rPr>
          <w:rFonts w:hint="eastAsia" w:ascii="仿宋" w:hAnsi="仿宋" w:eastAsia="仿宋" w:cs="仿宋"/>
          <w:color w:val="000000" w:themeColor="text1"/>
          <w:sz w:val="28"/>
          <w:szCs w:val="28"/>
          <w:lang w:val="en-US" w:eastAsia="zh-CN"/>
          <w14:textFill>
            <w14:solidFill>
              <w14:schemeClr w14:val="tx1"/>
            </w14:solidFill>
          </w14:textFill>
        </w:rPr>
        <w:t>10个工作日内</w:t>
      </w:r>
      <w:r>
        <w:rPr>
          <w:rFonts w:ascii="仿宋" w:hAnsi="仿宋" w:eastAsia="仿宋" w:cs="仿宋"/>
          <w:color w:val="000000" w:themeColor="text1"/>
          <w:sz w:val="28"/>
          <w:szCs w:val="28"/>
          <w14:textFill>
            <w14:solidFill>
              <w14:schemeClr w14:val="tx1"/>
            </w14:solidFill>
          </w14:textFill>
        </w:rPr>
        <w:t>退回给甲方（乙方已经开具发票所产生的税费损失由乙方自行承担，也即不能要求甲方予以承担）</w:t>
      </w:r>
      <w:r>
        <w:rPr>
          <w:rFonts w:hint="eastAsia" w:ascii="仿宋" w:hAnsi="仿宋" w:eastAsia="仿宋" w:cs="仿宋"/>
          <w:color w:val="000000" w:themeColor="text1"/>
          <w:sz w:val="28"/>
          <w:szCs w:val="28"/>
          <w14:textFill>
            <w14:solidFill>
              <w14:schemeClr w14:val="tx1"/>
            </w14:solidFill>
          </w14:textFill>
        </w:rPr>
        <w:t>。</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第四条  甲方的权利和义务</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甲方为乙方提供项目实施中所需的相关协助，</w:t>
      </w:r>
      <w:r>
        <w:rPr>
          <w:rFonts w:hint="eastAsia" w:ascii="仿宋_GB2312" w:hAnsi="Calibri"/>
          <w:color w:val="000000" w:themeColor="text1"/>
          <w:sz w:val="28"/>
          <w:szCs w:val="28"/>
          <w:lang w:bidi="ar"/>
          <w14:textFill>
            <w14:solidFill>
              <w14:schemeClr w14:val="tx1"/>
            </w14:solidFill>
          </w14:textFill>
        </w:rPr>
        <w:t>向乙方介绍解释以上服务的概况内容等相关工作的基本情况</w:t>
      </w:r>
      <w:r>
        <w:rPr>
          <w:rFonts w:hint="eastAsia" w:ascii="仿宋" w:hAnsi="仿宋" w:eastAsia="仿宋" w:cs="仿宋"/>
          <w:color w:val="000000" w:themeColor="text1"/>
          <w:sz w:val="28"/>
          <w:szCs w:val="28"/>
          <w14:textFill>
            <w14:solidFill>
              <w14:schemeClr w14:val="tx1"/>
            </w14:solidFill>
          </w14:textFill>
        </w:rPr>
        <w:t>；</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项目实施期间，甲方有权向乙方提出建议或具体要求；</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根据甲、乙双方确定的项目计划，甲方有权督促乙方的实施情况，了解工作进度及开展情况。</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若甲方发现有问题，乙方应当在接到甲方的质疑之日2日内提供相关说明；若甲方</w:t>
      </w:r>
      <w:r>
        <w:rPr>
          <w:rFonts w:ascii="仿宋" w:hAnsi="仿宋" w:eastAsia="仿宋" w:cs="仿宋"/>
          <w:color w:val="000000" w:themeColor="text1"/>
          <w:sz w:val="28"/>
          <w:szCs w:val="28"/>
          <w14:textFill>
            <w14:solidFill>
              <w14:schemeClr w14:val="tx1"/>
            </w14:solidFill>
          </w14:textFill>
        </w:rPr>
        <w:t>认为</w:t>
      </w:r>
      <w:r>
        <w:rPr>
          <w:rFonts w:hint="eastAsia" w:ascii="仿宋" w:hAnsi="仿宋" w:eastAsia="仿宋" w:cs="仿宋"/>
          <w:color w:val="000000" w:themeColor="text1"/>
          <w:sz w:val="28"/>
          <w:szCs w:val="28"/>
          <w14:textFill>
            <w14:solidFill>
              <w14:schemeClr w14:val="tx1"/>
            </w14:solidFill>
          </w14:textFill>
        </w:rPr>
        <w:t>需要</w:t>
      </w:r>
      <w:r>
        <w:rPr>
          <w:rFonts w:ascii="仿宋" w:hAnsi="仿宋" w:eastAsia="仿宋" w:cs="仿宋"/>
          <w:color w:val="000000" w:themeColor="text1"/>
          <w:sz w:val="28"/>
          <w:szCs w:val="28"/>
          <w14:textFill>
            <w14:solidFill>
              <w14:schemeClr w14:val="tx1"/>
            </w14:solidFill>
          </w14:textFill>
        </w:rPr>
        <w:t>整改的</w:t>
      </w:r>
      <w:r>
        <w:rPr>
          <w:rFonts w:hint="eastAsia" w:ascii="仿宋" w:hAnsi="仿宋" w:eastAsia="仿宋" w:cs="仿宋"/>
          <w:color w:val="000000" w:themeColor="text1"/>
          <w:sz w:val="28"/>
          <w:szCs w:val="28"/>
          <w14:textFill>
            <w14:solidFill>
              <w14:schemeClr w14:val="tx1"/>
            </w14:solidFill>
          </w14:textFill>
        </w:rPr>
        <w:t>，乙方应当</w:t>
      </w:r>
      <w:r>
        <w:rPr>
          <w:rFonts w:ascii="仿宋" w:hAnsi="仿宋" w:eastAsia="仿宋" w:cs="仿宋"/>
          <w:color w:val="000000" w:themeColor="text1"/>
          <w:sz w:val="28"/>
          <w:szCs w:val="28"/>
          <w14:textFill>
            <w14:solidFill>
              <w14:schemeClr w14:val="tx1"/>
            </w14:solidFill>
          </w14:textFill>
        </w:rPr>
        <w:t>根据</w:t>
      </w:r>
      <w:r>
        <w:rPr>
          <w:rFonts w:hint="eastAsia" w:ascii="仿宋" w:hAnsi="仿宋" w:eastAsia="仿宋" w:cs="仿宋"/>
          <w:color w:val="000000" w:themeColor="text1"/>
          <w:sz w:val="28"/>
          <w:szCs w:val="28"/>
          <w14:textFill>
            <w14:solidFill>
              <w14:schemeClr w14:val="tx1"/>
            </w14:solidFill>
          </w14:textFill>
        </w:rPr>
        <w:t>甲方</w:t>
      </w:r>
      <w:r>
        <w:rPr>
          <w:rFonts w:ascii="仿宋" w:hAnsi="仿宋" w:eastAsia="仿宋" w:cs="仿宋"/>
          <w:color w:val="000000" w:themeColor="text1"/>
          <w:sz w:val="28"/>
          <w:szCs w:val="28"/>
          <w14:textFill>
            <w14:solidFill>
              <w14:schemeClr w14:val="tx1"/>
            </w14:solidFill>
          </w14:textFill>
        </w:rPr>
        <w:t>要求整改至甲方认为合格为止；若乙方拒绝整改，则视为乙方违约</w:t>
      </w:r>
      <w:r>
        <w:rPr>
          <w:rFonts w:hint="eastAsia" w:ascii="仿宋" w:hAnsi="仿宋" w:eastAsia="仿宋" w:cs="仿宋"/>
          <w:color w:val="000000" w:themeColor="text1"/>
          <w:sz w:val="28"/>
          <w:szCs w:val="28"/>
          <w14:textFill>
            <w14:solidFill>
              <w14:schemeClr w14:val="tx1"/>
            </w14:solidFill>
          </w14:textFill>
        </w:rPr>
        <w:t>。</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甲方按本合同约定向乙方支付项目费用。</w:t>
      </w:r>
    </w:p>
    <w:p>
      <w:pPr>
        <w:numPr>
          <w:ilvl w:val="0"/>
          <w:numId w:val="2"/>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甲方应及时进行验收以及按约定配合乙方的其他工作。</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第五条  乙方的权利和义务</w:t>
      </w:r>
    </w:p>
    <w:p>
      <w:pPr>
        <w:numPr>
          <w:ilvl w:val="0"/>
          <w:numId w:val="3"/>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在约定期限内，按照国家业务部门的要求为甲方提供上述服务工作，并对服务质量负责，对于在市档案部门抽查后认为有地方需要整改的，属于乙方服务内容的，乙方应协助甲方进行整改，直至通过市档案局检验。</w:t>
      </w:r>
    </w:p>
    <w:p>
      <w:pPr>
        <w:numPr>
          <w:ilvl w:val="0"/>
          <w:numId w:val="3"/>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_GB2312" w:hAnsi="Calibri"/>
          <w:color w:val="000000" w:themeColor="text1"/>
          <w:sz w:val="28"/>
          <w:szCs w:val="28"/>
          <w:lang w:bidi="ar"/>
          <w14:textFill>
            <w14:solidFill>
              <w14:schemeClr w14:val="tx1"/>
            </w14:solidFill>
          </w14:textFill>
        </w:rPr>
        <w:t>负责对其工作人员进行保密教育和安全教育并签订保密合同，对整理期间出现的档案内容泄密、文件材料丢失等承担责任。</w:t>
      </w:r>
    </w:p>
    <w:p>
      <w:pPr>
        <w:numPr>
          <w:ilvl w:val="0"/>
          <w:numId w:val="3"/>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项目在本合同履行过程中，非因乙方原因有可能致使合同无法正常履行的，乙方应在知晓该等事项之日起1个工作日内通知甲方并提供相关客观依据，同时采取措施减少损失。甲方获得通知，同意变更合同内容或解除本合同的，双方另行签署书面补充协议</w:t>
      </w:r>
      <w:r>
        <w:rPr>
          <w:rFonts w:hint="eastAsia" w:ascii="仿宋" w:hAnsi="仿宋" w:eastAsia="仿宋" w:cs="仿宋"/>
          <w:color w:val="000000" w:themeColor="text1"/>
          <w:sz w:val="28"/>
          <w:szCs w:val="28"/>
          <w14:textFill>
            <w14:solidFill>
              <w14:schemeClr w14:val="tx1"/>
            </w14:solidFill>
          </w14:textFill>
        </w:rPr>
        <w:t>。</w:t>
      </w:r>
    </w:p>
    <w:p>
      <w:pPr>
        <w:numPr>
          <w:ilvl w:val="0"/>
          <w:numId w:val="3"/>
        </w:numPr>
        <w:adjustRightInd w:val="0"/>
        <w:snapToGrid w:val="0"/>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乙方没有及时通知并采取适当措施，致使合同无法继续履行的，乙方应当将未履行部分工作相对应的款项返还给甲方，并同意具体退款标准由甲方确定；乙方因此产生的税费损失由乙方自行承担</w:t>
      </w:r>
      <w:r>
        <w:rPr>
          <w:rFonts w:hint="eastAsia" w:ascii="仿宋" w:hAnsi="仿宋" w:eastAsia="仿宋" w:cs="仿宋"/>
          <w:color w:val="000000" w:themeColor="text1"/>
          <w:sz w:val="28"/>
          <w:szCs w:val="28"/>
          <w14:textFill>
            <w14:solidFill>
              <w14:schemeClr w14:val="tx1"/>
            </w14:solidFill>
          </w14:textFill>
        </w:rPr>
        <w:t>。</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第六条  不可抗力</w:t>
      </w:r>
    </w:p>
    <w:p>
      <w:pPr>
        <w:numPr>
          <w:ilvl w:val="0"/>
          <w:numId w:val="4"/>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乙双方任何一方由于不可抗力原因（指任何不可预见、不可避免并且不能克服的客观情况，包括但不限于自然灾害、爆炸、火灾、水灾、战争、暴动、暴乱和流行病以及行政措施和命令）不能履行合同时，应在不可抗力发生72小时内书面通知另一方，并告知不能履行或不能完全履行的理由，在10日内提供权威机构证明，以减轻可能给各方造成的损失，在取得有关机构证明后，允许延期履行、部分履行或不履行合同，并根据情况可部分或全部免予承担违约责任。</w:t>
      </w:r>
    </w:p>
    <w:p>
      <w:pPr>
        <w:numPr>
          <w:ilvl w:val="0"/>
          <w:numId w:val="4"/>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4"/>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一旦不可抗力已经停止，受影响的一方应及时通知另一方，且应恢复履行本合同项下的义务。</w:t>
      </w:r>
    </w:p>
    <w:p>
      <w:pPr>
        <w:numPr>
          <w:ilvl w:val="255"/>
          <w:numId w:val="0"/>
        </w:num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第七条 人员派驻</w:t>
      </w:r>
    </w:p>
    <w:p>
      <w:pPr>
        <w:pStyle w:val="2"/>
        <w:numPr>
          <w:ilvl w:val="0"/>
          <w:numId w:val="5"/>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乙方按甲方要求派驻不少于2名人员</w:t>
      </w:r>
      <w:r>
        <w:rPr>
          <w:rFonts w:ascii="仿宋" w:hAnsi="仿宋" w:eastAsia="仿宋" w:cs="仿宋"/>
          <w:color w:val="000000" w:themeColor="text1"/>
          <w:sz w:val="28"/>
          <w:szCs w:val="28"/>
          <w14:textFill>
            <w14:solidFill>
              <w14:schemeClr w14:val="tx1"/>
            </w14:solidFill>
          </w14:textFill>
        </w:rPr>
        <w:t>到甲方指定的地点提供服务，所派驻人员</w:t>
      </w:r>
      <w:r>
        <w:rPr>
          <w:rFonts w:hint="eastAsia" w:ascii="仿宋" w:hAnsi="仿宋" w:eastAsia="仿宋" w:cs="仿宋"/>
          <w:color w:val="000000" w:themeColor="text1"/>
          <w:sz w:val="28"/>
          <w:szCs w:val="28"/>
          <w14:textFill>
            <w14:solidFill>
              <w14:schemeClr w14:val="tx1"/>
            </w14:solidFill>
          </w14:textFill>
        </w:rPr>
        <w:t>应具备档案整理或数字化加工相关工作经验或资质认证，熟悉项目的相关业务，如被派人员因违法违纪或无法胜任工作，乙方应根据甲方的要求在三天内更换派驻人员。</w:t>
      </w:r>
    </w:p>
    <w:p>
      <w:pPr>
        <w:pStyle w:val="2"/>
        <w:numPr>
          <w:ilvl w:val="0"/>
          <w:numId w:val="5"/>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被派驻人员的工资和福利待遇以及食宿开支安排等均由乙方自行负责，无须甲方另行承担。</w:t>
      </w:r>
    </w:p>
    <w:p>
      <w:pPr>
        <w:pStyle w:val="2"/>
        <w:numPr>
          <w:ilvl w:val="0"/>
          <w:numId w:val="5"/>
        </w:numPr>
        <w:spacing w:line="480" w:lineRule="exact"/>
        <w:ind w:firstLine="560"/>
        <w:textAlignment w:val="baseline"/>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在本合同服务期间，乙方应为乙方的雇佣人员进行投保（乙方应向甲方提供乙方派驻人员的《社会保险参保人员证明》），并对雇佣人员的劳资纠纷、伤亡所导致的损失和索赔自行承担责任，甲方不承担乙方所</w:t>
      </w:r>
      <w:r>
        <w:rPr>
          <w:rFonts w:ascii="仿宋" w:hAnsi="仿宋" w:eastAsia="仿宋" w:cs="仿宋"/>
          <w:color w:val="000000" w:themeColor="text1"/>
          <w:sz w:val="28"/>
          <w:szCs w:val="28"/>
          <w14:textFill>
            <w14:solidFill>
              <w14:schemeClr w14:val="tx1"/>
            </w14:solidFill>
          </w14:textFill>
        </w:rPr>
        <w:t>雇佣</w:t>
      </w:r>
      <w:r>
        <w:rPr>
          <w:rFonts w:hint="eastAsia" w:ascii="仿宋" w:hAnsi="仿宋" w:eastAsia="仿宋" w:cs="仿宋"/>
          <w:color w:val="000000" w:themeColor="text1"/>
          <w:sz w:val="28"/>
          <w:szCs w:val="28"/>
          <w14:textFill>
            <w14:solidFill>
              <w14:schemeClr w14:val="tx1"/>
            </w14:solidFill>
          </w14:textFill>
        </w:rPr>
        <w:t>人员的任何用工责任。由此引起甲方被追索责任的，一切赔偿及费用支出（包括但不限于律师费、调查费、差旅费、诉讼费、赔偿款等）等均由乙方承担。</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第八条  违约责任</w:t>
      </w:r>
    </w:p>
    <w:p>
      <w:pPr>
        <w:numPr>
          <w:ilvl w:val="0"/>
          <w:numId w:val="6"/>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甲方的违约责任：</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甲方未按本合同约定向乙方支付款项的，乙方有权要求甲方按照逾期支付款项的日万分之一向乙方支付违约金，但因乙方自身原因造成的除外。</w:t>
      </w:r>
    </w:p>
    <w:p>
      <w:pPr>
        <w:numPr>
          <w:ilvl w:val="0"/>
          <w:numId w:val="6"/>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乙方的违约责任：</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1．乙方未按照合同约定及时提交项目成果性文件或逾期完成项目工作的，从逾期之日起，甲方有权要求乙方按本项目技术服务总费用的日千分之一向甲方支付违约金直到乙方提交或者完成之日止。</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同时，乙方应在合同解除之日起三个工作日内向甲方完整移交所有已完成的，无论是否通过验收项目的工作成果及</w:t>
      </w:r>
      <w:r>
        <w:rPr>
          <w:rFonts w:ascii="仿宋" w:hAnsi="仿宋" w:eastAsia="仿宋" w:cs="仿宋"/>
          <w:color w:val="000000" w:themeColor="text1"/>
          <w:sz w:val="28"/>
          <w:szCs w:val="28"/>
          <w14:textFill>
            <w14:solidFill>
              <w14:schemeClr w14:val="tx1"/>
            </w14:solidFill>
          </w14:textFill>
        </w:rPr>
        <w:t>相关载体、资料。</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（1）乙方逾期提交项目成果性文件或者逾期完成项目工作超过15日以上的；</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（2）乙方因自身原因不能提供服务（不包括本条第1点的情形）或提供的服务质量存在重大缺陷</w:t>
      </w:r>
      <w:r>
        <w:rPr>
          <w:rFonts w:ascii="仿宋" w:hAnsi="仿宋" w:eastAsia="仿宋" w:cs="仿宋"/>
          <w:color w:val="000000" w:themeColor="text1"/>
          <w:sz w:val="28"/>
          <w:szCs w:val="28"/>
          <w14:textFill>
            <w14:solidFill>
              <w14:schemeClr w14:val="tx1"/>
            </w14:solidFill>
          </w14:textFill>
        </w:rPr>
        <w:t>，经甲方书面通知要求整改后，在指定期限内</w:t>
      </w:r>
      <w:r>
        <w:rPr>
          <w:rFonts w:hint="eastAsia" w:ascii="仿宋" w:hAnsi="仿宋" w:eastAsia="仿宋" w:cs="仿宋"/>
          <w:color w:val="000000" w:themeColor="text1"/>
          <w:sz w:val="28"/>
          <w:szCs w:val="28"/>
          <w14:textFill>
            <w14:solidFill>
              <w14:schemeClr w14:val="tx1"/>
            </w14:solidFill>
          </w14:textFill>
        </w:rPr>
        <w:t>仍无法</w:t>
      </w:r>
      <w:r>
        <w:rPr>
          <w:rFonts w:ascii="仿宋" w:hAnsi="仿宋" w:eastAsia="仿宋" w:cs="仿宋"/>
          <w:color w:val="000000" w:themeColor="text1"/>
          <w:sz w:val="28"/>
          <w:szCs w:val="28"/>
          <w14:textFill>
            <w14:solidFill>
              <w14:schemeClr w14:val="tx1"/>
            </w14:solidFill>
          </w14:textFill>
        </w:rPr>
        <w:t>达到</w:t>
      </w:r>
      <w:r>
        <w:rPr>
          <w:rFonts w:hint="eastAsia" w:ascii="仿宋" w:hAnsi="仿宋" w:eastAsia="仿宋" w:cs="仿宋"/>
          <w:color w:val="000000" w:themeColor="text1"/>
          <w:sz w:val="28"/>
          <w:szCs w:val="28"/>
          <w14:textFill>
            <w14:solidFill>
              <w14:schemeClr w14:val="tx1"/>
            </w14:solidFill>
          </w14:textFill>
        </w:rPr>
        <w:t>合同</w:t>
      </w:r>
      <w:r>
        <w:rPr>
          <w:rFonts w:ascii="仿宋" w:hAnsi="仿宋" w:eastAsia="仿宋" w:cs="仿宋"/>
          <w:color w:val="000000" w:themeColor="text1"/>
          <w:sz w:val="28"/>
          <w:szCs w:val="28"/>
          <w14:textFill>
            <w14:solidFill>
              <w14:schemeClr w14:val="tx1"/>
            </w14:solidFill>
          </w14:textFill>
        </w:rPr>
        <w:t>验收标准要求的</w:t>
      </w:r>
      <w:r>
        <w:rPr>
          <w:rFonts w:hint="eastAsia" w:ascii="仿宋" w:hAnsi="仿宋" w:eastAsia="仿宋" w:cs="仿宋"/>
          <w:color w:val="000000" w:themeColor="text1"/>
          <w:sz w:val="28"/>
          <w:szCs w:val="28"/>
          <w14:textFill>
            <w14:solidFill>
              <w14:schemeClr w14:val="tx1"/>
            </w14:solidFill>
          </w14:textFill>
        </w:rPr>
        <w:t>；</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（3）未经甲方同意，乙方将本合同项目部分或全部技术服务工作转让第三人负责的。</w:t>
      </w:r>
    </w:p>
    <w:p>
      <w:pPr>
        <w:numPr>
          <w:ilvl w:val="255"/>
          <w:numId w:val="0"/>
        </w:numPr>
        <w:spacing w:line="48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ascii="仿宋" w:hAnsi="仿宋" w:eastAsia="仿宋" w:cs="仿宋"/>
          <w:color w:val="000000" w:themeColor="text1"/>
          <w:sz w:val="28"/>
          <w:szCs w:val="28"/>
          <w14:textFill>
            <w14:solidFill>
              <w14:schemeClr w14:val="tx1"/>
            </w14:solidFill>
          </w14:textFill>
        </w:rPr>
        <w:t>3</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乙方违反保密条款的</w:t>
      </w:r>
      <w:r>
        <w:rPr>
          <w:rFonts w:hint="eastAsia" w:ascii="仿宋" w:hAnsi="仿宋" w:eastAsia="仿宋" w:cs="仿宋"/>
          <w:color w:val="000000" w:themeColor="text1"/>
          <w:sz w:val="28"/>
          <w:szCs w:val="28"/>
          <w14:textFill>
            <w14:solidFill>
              <w14:schemeClr w14:val="tx1"/>
            </w14:solidFill>
          </w14:textFill>
        </w:rPr>
        <w:t>，</w:t>
      </w:r>
      <w:r>
        <w:rPr>
          <w:rFonts w:ascii="仿宋" w:hAnsi="仿宋" w:eastAsia="仿宋" w:cs="仿宋"/>
          <w:color w:val="000000" w:themeColor="text1"/>
          <w:sz w:val="28"/>
          <w:szCs w:val="28"/>
          <w14:textFill>
            <w14:solidFill>
              <w14:schemeClr w14:val="tx1"/>
            </w14:solidFill>
          </w14:textFill>
        </w:rPr>
        <w:t>需根据</w:t>
      </w:r>
      <w:r>
        <w:rPr>
          <w:rFonts w:hint="eastAsia" w:ascii="仿宋" w:hAnsi="仿宋" w:eastAsia="仿宋" w:cs="仿宋"/>
          <w:color w:val="000000" w:themeColor="text1"/>
          <w:sz w:val="28"/>
          <w:szCs w:val="28"/>
          <w14:textFill>
            <w14:solidFill>
              <w14:schemeClr w14:val="tx1"/>
            </w14:solidFill>
          </w14:textFill>
        </w:rPr>
        <w:t>《保密协议》第九条要求支付合同总价30% 的违约金，此违约金不足以弥补甲方实际损失的，乙方应就全部实际损失承担赔偿责任。</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第九条  双方确定，出现下列情形，致使本合同的履行成为不必要或不能的，可以解除本合同：</w:t>
      </w:r>
    </w:p>
    <w:p>
      <w:pPr>
        <w:numPr>
          <w:ilvl w:val="0"/>
          <w:numId w:val="7"/>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发生不可抗力。</w:t>
      </w:r>
    </w:p>
    <w:p>
      <w:pPr>
        <w:numPr>
          <w:ilvl w:val="0"/>
          <w:numId w:val="7"/>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因一方违约使合同不能继续履行或没有必要继续履行。</w:t>
      </w:r>
    </w:p>
    <w:p>
      <w:pPr>
        <w:numPr>
          <w:ilvl w:val="0"/>
          <w:numId w:val="7"/>
        </w:num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出现法律法规或国家政策规定等特定情形导致合同不能继续履行。</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第十条  争议的解决办法</w:t>
      </w:r>
    </w:p>
    <w:p>
      <w:pPr>
        <w:numPr>
          <w:ilvl w:val="255"/>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第十一条 其他</w:t>
      </w:r>
    </w:p>
    <w:p>
      <w:pPr>
        <w:numPr>
          <w:ilvl w:val="-1"/>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（一）</w:t>
      </w:r>
      <w:r>
        <w:rPr>
          <w:rFonts w:hint="eastAsia" w:ascii="仿宋" w:hAnsi="仿宋" w:eastAsia="仿宋" w:cs="仿宋"/>
          <w:color w:val="000000" w:themeColor="text1"/>
          <w:sz w:val="28"/>
          <w:szCs w:val="28"/>
          <w14:textFill>
            <w14:solidFill>
              <w14:schemeClr w14:val="tx1"/>
            </w14:solidFill>
          </w14:textFill>
        </w:rPr>
        <w:t>合同如有未尽事宜，可以经甲、乙双方另行协商形成书面补充协议，书面补充协议经双方签字、盖章后生效。</w:t>
      </w:r>
    </w:p>
    <w:p>
      <w:pPr>
        <w:numPr>
          <w:ilvl w:val="-1"/>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sz w:val="28"/>
          <w:szCs w:val="28"/>
          <w:lang w:eastAsia="zh-CN" w:bidi="ar"/>
        </w:rPr>
        <w:t>（二）</w:t>
      </w:r>
      <w:r>
        <w:rPr>
          <w:rFonts w:hint="eastAsia" w:ascii="仿宋" w:hAnsi="仿宋" w:eastAsia="仿宋" w:cs="仿宋"/>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color w:val="000000" w:themeColor="text1"/>
          <w:sz w:val="28"/>
          <w:szCs w:val="28"/>
          <w14:textFill>
            <w14:solidFill>
              <w14:schemeClr w14:val="tx1"/>
            </w14:solidFill>
          </w14:textFill>
        </w:rPr>
        <w:t>。</w:t>
      </w:r>
    </w:p>
    <w:p>
      <w:pPr>
        <w:numPr>
          <w:ilvl w:val="-1"/>
          <w:numId w:val="0"/>
        </w:num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（三）</w:t>
      </w:r>
      <w:r>
        <w:rPr>
          <w:rFonts w:hint="eastAsia" w:ascii="仿宋" w:hAnsi="仿宋" w:eastAsia="仿宋" w:cs="仿宋"/>
          <w:color w:val="000000" w:themeColor="text1"/>
          <w:sz w:val="28"/>
          <w:szCs w:val="28"/>
          <w14:textFill>
            <w14:solidFill>
              <w14:schemeClr w14:val="tx1"/>
            </w14:solidFill>
          </w14:textFill>
        </w:rPr>
        <w:t>本合同一式肆份，自双方签字和盖章之日起生效。甲方执叁份、乙方执壹份，具有同等法律效力。</w:t>
      </w:r>
    </w:p>
    <w:p>
      <w:pPr>
        <w:pStyle w:val="9"/>
        <w:numPr>
          <w:ilvl w:val="-1"/>
          <w:numId w:val="0"/>
        </w:numPr>
        <w:ind w:firstLine="608" w:firstLineChars="20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lang w:eastAsia="zh-CN"/>
          <w14:textFill>
            <w14:solidFill>
              <w14:schemeClr w14:val="tx1"/>
            </w14:solidFill>
          </w14:textFill>
        </w:rPr>
        <w:t>（四）</w:t>
      </w:r>
      <w:r>
        <w:rPr>
          <w:rFonts w:hint="eastAsia" w:ascii="仿宋" w:hAnsi="仿宋" w:eastAsia="仿宋" w:cs="仿宋"/>
          <w:color w:val="000000" w:themeColor="text1"/>
          <w:szCs w:val="28"/>
          <w14:textFill>
            <w14:solidFill>
              <w14:schemeClr w14:val="tx1"/>
            </w14:solidFill>
          </w14:textFill>
        </w:rPr>
        <w:t>以下为本合同附件，与本合同具有同等效力：</w:t>
      </w:r>
    </w:p>
    <w:p>
      <w:pPr>
        <w:pStyle w:val="9"/>
        <w:numPr>
          <w:ilvl w:val="0"/>
          <w:numId w:val="8"/>
        </w:numPr>
        <w:ind w:firstLine="608"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保密协议</w:t>
      </w:r>
    </w:p>
    <w:p>
      <w:pPr>
        <w:pStyle w:val="9"/>
        <w:numPr>
          <w:ilvl w:val="0"/>
          <w:numId w:val="8"/>
        </w:numPr>
        <w:ind w:firstLine="608" w:firstLineChars="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江门市市场监督管理局20</w:t>
      </w:r>
      <w:r>
        <w:rPr>
          <w:rFonts w:hint="eastAsia" w:ascii="仿宋" w:hAnsi="仿宋" w:eastAsia="仿宋" w:cs="仿宋"/>
          <w:color w:val="000000" w:themeColor="text1"/>
          <w:szCs w:val="28"/>
          <w:lang w:val="en-US" w:eastAsia="zh-CN"/>
          <w14:textFill>
            <w14:solidFill>
              <w14:schemeClr w14:val="tx1"/>
            </w14:solidFill>
          </w14:textFill>
        </w:rPr>
        <w:t>26</w:t>
      </w:r>
      <w:r>
        <w:rPr>
          <w:rFonts w:hint="eastAsia" w:ascii="仿宋" w:hAnsi="仿宋" w:eastAsia="仿宋" w:cs="仿宋"/>
          <w:color w:val="000000" w:themeColor="text1"/>
          <w:szCs w:val="28"/>
          <w14:textFill>
            <w14:solidFill>
              <w14:schemeClr w14:val="tx1"/>
            </w14:solidFill>
          </w14:textFill>
        </w:rPr>
        <w:t>年档案整理及数字化加工单价表</w:t>
      </w:r>
    </w:p>
    <w:p>
      <w:pPr>
        <w:pStyle w:val="9"/>
        <w:numPr>
          <w:ilvl w:val="255"/>
          <w:numId w:val="0"/>
        </w:numPr>
        <w:ind w:left="900"/>
        <w:rPr>
          <w:rFonts w:ascii="仿宋" w:hAnsi="仿宋" w:eastAsia="仿宋" w:cs="仿宋"/>
          <w:color w:val="000000" w:themeColor="text1"/>
          <w:szCs w:val="28"/>
          <w14:textFill>
            <w14:solidFill>
              <w14:schemeClr w14:val="tx1"/>
            </w14:solidFill>
          </w14:textFill>
        </w:rPr>
      </w:pPr>
      <w:r>
        <w:rPr>
          <w:rFonts w:hint="eastAsia" w:ascii="仿宋" w:hAnsi="仿宋" w:eastAsia="仿宋" w:cs="仿宋"/>
          <w:color w:val="000000" w:themeColor="text1"/>
          <w:szCs w:val="28"/>
          <w14:textFill>
            <w14:solidFill>
              <w14:schemeClr w14:val="tx1"/>
            </w14:solidFill>
          </w14:textFill>
        </w:rPr>
        <w:t>3.江门市市场监督管理局20</w:t>
      </w:r>
      <w:r>
        <w:rPr>
          <w:rFonts w:hint="eastAsia" w:ascii="仿宋" w:hAnsi="仿宋" w:eastAsia="仿宋" w:cs="仿宋"/>
          <w:color w:val="000000" w:themeColor="text1"/>
          <w:szCs w:val="28"/>
          <w:lang w:val="en-US" w:eastAsia="zh-CN"/>
          <w14:textFill>
            <w14:solidFill>
              <w14:schemeClr w14:val="tx1"/>
            </w14:solidFill>
          </w14:textFill>
        </w:rPr>
        <w:t>26</w:t>
      </w:r>
      <w:r>
        <w:rPr>
          <w:rFonts w:hint="eastAsia" w:ascii="仿宋" w:hAnsi="仿宋" w:eastAsia="仿宋" w:cs="仿宋"/>
          <w:color w:val="000000" w:themeColor="text1"/>
          <w:szCs w:val="28"/>
          <w14:textFill>
            <w14:solidFill>
              <w14:schemeClr w14:val="tx1"/>
            </w14:solidFill>
          </w14:textFill>
        </w:rPr>
        <w:t>年档案整理及数字化加工社会购买服务采购结果公告</w:t>
      </w:r>
    </w:p>
    <w:p>
      <w:pPr>
        <w:spacing w:before="156" w:beforeLines="50"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pPr>
        <w:widowControl/>
        <w:jc w:val="left"/>
        <w:rPr>
          <w:rFonts w:ascii="仿宋" w:hAnsi="仿宋" w:eastAsia="仿宋" w:cs="仿宋"/>
          <w:color w:val="000000" w:themeColor="text1"/>
          <w:szCs w:val="28"/>
          <w14:textFill>
            <w14:solidFill>
              <w14:schemeClr w14:val="tx1"/>
            </w14:solidFill>
          </w14:textFill>
        </w:rPr>
      </w:pPr>
    </w:p>
    <w:p>
      <w:pPr>
        <w:spacing w:line="48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480" w:lineRule="exact"/>
        <w:ind w:firstLine="56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：政泰数智科技有限公司</w:t>
      </w:r>
    </w:p>
    <w:p>
      <w:pPr>
        <w:spacing w:line="480" w:lineRule="exact"/>
        <w:ind w:firstLine="2419" w:firstLineChars="86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pStyle w:val="9"/>
        <w:ind w:firstLine="608"/>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p>
    <w:p>
      <w:pPr>
        <w:tabs>
          <w:tab w:val="left" w:pos="3765"/>
        </w:tabs>
        <w:spacing w:line="380" w:lineRule="exact"/>
        <w:ind w:firstLine="321" w:firstLineChars="100"/>
        <w:jc w:val="center"/>
        <w:rPr>
          <w:rFonts w:ascii="宋体" w:hAnsi="宋体" w:eastAsia="宋体" w:cs="宋体"/>
          <w:b/>
          <w:color w:val="000000" w:themeColor="text1"/>
          <w:sz w:val="32"/>
          <w:szCs w:val="32"/>
          <w:shd w:val="clear" w:color="auto" w:fill="FFFFFF"/>
          <w14:textFill>
            <w14:solidFill>
              <w14:schemeClr w14:val="tx1"/>
            </w14:solidFill>
          </w14:textFill>
        </w:rPr>
      </w:pPr>
      <w:r>
        <w:rPr>
          <w:rFonts w:hint="eastAsia" w:ascii="宋体" w:hAnsi="宋体" w:eastAsia="宋体" w:cs="宋体"/>
          <w:b/>
          <w:color w:val="000000" w:themeColor="text1"/>
          <w:sz w:val="32"/>
          <w:szCs w:val="32"/>
          <w:shd w:val="clear" w:color="auto" w:fill="FFFFFF"/>
          <w14:textFill>
            <w14:solidFill>
              <w14:schemeClr w14:val="tx1"/>
            </w14:solidFill>
          </w14:textFill>
        </w:rPr>
        <w:t>保密协议</w:t>
      </w:r>
    </w:p>
    <w:p>
      <w:pPr>
        <w:spacing w:after="156" w:afterLines="50" w:line="440" w:lineRule="exact"/>
        <w:rPr>
          <w:rFonts w:ascii="宋体" w:hAnsi="宋体"/>
          <w:color w:val="000000" w:themeColor="text1"/>
          <w:szCs w:val="21"/>
          <w14:textFill>
            <w14:solidFill>
              <w14:schemeClr w14:val="tx1"/>
            </w14:solidFill>
          </w14:textFill>
        </w:rPr>
      </w:pP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甲方：江门市市场监督管理局</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w:t>
      </w:r>
    </w:p>
    <w:p>
      <w:pPr>
        <w:pStyle w:val="9"/>
        <w:ind w:firstLine="608"/>
      </w:pP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鉴于乙方因</w:t>
      </w:r>
      <w:r>
        <w:rPr>
          <w:rFonts w:ascii="仿宋" w:hAnsi="仿宋" w:eastAsia="仿宋"/>
          <w:color w:val="000000" w:themeColor="text1"/>
          <w:sz w:val="28"/>
          <w:szCs w:val="28"/>
          <w14:textFill>
            <w14:solidFill>
              <w14:schemeClr w14:val="tx1"/>
            </w14:solidFill>
          </w14:textFill>
        </w:rPr>
        <w:t>20</w:t>
      </w:r>
      <w:r>
        <w:rPr>
          <w:rFonts w:hint="eastAsia" w:ascii="仿宋" w:hAnsi="仿宋" w:eastAsia="仿宋"/>
          <w:color w:val="000000" w:themeColor="text1"/>
          <w:sz w:val="28"/>
          <w:szCs w:val="28"/>
          <w:lang w:val="en-US" w:eastAsia="zh-CN"/>
          <w14:textFill>
            <w14:solidFill>
              <w14:schemeClr w14:val="tx1"/>
            </w14:solidFill>
          </w14:textFill>
        </w:rPr>
        <w:t>26</w:t>
      </w:r>
      <w:r>
        <w:rPr>
          <w:rFonts w:hint="eastAsia" w:ascii="仿宋" w:hAnsi="仿宋" w:eastAsia="仿宋"/>
          <w:color w:val="000000" w:themeColor="text1"/>
          <w:sz w:val="28"/>
          <w:szCs w:val="28"/>
          <w14:textFill>
            <w14:solidFill>
              <w14:schemeClr w14:val="tx1"/>
            </w14:solidFill>
          </w14:textFill>
        </w:rPr>
        <w:t>年档案整理及数字化加工社会购买服务项目，为甲方提供档案整理及数字化处理服务。为在项目实施期间保证纸质档案原件及电子档案数据的安全和项目实施期间以及实施完成以后保守因工作需要接触到的甲方档案信息秘密等有关事项，经双方友好协商，达成如下条款，并愿共同遵守：</w:t>
      </w:r>
    </w:p>
    <w:p>
      <w:pPr>
        <w:pStyle w:val="8"/>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第一部分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保密职责</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第一条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双方确认</w:t>
      </w:r>
      <w:r>
        <w:rPr>
          <w:rFonts w:ascii="仿宋" w:hAnsi="仿宋" w:eastAsia="仿宋"/>
          <w:color w:val="000000" w:themeColor="text1"/>
          <w:sz w:val="28"/>
          <w:szCs w:val="28"/>
          <w14:textFill>
            <w14:solidFill>
              <w14:schemeClr w14:val="tx1"/>
            </w14:solidFill>
          </w14:textFill>
        </w:rPr>
        <w:t>:</w:t>
      </w:r>
      <w:r>
        <w:rPr>
          <w:rFonts w:hint="eastAsia" w:ascii="仿宋" w:hAnsi="仿宋" w:eastAsia="仿宋"/>
          <w:color w:val="000000" w:themeColor="text1"/>
          <w:sz w:val="28"/>
          <w:szCs w:val="28"/>
          <w14:textFill>
            <w14:solidFill>
              <w14:schemeClr w14:val="tx1"/>
            </w14:solidFill>
          </w14:textFill>
        </w:rPr>
        <w:t>在项目实施期间，因工作需要接触到的甲方的档案材料（包括但不限于纸质档案、声像档案、实物档案、档案目录以及电子文件等）内容为甲方的秘密，乙方必须保守该秘密。乙方除为完成双方约定的工作所需，不得擅自复制、拍摄、抄写、留存甲方档案材料或者将因工作所产生的档案材料复制件、档案材料原件等带离甲方所指定的工作场所。乙方同时应提供一切必要的方式和采取一切适当的措施，协助甲方保证档案安全和保守档案秘密。</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第二条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项目实施期间，乙方必须遵守甲方规定的任何成文或不成文的保密制度，履行相应的保密职责。甲方的保密制度没有规定或者规定不明确的，乙方应本着谨慎、诚实的态度，采取任何必要、合理的措施，维护其项目实施期间了解到的任何属于甲方或者虽属于第三方，但甲方承诺有保密义务的相关档案材料不予外泄，以保证其秘密性。</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第三条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除了项目实施期间必要的工作需要之外，乙方承诺</w:t>
      </w:r>
      <w:r>
        <w:rPr>
          <w:rFonts w:ascii="仿宋" w:hAnsi="仿宋" w:eastAsia="仿宋"/>
          <w:color w:val="000000" w:themeColor="text1"/>
          <w:sz w:val="28"/>
          <w:szCs w:val="28"/>
          <w14:textFill>
            <w14:solidFill>
              <w14:schemeClr w14:val="tx1"/>
            </w14:solidFill>
          </w14:textFill>
        </w:rPr>
        <w:t>:未经甲方同意，不得以泄露、告知、公布、发布、出版、转让或者其他任何方式使第三方知悉(包括乙方非参与本项目的、不得知悉该项秘密的其他工作人员)属于甲方或者虽属于第三方但甲方有保密义务的相关档案材料，也不得在项目实施期间必要的工作之外使用这些秘密信息。</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第四条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在项目完成后仍对其在为甲方提供综合档案资料规范化处理技术服务期间接触、或因接触而知悉的属于甲方或者虽属于第三方但甲方承诺有保密义务的档案信息秘密和其他与档案数字化处理相关的信息承担保密责任，直至甲方宣布档案公开或者档案信息实际上已经公开为止。</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第五条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乙方保证该保密信息仅用于与综合档案资料规范化处理技术服务项目合作有关的用途或目的。</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乙方保证对甲方所提供的保密资料及信息予以妥善保存。</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第六条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乙方保证保密信息仅可在乙方从事该项目的负责人和雇员范围内知悉。在上述人员知悉该保密信息前，乙方应向其提示保密信息的保密性和应承担的义务，并保证上述人员以书面形式同意接受本协议条款的约束。</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第七条</w:t>
      </w:r>
      <w:r>
        <w:rPr>
          <w:rFonts w:ascii="仿宋" w:hAnsi="仿宋" w:eastAsia="仿宋"/>
          <w:color w:val="000000" w:themeColor="text1"/>
          <w:sz w:val="28"/>
          <w:szCs w:val="28"/>
          <w14:textFill>
            <w14:solidFill>
              <w14:schemeClr w14:val="tx1"/>
            </w14:solidFill>
          </w14:textFill>
        </w:rPr>
        <w:t xml:space="preserve">  乙方应当于项目实施完成时，或者经甲方提出请求时，返还全部属于甲方的物件。乙方因项目实施工作上的需要所持有或保管的一切记录着甲方档案信息的文件、资料、图表、笔记、报告、信件、传真、磁带、磁盘、仪器、电脑以及其他任何形式的载体，能交付甲方的应立即交还甲方，不能交付甲方的则乙方应予以及时销毁或对载体上记录的信息作不可恢复的删除。 </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第八条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所提及的档案秘密信息，包括但不限于：档案、档案中记载的人名、档案中记载的事件、纸质档案本身、其它载体的档案、档案目录、档案电子原文、档案电子化处理扫描文件加工前的文件、档案电子化处理扫描文件加工后的文件、档案机读目录、档案的封皮、加工过程中的数据库、加工档案整理记录、加工档案整理报告、档案检验报告、项目备忘录、技术文档、相关的函电等。</w:t>
      </w:r>
    </w:p>
    <w:p>
      <w:pPr>
        <w:pStyle w:val="8"/>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第二部分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违约责任</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第九条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在双方约定的项目实施期间乙方违反本协议或双方其它约定的保密义务的，甲方可单方面解除双方签订的《江门市市场监督管理局20</w:t>
      </w:r>
      <w:r>
        <w:rPr>
          <w:rFonts w:hint="eastAsia" w:ascii="仿宋" w:hAnsi="仿宋" w:eastAsia="仿宋"/>
          <w:color w:val="000000" w:themeColor="text1"/>
          <w:sz w:val="28"/>
          <w:szCs w:val="28"/>
          <w:lang w:val="en-US" w:eastAsia="zh-CN"/>
          <w14:textFill>
            <w14:solidFill>
              <w14:schemeClr w14:val="tx1"/>
            </w14:solidFill>
          </w14:textFill>
        </w:rPr>
        <w:t>26</w:t>
      </w:r>
      <w:r>
        <w:rPr>
          <w:rFonts w:hint="eastAsia" w:ascii="仿宋" w:hAnsi="仿宋" w:eastAsia="仿宋"/>
          <w:color w:val="000000" w:themeColor="text1"/>
          <w:sz w:val="28"/>
          <w:szCs w:val="28"/>
          <w14:textFill>
            <w14:solidFill>
              <w14:schemeClr w14:val="tx1"/>
            </w14:solidFill>
          </w14:textFill>
        </w:rPr>
        <w:t>年档案整理及数字化加工社会购买服务合同》（以下简称《合同》）和本协议，因此给甲方造成损失的，乙方应同时予以赔偿；如在项目实施完毕乙方违反保密义务的，乙方应按双方签订《合同》的项目总费用的</w:t>
      </w:r>
      <w:r>
        <w:rPr>
          <w:rFonts w:ascii="仿宋" w:hAnsi="仿宋" w:eastAsia="仿宋"/>
          <w:color w:val="000000" w:themeColor="text1"/>
          <w:sz w:val="28"/>
          <w:szCs w:val="28"/>
          <w14:textFill>
            <w14:solidFill>
              <w14:schemeClr w14:val="tx1"/>
            </w14:solidFill>
          </w14:textFill>
        </w:rPr>
        <w:t>30%向甲方承担违约责任。此违约金不足以弥补甲方实际损失的，乙方应</w:t>
      </w:r>
      <w:r>
        <w:rPr>
          <w:rFonts w:hint="eastAsia" w:ascii="仿宋" w:hAnsi="仿宋" w:eastAsia="仿宋"/>
          <w:color w:val="000000" w:themeColor="text1"/>
          <w:sz w:val="28"/>
          <w:szCs w:val="28"/>
          <w14:textFill>
            <w14:solidFill>
              <w14:schemeClr w14:val="tx1"/>
            </w14:solidFill>
          </w14:textFill>
        </w:rPr>
        <w:t>就全部</w:t>
      </w:r>
      <w:r>
        <w:rPr>
          <w:rFonts w:ascii="仿宋" w:hAnsi="仿宋" w:eastAsia="仿宋"/>
          <w:color w:val="000000" w:themeColor="text1"/>
          <w:sz w:val="28"/>
          <w:szCs w:val="28"/>
          <w14:textFill>
            <w14:solidFill>
              <w14:schemeClr w14:val="tx1"/>
            </w14:solidFill>
          </w14:textFill>
        </w:rPr>
        <w:t>实际损失承担赔偿责任。</w:t>
      </w:r>
    </w:p>
    <w:p>
      <w:pPr>
        <w:pStyle w:val="8"/>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第三部分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免责条款</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由于地震、水灾、火灾或政策变化等人力不能预见、不能避免、不能抗拒的原因，导致甲乙双方或一方不能履行或不能完全履行本协议项下的有关义务时，甲乙双方相互不承担违约责任；在不可抗力影响消除后的合理时间内，一方或双方应当继续履行本协议。</w:t>
      </w:r>
    </w:p>
    <w:p>
      <w:pPr>
        <w:pStyle w:val="8"/>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第四部分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协议有效期</w:t>
      </w:r>
    </w:p>
    <w:p>
      <w:pPr>
        <w:tabs>
          <w:tab w:val="left" w:pos="567"/>
        </w:tabs>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第十一条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本保密协议长期有效，《合同》到期后乙方仍须遵守本协议的保密义务。</w:t>
      </w:r>
    </w:p>
    <w:p>
      <w:pPr>
        <w:pStyle w:val="8"/>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第五部分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争议解决</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第十二条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受中华人民共和国（以下简称“中国”）的法律管辖并按照中国的法律进行解释。由于本协议的履行或解释而产生的或与之有关的任何争议，甲、乙双方产生的纠纷应按友好协商的原则予以处理，如双方无法协商解决，可向甲方所在地有管辖权法院提起诉讼。</w:t>
      </w:r>
    </w:p>
    <w:p>
      <w:pPr>
        <w:pStyle w:val="8"/>
        <w:spacing w:line="480" w:lineRule="exact"/>
        <w:ind w:firstLine="421" w:firstLineChars="150"/>
        <w:outlineLvl w:val="0"/>
        <w:rPr>
          <w:rFonts w:ascii="仿宋" w:hAnsi="仿宋" w:eastAsia="仿宋" w:cs="宋体"/>
          <w:b/>
          <w:color w:val="000000" w:themeColor="text1"/>
          <w:sz w:val="28"/>
          <w:szCs w:val="28"/>
          <w14:textFill>
            <w14:solidFill>
              <w14:schemeClr w14:val="tx1"/>
            </w14:solidFill>
          </w14:textFill>
        </w:rPr>
      </w:pPr>
      <w:r>
        <w:rPr>
          <w:rFonts w:hint="eastAsia" w:ascii="仿宋" w:hAnsi="仿宋" w:eastAsia="仿宋" w:cs="宋体"/>
          <w:b/>
          <w:color w:val="000000" w:themeColor="text1"/>
          <w:sz w:val="28"/>
          <w:szCs w:val="28"/>
          <w14:textFill>
            <w14:solidFill>
              <w14:schemeClr w14:val="tx1"/>
            </w14:solidFill>
          </w14:textFill>
        </w:rPr>
        <w:t>第六部分</w:t>
      </w:r>
      <w:r>
        <w:rPr>
          <w:rFonts w:ascii="仿宋" w:hAnsi="仿宋" w:eastAsia="仿宋" w:cs="宋体"/>
          <w:b/>
          <w:color w:val="000000" w:themeColor="text1"/>
          <w:sz w:val="28"/>
          <w:szCs w:val="28"/>
          <w14:textFill>
            <w14:solidFill>
              <w14:schemeClr w14:val="tx1"/>
            </w14:solidFill>
          </w14:textFill>
        </w:rPr>
        <w:t xml:space="preserve"> </w:t>
      </w:r>
      <w:r>
        <w:rPr>
          <w:rFonts w:hint="eastAsia" w:ascii="仿宋" w:hAnsi="仿宋" w:eastAsia="仿宋" w:cs="宋体"/>
          <w:b/>
          <w:color w:val="000000" w:themeColor="text1"/>
          <w:sz w:val="28"/>
          <w:szCs w:val="28"/>
          <w14:textFill>
            <w14:solidFill>
              <w14:schemeClr w14:val="tx1"/>
            </w14:solidFill>
          </w14:textFill>
        </w:rPr>
        <w:t>其他</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第十三条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非经双方书面确认，任何一方不得变更或修改本协议，国家另有规定的除外。</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第十四条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本协议未尽事宜，双方可签订补充协议。本协议的补充协议为其不可分割的一部分，与本协议具有同等法律效力。</w:t>
      </w:r>
    </w:p>
    <w:p>
      <w:pPr>
        <w:spacing w:line="480" w:lineRule="exact"/>
        <w:ind w:firstLine="560" w:firstLineChars="200"/>
        <w:rPr>
          <w:rFonts w:ascii="仿宋" w:hAnsi="仿宋" w:eastAsia="仿宋"/>
          <w:color w:val="000000" w:themeColor="text1"/>
          <w:sz w:val="28"/>
          <w:szCs w:val="28"/>
          <w14:textFill>
            <w14:solidFill>
              <w14:schemeClr w14:val="tx1"/>
            </w14:solidFill>
          </w14:textFill>
        </w:rPr>
      </w:pPr>
      <w:r>
        <w:rPr>
          <w:rFonts w:hint="eastAsia" w:ascii="仿宋" w:hAnsi="仿宋" w:eastAsia="仿宋"/>
          <w:color w:val="000000" w:themeColor="text1"/>
          <w:sz w:val="28"/>
          <w:szCs w:val="28"/>
          <w14:textFill>
            <w14:solidFill>
              <w14:schemeClr w14:val="tx1"/>
            </w14:solidFill>
          </w14:textFill>
        </w:rPr>
        <w:t>第十五条</w:t>
      </w:r>
      <w:r>
        <w:rPr>
          <w:rFonts w:ascii="仿宋" w:hAnsi="仿宋" w:eastAsia="仿宋"/>
          <w:color w:val="000000" w:themeColor="text1"/>
          <w:sz w:val="28"/>
          <w:szCs w:val="28"/>
          <w14:textFill>
            <w14:solidFill>
              <w14:schemeClr w14:val="tx1"/>
            </w14:solidFill>
          </w14:textFill>
        </w:rPr>
        <w:t xml:space="preserve">  </w:t>
      </w:r>
      <w:r>
        <w:rPr>
          <w:rFonts w:hint="eastAsia" w:ascii="仿宋" w:hAnsi="仿宋" w:eastAsia="仿宋"/>
          <w:color w:val="000000" w:themeColor="text1"/>
          <w:sz w:val="28"/>
          <w:szCs w:val="28"/>
          <w14:textFill>
            <w14:solidFill>
              <w14:schemeClr w14:val="tx1"/>
            </w14:solidFill>
          </w14:textFill>
        </w:rPr>
        <w:t>本协议自双方在协议签字和盖章之日起生效。</w:t>
      </w:r>
    </w:p>
    <w:p>
      <w:pPr>
        <w:spacing w:line="480" w:lineRule="exact"/>
        <w:rPr>
          <w:rFonts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（以下无正文）</w:t>
      </w:r>
    </w:p>
    <w:p>
      <w:pPr>
        <w:spacing w:line="480" w:lineRule="exact"/>
        <w:ind w:firstLine="562" w:firstLineChars="200"/>
        <w:rPr>
          <w:rFonts w:ascii="仿宋" w:hAnsi="仿宋" w:eastAsia="仿宋" w:cs="仿宋"/>
          <w:b/>
          <w:bCs/>
          <w:color w:val="000000" w:themeColor="text1"/>
          <w:sz w:val="28"/>
          <w:szCs w:val="28"/>
          <w14:textFill>
            <w14:solidFill>
              <w14:schemeClr w14:val="tx1"/>
            </w14:solidFill>
          </w14:textFill>
        </w:rPr>
      </w:pPr>
    </w:p>
    <w:p>
      <w:pPr>
        <w:pStyle w:val="9"/>
        <w:ind w:firstLine="610"/>
        <w:rPr>
          <w:rFonts w:ascii="仿宋" w:hAnsi="仿宋" w:eastAsia="仿宋" w:cs="仿宋"/>
          <w:b/>
          <w:bCs/>
          <w:color w:val="000000" w:themeColor="text1"/>
          <w:szCs w:val="28"/>
          <w14:textFill>
            <w14:solidFill>
              <w14:schemeClr w14:val="tx1"/>
            </w14:solidFill>
          </w14:textFill>
        </w:rPr>
      </w:pPr>
    </w:p>
    <w:p>
      <w:pPr>
        <w:pStyle w:val="9"/>
        <w:ind w:firstLine="610"/>
        <w:rPr>
          <w:rFonts w:ascii="仿宋" w:hAnsi="仿宋" w:eastAsia="仿宋" w:cs="仿宋"/>
          <w:b/>
          <w:bCs/>
          <w:color w:val="000000" w:themeColor="text1"/>
          <w:szCs w:val="28"/>
          <w14:textFill>
            <w14:solidFill>
              <w14:schemeClr w14:val="tx1"/>
            </w14:solidFill>
          </w14:textFill>
        </w:rPr>
      </w:pPr>
    </w:p>
    <w:p>
      <w:pPr>
        <w:pStyle w:val="9"/>
        <w:ind w:firstLine="610"/>
        <w:rPr>
          <w:rFonts w:ascii="仿宋" w:hAnsi="仿宋" w:eastAsia="仿宋" w:cs="仿宋"/>
          <w:b/>
          <w:bCs/>
          <w:color w:val="000000" w:themeColor="text1"/>
          <w:szCs w:val="28"/>
          <w14:textFill>
            <w14:solidFill>
              <w14:schemeClr w14:val="tx1"/>
            </w14:solidFill>
          </w14:textFill>
        </w:rPr>
      </w:pPr>
    </w:p>
    <w:p>
      <w:pPr>
        <w:pStyle w:val="9"/>
        <w:ind w:firstLine="610"/>
        <w:rPr>
          <w:rFonts w:ascii="仿宋" w:hAnsi="仿宋" w:eastAsia="仿宋" w:cs="仿宋"/>
          <w:b/>
          <w:bCs/>
          <w:color w:val="000000" w:themeColor="text1"/>
          <w:szCs w:val="28"/>
          <w14:textFill>
            <w14:solidFill>
              <w14:schemeClr w14:val="tx1"/>
            </w14:solidFill>
          </w14:textFill>
        </w:rPr>
      </w:pPr>
    </w:p>
    <w:p>
      <w:pPr>
        <w:pStyle w:val="9"/>
        <w:ind w:firstLine="610"/>
        <w:rPr>
          <w:rFonts w:ascii="仿宋" w:hAnsi="仿宋" w:eastAsia="仿宋" w:cs="仿宋"/>
          <w:b/>
          <w:bCs/>
          <w:color w:val="000000" w:themeColor="text1"/>
          <w:szCs w:val="28"/>
          <w14:textFill>
            <w14:solidFill>
              <w14:schemeClr w14:val="tx1"/>
            </w14:solidFill>
          </w14:textFill>
        </w:rPr>
      </w:pPr>
    </w:p>
    <w:p>
      <w:pPr>
        <w:spacing w:line="48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 xml:space="preserve">：江门市市场监督管理局  </w:t>
      </w:r>
    </w:p>
    <w:p>
      <w:pPr>
        <w:spacing w:line="480" w:lineRule="exact"/>
        <w:ind w:firstLine="2240" w:firstLineChars="8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法定代表人或授权委托人：（签字）    </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spacing w:line="480" w:lineRule="exact"/>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 xml:space="preserve"> </w:t>
      </w:r>
    </w:p>
    <w:p>
      <w:pPr>
        <w:spacing w:line="480" w:lineRule="exact"/>
        <w:ind w:firstLine="562"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w:t>
      </w:r>
    </w:p>
    <w:p>
      <w:pPr>
        <w:spacing w:line="480" w:lineRule="exact"/>
        <w:ind w:firstLine="2419" w:firstLineChars="864"/>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（盖章）</w:t>
      </w:r>
    </w:p>
    <w:p>
      <w:pPr>
        <w:spacing w:line="480" w:lineRule="exact"/>
        <w:ind w:firstLine="560" w:firstLineChars="2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法定代表人或授权委托人：（签字）</w:t>
      </w:r>
    </w:p>
    <w:p>
      <w:pPr>
        <w:spacing w:line="480" w:lineRule="exact"/>
        <w:ind w:firstLine="1960" w:firstLineChars="700"/>
        <w:rPr>
          <w:rFonts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年    月    日</w:t>
      </w: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firstLine="608"/>
        <w:rPr>
          <w:rFonts w:ascii="仿宋" w:hAnsi="仿宋" w:eastAsia="仿宋" w:cs="仿宋"/>
          <w:color w:val="000000" w:themeColor="text1"/>
          <w:szCs w:val="28"/>
          <w14:textFill>
            <w14:solidFill>
              <w14:schemeClr w14:val="tx1"/>
            </w14:solidFill>
          </w14:textFill>
        </w:rPr>
      </w:pPr>
    </w:p>
    <w:p>
      <w:pPr>
        <w:pStyle w:val="9"/>
        <w:ind w:left="0" w:firstLine="0" w:firstLineChars="0"/>
        <w:rPr>
          <w:rFonts w:ascii="仿宋" w:hAnsi="仿宋" w:eastAsia="仿宋" w:cs="仿宋"/>
          <w:color w:val="000000" w:themeColor="text1"/>
          <w:szCs w:val="28"/>
          <w14:textFill>
            <w14:solidFill>
              <w14:schemeClr w14:val="tx1"/>
            </w14:solidFill>
          </w14:textFill>
        </w:rPr>
      </w:pPr>
    </w:p>
    <w:p>
      <w:pPr>
        <w:pStyle w:val="9"/>
        <w:ind w:left="0" w:firstLine="0" w:firstLineChars="0"/>
        <w:jc w:val="center"/>
        <w:rPr>
          <w:rFonts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单价表</w:t>
      </w:r>
    </w:p>
    <w:tbl>
      <w:tblPr>
        <w:tblStyle w:val="10"/>
        <w:tblW w:w="632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3"/>
        <w:gridCol w:w="1938"/>
        <w:gridCol w:w="1530"/>
        <w:gridCol w:w="763"/>
        <w:gridCol w:w="1069"/>
        <w:gridCol w:w="1153"/>
        <w:gridCol w:w="35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68" w:hRule="atLeast"/>
          <w:jc w:val="center"/>
        </w:trPr>
        <w:tc>
          <w:tcPr>
            <w:tcW w:w="34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序号</w:t>
            </w:r>
          </w:p>
        </w:tc>
        <w:tc>
          <w:tcPr>
            <w:tcW w:w="899"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服务类别</w:t>
            </w:r>
          </w:p>
        </w:tc>
        <w:tc>
          <w:tcPr>
            <w:tcW w:w="71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数量</w:t>
            </w:r>
          </w:p>
        </w:tc>
        <w:tc>
          <w:tcPr>
            <w:tcW w:w="35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单位</w:t>
            </w:r>
          </w:p>
        </w:tc>
        <w:tc>
          <w:tcPr>
            <w:tcW w:w="496"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单价（元）</w:t>
            </w:r>
          </w:p>
        </w:tc>
        <w:tc>
          <w:tcPr>
            <w:tcW w:w="535"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合计（元）</w:t>
            </w:r>
          </w:p>
        </w:tc>
        <w:tc>
          <w:tcPr>
            <w:tcW w:w="166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5" w:hRule="atLeast"/>
          <w:jc w:val="center"/>
        </w:trPr>
        <w:tc>
          <w:tcPr>
            <w:tcW w:w="34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w:t>
            </w:r>
          </w:p>
        </w:tc>
        <w:tc>
          <w:tcPr>
            <w:tcW w:w="899"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20</w:t>
            </w:r>
            <w:r>
              <w:rPr>
                <w:rFonts w:hint="eastAsia" w:ascii="宋体" w:hAnsi="宋体" w:eastAsia="宋体" w:cs="宋体"/>
                <w:sz w:val="24"/>
                <w:szCs w:val="24"/>
                <w:lang w:val="en-US" w:eastAsia="zh-CN"/>
              </w:rPr>
              <w:t>25</w:t>
            </w:r>
            <w:r>
              <w:rPr>
                <w:rFonts w:hint="eastAsia" w:ascii="宋体" w:hAnsi="宋体" w:eastAsia="宋体" w:cs="宋体"/>
                <w:sz w:val="24"/>
                <w:szCs w:val="24"/>
              </w:rPr>
              <w:t>年度纸质文书档案</w:t>
            </w:r>
          </w:p>
        </w:tc>
        <w:tc>
          <w:tcPr>
            <w:tcW w:w="710"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lang w:val="en-US" w:eastAsia="zh-CN"/>
              </w:rPr>
              <w:t>5300</w:t>
            </w:r>
            <w:r>
              <w:rPr>
                <w:rFonts w:hint="eastAsia" w:ascii="宋体" w:hAnsi="宋体" w:eastAsia="宋体" w:cs="宋体"/>
                <w:sz w:val="24"/>
                <w:szCs w:val="24"/>
              </w:rPr>
              <w:t>（包括永久、30年、10年）</w:t>
            </w:r>
          </w:p>
        </w:tc>
        <w:tc>
          <w:tcPr>
            <w:tcW w:w="354"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件</w:t>
            </w:r>
          </w:p>
        </w:tc>
        <w:tc>
          <w:tcPr>
            <w:tcW w:w="496" w:type="pct"/>
            <w:vAlign w:val="center"/>
          </w:tcPr>
          <w:p>
            <w:pPr>
              <w:widowControl/>
              <w:spacing w:line="360" w:lineRule="auto"/>
              <w:jc w:val="center"/>
              <w:textAlignment w:val="center"/>
              <w:rPr>
                <w:rFonts w:ascii="宋体" w:hAnsi="宋体" w:eastAsia="宋体" w:cs="宋体"/>
                <w:sz w:val="24"/>
                <w:szCs w:val="24"/>
              </w:rPr>
            </w:pPr>
          </w:p>
        </w:tc>
        <w:tc>
          <w:tcPr>
            <w:tcW w:w="535" w:type="pct"/>
            <w:vAlign w:val="center"/>
          </w:tcPr>
          <w:p>
            <w:pPr>
              <w:widowControl/>
              <w:spacing w:line="360" w:lineRule="auto"/>
              <w:jc w:val="center"/>
              <w:textAlignment w:val="center"/>
              <w:rPr>
                <w:rFonts w:ascii="宋体" w:hAnsi="宋体" w:eastAsia="宋体" w:cs="宋体"/>
                <w:sz w:val="24"/>
                <w:szCs w:val="24"/>
              </w:rPr>
            </w:pPr>
          </w:p>
        </w:tc>
        <w:tc>
          <w:tcPr>
            <w:tcW w:w="1664"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打印文件、档案分类、保管期限分类、组件排序、单份文件装订、打</w:t>
            </w:r>
            <w:r>
              <w:rPr>
                <w:rFonts w:hint="eastAsia" w:ascii="宋体" w:hAnsi="宋体" w:cs="宋体"/>
                <w:sz w:val="24"/>
                <w:szCs w:val="24"/>
              </w:rPr>
              <w:t>页</w:t>
            </w:r>
            <w:r>
              <w:rPr>
                <w:rFonts w:hint="eastAsia" w:ascii="宋体" w:hAnsi="宋体" w:eastAsia="宋体" w:cs="宋体"/>
                <w:sz w:val="24"/>
                <w:szCs w:val="24"/>
              </w:rPr>
              <w:t>码、编号、数字化加工扫描、编目、泰坦系统条目录入、打印目录、装订目录、装盒、刻录光盘、上架等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340"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w:t>
            </w:r>
          </w:p>
        </w:tc>
        <w:tc>
          <w:tcPr>
            <w:tcW w:w="899"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企业登记纸质档案整理</w:t>
            </w:r>
          </w:p>
        </w:tc>
        <w:tc>
          <w:tcPr>
            <w:tcW w:w="710" w:type="pct"/>
            <w:shd w:val="clear" w:color="auto" w:fill="auto"/>
            <w:vAlign w:val="center"/>
          </w:tcPr>
          <w:p>
            <w:pPr>
              <w:spacing w:line="360" w:lineRule="auto"/>
              <w:jc w:val="center"/>
              <w:rPr>
                <w:rFonts w:ascii="宋体" w:hAnsi="宋体" w:eastAsia="宋体" w:cs="宋体"/>
                <w:sz w:val="24"/>
                <w:szCs w:val="24"/>
              </w:rPr>
            </w:pPr>
            <w:r>
              <w:rPr>
                <w:rFonts w:hint="eastAsia" w:ascii="仿宋" w:hAnsi="仿宋" w:eastAsia="仿宋" w:cs="仿宋"/>
                <w:color w:val="000000" w:themeColor="text1"/>
                <w:kern w:val="2"/>
                <w:sz w:val="28"/>
                <w:szCs w:val="28"/>
                <w:lang w:val="en-US" w:eastAsia="zh-CN"/>
                <w14:textFill>
                  <w14:solidFill>
                    <w14:schemeClr w14:val="tx1"/>
                  </w14:solidFill>
                </w14:textFill>
              </w:rPr>
              <w:t>3600</w:t>
            </w:r>
          </w:p>
        </w:tc>
        <w:tc>
          <w:tcPr>
            <w:tcW w:w="354"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卷</w:t>
            </w:r>
          </w:p>
        </w:tc>
        <w:tc>
          <w:tcPr>
            <w:tcW w:w="496" w:type="pct"/>
            <w:shd w:val="clear" w:color="auto" w:fill="auto"/>
            <w:vAlign w:val="center"/>
          </w:tcPr>
          <w:p>
            <w:pPr>
              <w:widowControl/>
              <w:spacing w:line="360" w:lineRule="auto"/>
              <w:jc w:val="center"/>
              <w:textAlignment w:val="center"/>
              <w:rPr>
                <w:rFonts w:ascii="宋体" w:hAnsi="宋体" w:eastAsia="宋体" w:cs="宋体"/>
                <w:sz w:val="24"/>
                <w:szCs w:val="24"/>
              </w:rPr>
            </w:pPr>
          </w:p>
        </w:tc>
        <w:tc>
          <w:tcPr>
            <w:tcW w:w="535" w:type="pct"/>
            <w:shd w:val="clear" w:color="auto" w:fill="auto"/>
            <w:vAlign w:val="center"/>
          </w:tcPr>
          <w:p>
            <w:pPr>
              <w:widowControl/>
              <w:spacing w:line="360" w:lineRule="auto"/>
              <w:jc w:val="center"/>
              <w:textAlignment w:val="center"/>
              <w:rPr>
                <w:rFonts w:ascii="宋体" w:hAnsi="宋体" w:eastAsia="宋体" w:cs="宋体"/>
                <w:sz w:val="24"/>
                <w:szCs w:val="24"/>
              </w:rPr>
            </w:pPr>
          </w:p>
        </w:tc>
        <w:tc>
          <w:tcPr>
            <w:tcW w:w="1664" w:type="pct"/>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起钉、托纸、分类、扫描、排序、挂接（包括对扫描资料进行检查、设置级别、图像纠偏、去噪等图像处理）、装订、条形码录入管理、质检、档案盒条形码编号、打印封面、入盒、上架等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 w:hRule="atLeast"/>
          <w:jc w:val="center"/>
        </w:trPr>
        <w:tc>
          <w:tcPr>
            <w:tcW w:w="340" w:type="pct"/>
            <w:vAlign w:val="center"/>
          </w:tcPr>
          <w:p>
            <w:pPr>
              <w:spacing w:line="360" w:lineRule="auto"/>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w:t>
            </w:r>
          </w:p>
        </w:tc>
        <w:tc>
          <w:tcPr>
            <w:tcW w:w="899" w:type="pct"/>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其他专业档案整理</w:t>
            </w:r>
          </w:p>
        </w:tc>
        <w:tc>
          <w:tcPr>
            <w:tcW w:w="710" w:type="pct"/>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lang w:val="en-US" w:eastAsia="zh-CN"/>
              </w:rPr>
              <w:t>8</w:t>
            </w:r>
            <w:r>
              <w:rPr>
                <w:rFonts w:hint="eastAsia" w:ascii="宋体" w:hAnsi="宋体" w:eastAsia="宋体" w:cs="宋体"/>
                <w:sz w:val="24"/>
                <w:szCs w:val="24"/>
              </w:rPr>
              <w:t>00</w:t>
            </w:r>
          </w:p>
        </w:tc>
        <w:tc>
          <w:tcPr>
            <w:tcW w:w="354" w:type="pct"/>
            <w:vAlign w:val="center"/>
          </w:tcPr>
          <w:p>
            <w:pPr>
              <w:spacing w:line="360" w:lineRule="auto"/>
              <w:jc w:val="center"/>
              <w:rPr>
                <w:rFonts w:hint="eastAsia" w:ascii="宋体" w:hAnsi="宋体" w:eastAsia="宋体" w:cs="宋体"/>
                <w:kern w:val="2"/>
                <w:sz w:val="24"/>
                <w:szCs w:val="24"/>
                <w:lang w:val="en-US" w:eastAsia="zh-CN" w:bidi="ar-SA"/>
              </w:rPr>
            </w:pPr>
            <w:r>
              <w:rPr>
                <w:rFonts w:hint="eastAsia" w:ascii="宋体" w:hAnsi="宋体" w:eastAsia="宋体" w:cs="宋体"/>
                <w:sz w:val="24"/>
                <w:szCs w:val="24"/>
              </w:rPr>
              <w:t>卷</w:t>
            </w:r>
          </w:p>
        </w:tc>
        <w:tc>
          <w:tcPr>
            <w:tcW w:w="496" w:type="pct"/>
            <w:vAlign w:val="center"/>
          </w:tcPr>
          <w:p>
            <w:pPr>
              <w:widowControl/>
              <w:spacing w:line="360" w:lineRule="auto"/>
              <w:jc w:val="center"/>
              <w:textAlignment w:val="center"/>
              <w:rPr>
                <w:rFonts w:ascii="宋体" w:hAnsi="宋体" w:eastAsia="宋体" w:cs="宋体"/>
                <w:kern w:val="2"/>
                <w:sz w:val="24"/>
                <w:szCs w:val="24"/>
                <w:lang w:val="en-US" w:eastAsia="zh-CN" w:bidi="ar-SA"/>
              </w:rPr>
            </w:pPr>
          </w:p>
        </w:tc>
        <w:tc>
          <w:tcPr>
            <w:tcW w:w="535" w:type="pct"/>
            <w:vAlign w:val="center"/>
          </w:tcPr>
          <w:p>
            <w:pPr>
              <w:widowControl/>
              <w:spacing w:line="360" w:lineRule="auto"/>
              <w:jc w:val="center"/>
              <w:textAlignment w:val="center"/>
              <w:rPr>
                <w:rFonts w:ascii="宋体" w:hAnsi="宋体" w:eastAsia="宋体" w:cs="宋体"/>
                <w:kern w:val="2"/>
                <w:sz w:val="24"/>
                <w:szCs w:val="24"/>
                <w:lang w:val="en-US" w:eastAsia="zh-CN" w:bidi="ar-SA"/>
              </w:rPr>
            </w:pPr>
          </w:p>
        </w:tc>
        <w:tc>
          <w:tcPr>
            <w:tcW w:w="1664" w:type="pct"/>
            <w:vAlign w:val="center"/>
          </w:tcPr>
          <w:p>
            <w:pPr>
              <w:spacing w:line="360" w:lineRule="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起钉、托纸、打页码、分类、扫描、装订、档案盒的编号、打印封面、入盒、编目、泰坦系统条目录入、打印目录、装订目录、刻录光盘和上架等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340" w:type="pct"/>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4</w:t>
            </w:r>
          </w:p>
        </w:tc>
        <w:tc>
          <w:tcPr>
            <w:tcW w:w="899"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人事档案辅助整理</w:t>
            </w:r>
          </w:p>
        </w:tc>
        <w:tc>
          <w:tcPr>
            <w:tcW w:w="71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220</w:t>
            </w:r>
          </w:p>
        </w:tc>
        <w:tc>
          <w:tcPr>
            <w:tcW w:w="354"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本</w:t>
            </w:r>
          </w:p>
        </w:tc>
        <w:tc>
          <w:tcPr>
            <w:tcW w:w="496" w:type="pct"/>
            <w:vAlign w:val="center"/>
          </w:tcPr>
          <w:p>
            <w:pPr>
              <w:widowControl/>
              <w:spacing w:line="360" w:lineRule="auto"/>
              <w:jc w:val="center"/>
              <w:textAlignment w:val="center"/>
              <w:rPr>
                <w:rFonts w:ascii="宋体" w:hAnsi="宋体" w:eastAsia="宋体" w:cs="宋体"/>
                <w:sz w:val="24"/>
                <w:szCs w:val="24"/>
              </w:rPr>
            </w:pPr>
          </w:p>
        </w:tc>
        <w:tc>
          <w:tcPr>
            <w:tcW w:w="535" w:type="pct"/>
            <w:vAlign w:val="center"/>
          </w:tcPr>
          <w:p>
            <w:pPr>
              <w:widowControl/>
              <w:spacing w:line="360" w:lineRule="auto"/>
              <w:jc w:val="center"/>
              <w:textAlignment w:val="center"/>
              <w:rPr>
                <w:rFonts w:ascii="宋体" w:hAnsi="宋体" w:eastAsia="宋体" w:cs="宋体"/>
                <w:sz w:val="24"/>
                <w:szCs w:val="24"/>
              </w:rPr>
            </w:pPr>
          </w:p>
        </w:tc>
        <w:tc>
          <w:tcPr>
            <w:tcW w:w="1664" w:type="pct"/>
            <w:vAlign w:val="center"/>
          </w:tcPr>
          <w:p>
            <w:pPr>
              <w:spacing w:line="360" w:lineRule="auto"/>
              <w:rPr>
                <w:rFonts w:ascii="宋体" w:hAnsi="宋体" w:eastAsia="宋体" w:cs="宋体"/>
                <w:sz w:val="24"/>
                <w:szCs w:val="24"/>
              </w:rPr>
            </w:pPr>
            <w:r>
              <w:rPr>
                <w:rFonts w:hint="eastAsia" w:ascii="宋体" w:hAnsi="宋体" w:eastAsia="宋体" w:cs="宋体"/>
                <w:sz w:val="24"/>
                <w:szCs w:val="24"/>
              </w:rPr>
              <w:t>装订、裱糊等技术性、辅助性服务事项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4" w:hRule="atLeast"/>
          <w:jc w:val="center"/>
        </w:trPr>
        <w:tc>
          <w:tcPr>
            <w:tcW w:w="340" w:type="pct"/>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p>
        </w:tc>
        <w:tc>
          <w:tcPr>
            <w:tcW w:w="899"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党员档案辅助整理</w:t>
            </w:r>
          </w:p>
        </w:tc>
        <w:tc>
          <w:tcPr>
            <w:tcW w:w="710"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15</w:t>
            </w:r>
          </w:p>
        </w:tc>
        <w:tc>
          <w:tcPr>
            <w:tcW w:w="354"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本</w:t>
            </w:r>
          </w:p>
        </w:tc>
        <w:tc>
          <w:tcPr>
            <w:tcW w:w="496" w:type="pct"/>
            <w:shd w:val="clear" w:color="auto" w:fill="auto"/>
            <w:vAlign w:val="center"/>
          </w:tcPr>
          <w:p>
            <w:pPr>
              <w:widowControl/>
              <w:spacing w:line="360" w:lineRule="auto"/>
              <w:jc w:val="center"/>
              <w:textAlignment w:val="center"/>
              <w:rPr>
                <w:rFonts w:ascii="宋体" w:hAnsi="宋体" w:eastAsia="宋体" w:cs="宋体"/>
                <w:sz w:val="24"/>
                <w:szCs w:val="24"/>
              </w:rPr>
            </w:pPr>
          </w:p>
        </w:tc>
        <w:tc>
          <w:tcPr>
            <w:tcW w:w="535" w:type="pct"/>
            <w:shd w:val="clear" w:color="auto" w:fill="auto"/>
            <w:vAlign w:val="center"/>
          </w:tcPr>
          <w:p>
            <w:pPr>
              <w:widowControl/>
              <w:spacing w:line="360" w:lineRule="auto"/>
              <w:jc w:val="center"/>
              <w:textAlignment w:val="center"/>
              <w:rPr>
                <w:rFonts w:ascii="宋体" w:hAnsi="宋体" w:eastAsia="宋体" w:cs="宋体"/>
                <w:sz w:val="24"/>
                <w:szCs w:val="24"/>
              </w:rPr>
            </w:pPr>
          </w:p>
        </w:tc>
        <w:tc>
          <w:tcPr>
            <w:tcW w:w="1664" w:type="pct"/>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起钉、打码、装订、打印目录、装盒等辅助性服务事项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4" w:hRule="atLeast"/>
          <w:jc w:val="center"/>
        </w:trPr>
        <w:tc>
          <w:tcPr>
            <w:tcW w:w="340" w:type="pct"/>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6</w:t>
            </w:r>
          </w:p>
        </w:tc>
        <w:tc>
          <w:tcPr>
            <w:tcW w:w="899"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荣誉档案</w:t>
            </w:r>
          </w:p>
        </w:tc>
        <w:tc>
          <w:tcPr>
            <w:tcW w:w="710" w:type="pct"/>
            <w:shd w:val="clear" w:color="auto" w:fill="auto"/>
            <w:vAlign w:val="center"/>
          </w:tcPr>
          <w:p>
            <w:pPr>
              <w:spacing w:line="360" w:lineRule="auto"/>
              <w:jc w:val="center"/>
              <w:rPr>
                <w:rFonts w:hint="eastAsia" w:ascii="宋体" w:hAnsi="宋体" w:eastAsia="宋体" w:cs="宋体"/>
                <w:sz w:val="24"/>
                <w:szCs w:val="24"/>
                <w:lang w:eastAsia="zh-CN"/>
              </w:rPr>
            </w:pPr>
            <w:r>
              <w:rPr>
                <w:rFonts w:hint="eastAsia" w:ascii="宋体" w:hAnsi="宋体" w:eastAsia="宋体" w:cs="宋体"/>
                <w:sz w:val="24"/>
                <w:szCs w:val="24"/>
                <w:lang w:val="en-US" w:eastAsia="zh-CN"/>
              </w:rPr>
              <w:t>2</w:t>
            </w:r>
          </w:p>
        </w:tc>
        <w:tc>
          <w:tcPr>
            <w:tcW w:w="354" w:type="pct"/>
            <w:shd w:val="clear" w:color="auto" w:fill="auto"/>
            <w:vAlign w:val="center"/>
          </w:tcPr>
          <w:p>
            <w:pPr>
              <w:spacing w:line="360" w:lineRule="auto"/>
              <w:jc w:val="center"/>
              <w:rPr>
                <w:rFonts w:ascii="宋体" w:hAnsi="宋体" w:eastAsia="宋体" w:cs="宋体"/>
                <w:sz w:val="24"/>
                <w:szCs w:val="24"/>
              </w:rPr>
            </w:pPr>
            <w:r>
              <w:rPr>
                <w:rFonts w:hint="eastAsia" w:ascii="宋体" w:hAnsi="宋体" w:eastAsia="宋体" w:cs="宋体"/>
                <w:sz w:val="24"/>
                <w:szCs w:val="24"/>
              </w:rPr>
              <w:t>件</w:t>
            </w:r>
          </w:p>
        </w:tc>
        <w:tc>
          <w:tcPr>
            <w:tcW w:w="496" w:type="pct"/>
            <w:shd w:val="clear" w:color="auto" w:fill="auto"/>
            <w:vAlign w:val="center"/>
          </w:tcPr>
          <w:p>
            <w:pPr>
              <w:widowControl/>
              <w:spacing w:line="360" w:lineRule="auto"/>
              <w:jc w:val="center"/>
              <w:textAlignment w:val="center"/>
              <w:rPr>
                <w:rFonts w:ascii="宋体" w:hAnsi="宋体" w:eastAsia="宋体" w:cs="宋体"/>
                <w:sz w:val="24"/>
                <w:szCs w:val="24"/>
              </w:rPr>
            </w:pPr>
          </w:p>
        </w:tc>
        <w:tc>
          <w:tcPr>
            <w:tcW w:w="535" w:type="pct"/>
            <w:shd w:val="clear" w:color="auto" w:fill="auto"/>
            <w:vAlign w:val="center"/>
          </w:tcPr>
          <w:p>
            <w:pPr>
              <w:widowControl/>
              <w:spacing w:line="360" w:lineRule="auto"/>
              <w:jc w:val="center"/>
              <w:textAlignment w:val="center"/>
              <w:rPr>
                <w:rFonts w:ascii="宋体" w:hAnsi="宋体" w:eastAsia="宋体" w:cs="宋体"/>
                <w:sz w:val="24"/>
                <w:szCs w:val="24"/>
              </w:rPr>
            </w:pPr>
          </w:p>
        </w:tc>
        <w:tc>
          <w:tcPr>
            <w:tcW w:w="1664" w:type="pct"/>
            <w:shd w:val="clear" w:color="auto" w:fill="auto"/>
            <w:vAlign w:val="center"/>
          </w:tcPr>
          <w:p>
            <w:pPr>
              <w:spacing w:line="360" w:lineRule="auto"/>
              <w:rPr>
                <w:rFonts w:ascii="宋体" w:hAnsi="宋体" w:eastAsia="宋体" w:cs="宋体"/>
                <w:sz w:val="24"/>
                <w:szCs w:val="24"/>
              </w:rPr>
            </w:pPr>
            <w:r>
              <w:rPr>
                <w:rFonts w:hint="eastAsia" w:ascii="宋体" w:hAnsi="宋体" w:eastAsia="宋体" w:cs="宋体"/>
                <w:sz w:val="24"/>
                <w:szCs w:val="24"/>
              </w:rPr>
              <w:t>分类、编号、入盒、编目、泰坦系统条目录入、打印目录、上架等</w:t>
            </w:r>
          </w:p>
        </w:tc>
      </w:tr>
    </w:tbl>
    <w:p>
      <w:pPr>
        <w:pStyle w:val="9"/>
        <w:spacing w:line="240" w:lineRule="auto"/>
        <w:ind w:left="0" w:firstLine="0" w:firstLineChars="0"/>
        <w:rPr>
          <w:rFonts w:ascii="仿宋" w:hAnsi="仿宋" w:eastAsia="仿宋" w:cs="仿宋"/>
          <w:color w:val="000000" w:themeColor="text1"/>
          <w:szCs w:val="28"/>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T Extra"/>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15</w:t>
                    </w:r>
                    <w:r>
                      <w:rPr>
                        <w:rFonts w:hint="eastAsia"/>
                      </w:rPr>
                      <w:fldChar w:fldCharType="end"/>
                    </w:r>
                    <w:r>
                      <w:rPr>
                        <w:rFonts w:hint="eastAsia"/>
                      </w:rPr>
                      <w:t xml:space="preserve"> 页 共 </w:t>
                    </w:r>
                    <w:r>
                      <w:fldChar w:fldCharType="begin"/>
                    </w:r>
                    <w:r>
                      <w:instrText xml:space="preserve"> NUMPAGES  \* MERGEFORMAT </w:instrText>
                    </w:r>
                    <w:r>
                      <w:fldChar w:fldCharType="separate"/>
                    </w:r>
                    <w:r>
                      <w:t>15</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292" w:firstLine="400"/>
      </w:pPr>
      <w:rPr>
        <w:rFonts w:hint="default"/>
      </w:rPr>
    </w:lvl>
  </w:abstractNum>
  <w:abstractNum w:abstractNumId="1">
    <w:nsid w:val="BE02878C"/>
    <w:multiLevelType w:val="singleLevel"/>
    <w:tmpl w:val="BE02878C"/>
    <w:lvl w:ilvl="0" w:tentative="0">
      <w:start w:val="1"/>
      <w:numFmt w:val="chineseCounting"/>
      <w:suff w:val="nothing"/>
      <w:lvlText w:val="（%1）"/>
      <w:lvlJc w:val="left"/>
      <w:pPr>
        <w:ind w:left="0" w:firstLine="420"/>
      </w:pPr>
      <w:rPr>
        <w:rFonts w:hint="eastAsia"/>
      </w:rPr>
    </w:lvl>
  </w:abstractNum>
  <w:abstractNum w:abstractNumId="2">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4"/>
  </w:num>
  <w:num w:numId="2">
    <w:abstractNumId w:val="7"/>
  </w:num>
  <w:num w:numId="3">
    <w:abstractNumId w:val="2"/>
  </w:num>
  <w:num w:numId="4">
    <w:abstractNumId w:val="6"/>
  </w:num>
  <w:num w:numId="5">
    <w:abstractNumId w:val="1"/>
  </w:num>
  <w:num w:numId="6">
    <w:abstractNumId w:val="5"/>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2ZmOTk0YWFmNTdhMzljMTM3ODAxOGE0ZGZkMTkifQ=="/>
  </w:docVars>
  <w:rsids>
    <w:rsidRoot w:val="00966675"/>
    <w:rsid w:val="00010DD1"/>
    <w:rsid w:val="00036400"/>
    <w:rsid w:val="00053412"/>
    <w:rsid w:val="000756C6"/>
    <w:rsid w:val="00090A16"/>
    <w:rsid w:val="0009781A"/>
    <w:rsid w:val="000C48EC"/>
    <w:rsid w:val="000D0B79"/>
    <w:rsid w:val="000D70B9"/>
    <w:rsid w:val="000E3F9A"/>
    <w:rsid w:val="000E49E9"/>
    <w:rsid w:val="000F477F"/>
    <w:rsid w:val="001435BC"/>
    <w:rsid w:val="0014506B"/>
    <w:rsid w:val="00147F07"/>
    <w:rsid w:val="00154DF5"/>
    <w:rsid w:val="00157F8A"/>
    <w:rsid w:val="001646DD"/>
    <w:rsid w:val="0017630C"/>
    <w:rsid w:val="00185233"/>
    <w:rsid w:val="001865CB"/>
    <w:rsid w:val="00192AC9"/>
    <w:rsid w:val="001B5D5C"/>
    <w:rsid w:val="001C4D0B"/>
    <w:rsid w:val="001D0A91"/>
    <w:rsid w:val="001D6574"/>
    <w:rsid w:val="00200A7D"/>
    <w:rsid w:val="00201EA2"/>
    <w:rsid w:val="00215D00"/>
    <w:rsid w:val="00226FA3"/>
    <w:rsid w:val="00231466"/>
    <w:rsid w:val="0023545E"/>
    <w:rsid w:val="00272011"/>
    <w:rsid w:val="0027359D"/>
    <w:rsid w:val="0027601B"/>
    <w:rsid w:val="002B55A6"/>
    <w:rsid w:val="002C01E2"/>
    <w:rsid w:val="002F5AD0"/>
    <w:rsid w:val="003015A4"/>
    <w:rsid w:val="00331952"/>
    <w:rsid w:val="003378DD"/>
    <w:rsid w:val="00360E41"/>
    <w:rsid w:val="003932F3"/>
    <w:rsid w:val="003D6DBE"/>
    <w:rsid w:val="00424CB1"/>
    <w:rsid w:val="00454AC0"/>
    <w:rsid w:val="00462E85"/>
    <w:rsid w:val="0049544A"/>
    <w:rsid w:val="004A0F47"/>
    <w:rsid w:val="004B7038"/>
    <w:rsid w:val="004E0B75"/>
    <w:rsid w:val="004E47A8"/>
    <w:rsid w:val="004E4F27"/>
    <w:rsid w:val="004E75D1"/>
    <w:rsid w:val="00516E95"/>
    <w:rsid w:val="005347A6"/>
    <w:rsid w:val="00540122"/>
    <w:rsid w:val="00543F64"/>
    <w:rsid w:val="00551C4E"/>
    <w:rsid w:val="005C630B"/>
    <w:rsid w:val="005F082A"/>
    <w:rsid w:val="00607D66"/>
    <w:rsid w:val="00652622"/>
    <w:rsid w:val="0065388C"/>
    <w:rsid w:val="00654457"/>
    <w:rsid w:val="006A21B3"/>
    <w:rsid w:val="006C26CB"/>
    <w:rsid w:val="006D70A7"/>
    <w:rsid w:val="006E0495"/>
    <w:rsid w:val="007201E1"/>
    <w:rsid w:val="00732DBE"/>
    <w:rsid w:val="007549B0"/>
    <w:rsid w:val="007553B5"/>
    <w:rsid w:val="0077652D"/>
    <w:rsid w:val="0078404E"/>
    <w:rsid w:val="0078686A"/>
    <w:rsid w:val="007A56BE"/>
    <w:rsid w:val="007B684E"/>
    <w:rsid w:val="007D02CE"/>
    <w:rsid w:val="007D7891"/>
    <w:rsid w:val="00801D6C"/>
    <w:rsid w:val="00847D11"/>
    <w:rsid w:val="0089276D"/>
    <w:rsid w:val="008A632E"/>
    <w:rsid w:val="008B4F96"/>
    <w:rsid w:val="008C4A61"/>
    <w:rsid w:val="008D1E5E"/>
    <w:rsid w:val="008E09D2"/>
    <w:rsid w:val="008E3FD7"/>
    <w:rsid w:val="00907A6C"/>
    <w:rsid w:val="00912C43"/>
    <w:rsid w:val="00931265"/>
    <w:rsid w:val="009503BD"/>
    <w:rsid w:val="00961A28"/>
    <w:rsid w:val="00963FD1"/>
    <w:rsid w:val="00966675"/>
    <w:rsid w:val="00986214"/>
    <w:rsid w:val="009A24ED"/>
    <w:rsid w:val="009B7E59"/>
    <w:rsid w:val="009C4FEC"/>
    <w:rsid w:val="009F38A8"/>
    <w:rsid w:val="00A06743"/>
    <w:rsid w:val="00A30C46"/>
    <w:rsid w:val="00A478FB"/>
    <w:rsid w:val="00A5557C"/>
    <w:rsid w:val="00AB3852"/>
    <w:rsid w:val="00AE5953"/>
    <w:rsid w:val="00AF6F13"/>
    <w:rsid w:val="00B0632F"/>
    <w:rsid w:val="00B167F2"/>
    <w:rsid w:val="00B20981"/>
    <w:rsid w:val="00B27B3C"/>
    <w:rsid w:val="00B365AC"/>
    <w:rsid w:val="00B3723B"/>
    <w:rsid w:val="00B466D3"/>
    <w:rsid w:val="00B65593"/>
    <w:rsid w:val="00B72F7E"/>
    <w:rsid w:val="00BA682F"/>
    <w:rsid w:val="00BC5B39"/>
    <w:rsid w:val="00BD321A"/>
    <w:rsid w:val="00BD57B1"/>
    <w:rsid w:val="00BE16A5"/>
    <w:rsid w:val="00BE4357"/>
    <w:rsid w:val="00BF2B6A"/>
    <w:rsid w:val="00BF7075"/>
    <w:rsid w:val="00C14B6B"/>
    <w:rsid w:val="00C21C44"/>
    <w:rsid w:val="00C310FB"/>
    <w:rsid w:val="00C320F9"/>
    <w:rsid w:val="00C40726"/>
    <w:rsid w:val="00C673B4"/>
    <w:rsid w:val="00C92668"/>
    <w:rsid w:val="00C945CB"/>
    <w:rsid w:val="00CA217C"/>
    <w:rsid w:val="00CB1F14"/>
    <w:rsid w:val="00CD7002"/>
    <w:rsid w:val="00CE4C06"/>
    <w:rsid w:val="00CE57B5"/>
    <w:rsid w:val="00CE654F"/>
    <w:rsid w:val="00CF1C8F"/>
    <w:rsid w:val="00D3545E"/>
    <w:rsid w:val="00D63AFA"/>
    <w:rsid w:val="00D6634B"/>
    <w:rsid w:val="00D922F4"/>
    <w:rsid w:val="00D94DFB"/>
    <w:rsid w:val="00DD1B4C"/>
    <w:rsid w:val="00DD1F27"/>
    <w:rsid w:val="00DE4E46"/>
    <w:rsid w:val="00DE6667"/>
    <w:rsid w:val="00DF4294"/>
    <w:rsid w:val="00E1305D"/>
    <w:rsid w:val="00E16EB3"/>
    <w:rsid w:val="00E24F81"/>
    <w:rsid w:val="00E2562B"/>
    <w:rsid w:val="00E41C7F"/>
    <w:rsid w:val="00E81FD6"/>
    <w:rsid w:val="00E92EC8"/>
    <w:rsid w:val="00EA168A"/>
    <w:rsid w:val="00EA50A5"/>
    <w:rsid w:val="00EC410D"/>
    <w:rsid w:val="00EC6DC0"/>
    <w:rsid w:val="00ED6CD0"/>
    <w:rsid w:val="00F02861"/>
    <w:rsid w:val="00F21B4C"/>
    <w:rsid w:val="00F46981"/>
    <w:rsid w:val="00F47613"/>
    <w:rsid w:val="00F511C4"/>
    <w:rsid w:val="00F72F28"/>
    <w:rsid w:val="00FE36F7"/>
    <w:rsid w:val="00FF66DF"/>
    <w:rsid w:val="09D77ACF"/>
    <w:rsid w:val="09DE0A66"/>
    <w:rsid w:val="0BEA35C3"/>
    <w:rsid w:val="0DDF3CA5"/>
    <w:rsid w:val="0DF42620"/>
    <w:rsid w:val="0EF703D3"/>
    <w:rsid w:val="0FB72321"/>
    <w:rsid w:val="0FEBA665"/>
    <w:rsid w:val="10FC4243"/>
    <w:rsid w:val="171724B5"/>
    <w:rsid w:val="1A19383D"/>
    <w:rsid w:val="20075F93"/>
    <w:rsid w:val="2488649E"/>
    <w:rsid w:val="24EE444C"/>
    <w:rsid w:val="28F2788A"/>
    <w:rsid w:val="293A0576"/>
    <w:rsid w:val="2BFE7B1D"/>
    <w:rsid w:val="2D016C87"/>
    <w:rsid w:val="2D3FC179"/>
    <w:rsid w:val="2F6B874A"/>
    <w:rsid w:val="33F9DE53"/>
    <w:rsid w:val="37BF67EC"/>
    <w:rsid w:val="37CF3A08"/>
    <w:rsid w:val="37EDA695"/>
    <w:rsid w:val="391A5AE0"/>
    <w:rsid w:val="399C603B"/>
    <w:rsid w:val="3B19643C"/>
    <w:rsid w:val="3B7E6D20"/>
    <w:rsid w:val="3CFF787B"/>
    <w:rsid w:val="3DFB2D56"/>
    <w:rsid w:val="3E1F3961"/>
    <w:rsid w:val="3EBB02D2"/>
    <w:rsid w:val="3EFF96AB"/>
    <w:rsid w:val="3FA76621"/>
    <w:rsid w:val="3FB65CFD"/>
    <w:rsid w:val="3FBCD384"/>
    <w:rsid w:val="3FDF38D5"/>
    <w:rsid w:val="3FE7FB30"/>
    <w:rsid w:val="3FFEBBB5"/>
    <w:rsid w:val="404A6C17"/>
    <w:rsid w:val="43F43818"/>
    <w:rsid w:val="464E5884"/>
    <w:rsid w:val="47C7B3FB"/>
    <w:rsid w:val="4B562BFB"/>
    <w:rsid w:val="4BFB55B2"/>
    <w:rsid w:val="4D261BEA"/>
    <w:rsid w:val="4DCEAC0A"/>
    <w:rsid w:val="4DD70C4E"/>
    <w:rsid w:val="4E7F5572"/>
    <w:rsid w:val="4EC760C3"/>
    <w:rsid w:val="4EFEC474"/>
    <w:rsid w:val="4F973B4E"/>
    <w:rsid w:val="527252EA"/>
    <w:rsid w:val="53FD459A"/>
    <w:rsid w:val="564F4088"/>
    <w:rsid w:val="56E4C1A5"/>
    <w:rsid w:val="577A1D26"/>
    <w:rsid w:val="5789094D"/>
    <w:rsid w:val="579F8536"/>
    <w:rsid w:val="5B7ADE19"/>
    <w:rsid w:val="5BB2671C"/>
    <w:rsid w:val="5EDDF6E1"/>
    <w:rsid w:val="5F77934E"/>
    <w:rsid w:val="5F9CE138"/>
    <w:rsid w:val="5FC26F7A"/>
    <w:rsid w:val="5FEBA890"/>
    <w:rsid w:val="5FEF25A8"/>
    <w:rsid w:val="5FEF7023"/>
    <w:rsid w:val="60F16F1B"/>
    <w:rsid w:val="63EFE189"/>
    <w:rsid w:val="64FE1111"/>
    <w:rsid w:val="67F6A3E0"/>
    <w:rsid w:val="690D3BC4"/>
    <w:rsid w:val="693B3F28"/>
    <w:rsid w:val="6B7E7578"/>
    <w:rsid w:val="6BFC5AA1"/>
    <w:rsid w:val="6BFF427E"/>
    <w:rsid w:val="6C7B1287"/>
    <w:rsid w:val="6DC49699"/>
    <w:rsid w:val="6DFFBE2B"/>
    <w:rsid w:val="6F575E27"/>
    <w:rsid w:val="6F5F4F93"/>
    <w:rsid w:val="6F813926"/>
    <w:rsid w:val="6F9FA6E3"/>
    <w:rsid w:val="6FBE4D9C"/>
    <w:rsid w:val="6FBF2CBC"/>
    <w:rsid w:val="6FDF6CC2"/>
    <w:rsid w:val="71E1A756"/>
    <w:rsid w:val="71F1DB24"/>
    <w:rsid w:val="72AF67A9"/>
    <w:rsid w:val="72FF770D"/>
    <w:rsid w:val="75EFE713"/>
    <w:rsid w:val="76A81E4D"/>
    <w:rsid w:val="776538EF"/>
    <w:rsid w:val="777F9ED9"/>
    <w:rsid w:val="77BBE29A"/>
    <w:rsid w:val="77BC0D65"/>
    <w:rsid w:val="79276609"/>
    <w:rsid w:val="79FD8931"/>
    <w:rsid w:val="7A7F73A7"/>
    <w:rsid w:val="7AF774EE"/>
    <w:rsid w:val="7AFF6B71"/>
    <w:rsid w:val="7AFF7DDC"/>
    <w:rsid w:val="7B2ECF20"/>
    <w:rsid w:val="7B3774B9"/>
    <w:rsid w:val="7B995072"/>
    <w:rsid w:val="7B9DD989"/>
    <w:rsid w:val="7BB85962"/>
    <w:rsid w:val="7BEE9E45"/>
    <w:rsid w:val="7BFA0B8A"/>
    <w:rsid w:val="7BFDED12"/>
    <w:rsid w:val="7C771FBA"/>
    <w:rsid w:val="7DAB7169"/>
    <w:rsid w:val="7DFA0E5D"/>
    <w:rsid w:val="7DFECAFA"/>
    <w:rsid w:val="7E2FEBB2"/>
    <w:rsid w:val="7EC34F9D"/>
    <w:rsid w:val="7EDF9639"/>
    <w:rsid w:val="7EFEE140"/>
    <w:rsid w:val="7F39C092"/>
    <w:rsid w:val="7F3AC410"/>
    <w:rsid w:val="7F738A0C"/>
    <w:rsid w:val="7F7A05DE"/>
    <w:rsid w:val="7F7B28E5"/>
    <w:rsid w:val="7F7FEDF5"/>
    <w:rsid w:val="7FBFE925"/>
    <w:rsid w:val="7FE55F24"/>
    <w:rsid w:val="7FF6273E"/>
    <w:rsid w:val="7FF764DF"/>
    <w:rsid w:val="7FFB3EF2"/>
    <w:rsid w:val="7FFDDD27"/>
    <w:rsid w:val="7FFE18BF"/>
    <w:rsid w:val="7FFFADD6"/>
    <w:rsid w:val="82D563E6"/>
    <w:rsid w:val="97DFDDB2"/>
    <w:rsid w:val="9FDB4DCE"/>
    <w:rsid w:val="A6FF31C1"/>
    <w:rsid w:val="A8FF4AC1"/>
    <w:rsid w:val="AB7E23A7"/>
    <w:rsid w:val="AFDFD7D1"/>
    <w:rsid w:val="B3FEC821"/>
    <w:rsid w:val="B93705B9"/>
    <w:rsid w:val="BB78AFD6"/>
    <w:rsid w:val="BDDB0EFE"/>
    <w:rsid w:val="BDFFCC16"/>
    <w:rsid w:val="BEEFF55C"/>
    <w:rsid w:val="BF3FDB59"/>
    <w:rsid w:val="BF5F4080"/>
    <w:rsid w:val="BF6B8F52"/>
    <w:rsid w:val="BFF36769"/>
    <w:rsid w:val="BFFD5A53"/>
    <w:rsid w:val="CCBD871D"/>
    <w:rsid w:val="D4FF364D"/>
    <w:rsid w:val="D5ED72F0"/>
    <w:rsid w:val="D6DD8854"/>
    <w:rsid w:val="D7337CA6"/>
    <w:rsid w:val="D79B1435"/>
    <w:rsid w:val="D7FF68CB"/>
    <w:rsid w:val="D9D2922A"/>
    <w:rsid w:val="DA9CC70D"/>
    <w:rsid w:val="DB1F2E63"/>
    <w:rsid w:val="DB1FFD76"/>
    <w:rsid w:val="DB7F8108"/>
    <w:rsid w:val="DBF24AA3"/>
    <w:rsid w:val="DDF70637"/>
    <w:rsid w:val="DEB979D1"/>
    <w:rsid w:val="DF73D3CD"/>
    <w:rsid w:val="DFDF9D33"/>
    <w:rsid w:val="DFFE6DAC"/>
    <w:rsid w:val="E27F8B5E"/>
    <w:rsid w:val="E2F77B42"/>
    <w:rsid w:val="E38EE445"/>
    <w:rsid w:val="E3BE8604"/>
    <w:rsid w:val="E78FDDF0"/>
    <w:rsid w:val="E7DF274D"/>
    <w:rsid w:val="EBBBFFE3"/>
    <w:rsid w:val="EBFE90CB"/>
    <w:rsid w:val="EDBF9EB4"/>
    <w:rsid w:val="EDDDED2E"/>
    <w:rsid w:val="EEA6E15C"/>
    <w:rsid w:val="EEE7E5FF"/>
    <w:rsid w:val="EF77DF9E"/>
    <w:rsid w:val="EFCD33F1"/>
    <w:rsid w:val="EFDFEBFD"/>
    <w:rsid w:val="EFEEA35E"/>
    <w:rsid w:val="EFFE1962"/>
    <w:rsid w:val="F0F7289B"/>
    <w:rsid w:val="F3BDDF17"/>
    <w:rsid w:val="F5FF6834"/>
    <w:rsid w:val="F6790629"/>
    <w:rsid w:val="F7BBA0AA"/>
    <w:rsid w:val="F7ED8609"/>
    <w:rsid w:val="F7FFB2D9"/>
    <w:rsid w:val="F7FFFB4C"/>
    <w:rsid w:val="F99D082B"/>
    <w:rsid w:val="F9DFCDD8"/>
    <w:rsid w:val="F9FB8476"/>
    <w:rsid w:val="FB6A0B66"/>
    <w:rsid w:val="FBAD74FD"/>
    <w:rsid w:val="FBCD8921"/>
    <w:rsid w:val="FBEB484C"/>
    <w:rsid w:val="FBFBCBAB"/>
    <w:rsid w:val="FBFC4A2C"/>
    <w:rsid w:val="FD6F557C"/>
    <w:rsid w:val="FDD55410"/>
    <w:rsid w:val="FDDE3568"/>
    <w:rsid w:val="FDFD9B12"/>
    <w:rsid w:val="FE7F0482"/>
    <w:rsid w:val="FE9FF1A8"/>
    <w:rsid w:val="FEB6A979"/>
    <w:rsid w:val="FEEB1E51"/>
    <w:rsid w:val="FF74486B"/>
    <w:rsid w:val="FFDE1194"/>
    <w:rsid w:val="FFE7B088"/>
    <w:rsid w:val="FFF44558"/>
    <w:rsid w:val="FFFDF07C"/>
    <w:rsid w:val="FFFFBC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3"/>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styleId="12">
    <w:name w:val="Strong"/>
    <w:basedOn w:val="11"/>
    <w:qFormat/>
    <w:uiPriority w:val="0"/>
    <w:rPr>
      <w:b/>
    </w:rPr>
  </w:style>
  <w:style w:type="character" w:customStyle="1" w:styleId="13">
    <w:name w:val="批注框文本 Char"/>
    <w:basedOn w:val="11"/>
    <w:link w:val="5"/>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eastAsia="宋体" w:cs="黑体"/>
      <w:kern w:val="0"/>
      <w:sz w:val="24"/>
      <w:szCs w:val="24"/>
    </w:rPr>
  </w:style>
  <w:style w:type="paragraph" w:styleId="15">
    <w:name w:val="List Paragraph"/>
    <w:basedOn w:val="1"/>
    <w:unhideWhenUsed/>
    <w:qFormat/>
    <w:uiPriority w:val="99"/>
    <w:pPr>
      <w:ind w:firstLine="420" w:firstLineChars="200"/>
    </w:pPr>
  </w:style>
  <w:style w:type="paragraph" w:customStyle="1" w:styleId="16">
    <w:name w:val="修订1"/>
    <w:hidden/>
    <w:unhideWhenUsed/>
    <w:qFormat/>
    <w:uiPriority w:val="99"/>
    <w:rPr>
      <w:rFonts w:ascii="Times New Roman" w:hAnsi="Times New Roman" w:eastAsia="仿宋_GB2312" w:cs="Times New Roman"/>
      <w:kern w:val="2"/>
      <w:sz w:val="30"/>
      <w:lang w:val="en-US" w:eastAsia="zh-CN" w:bidi="ar-SA"/>
    </w:rPr>
  </w:style>
  <w:style w:type="character" w:customStyle="1" w:styleId="17">
    <w:name w:val="ittext1"/>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15</Pages>
  <Words>1196</Words>
  <Characters>6823</Characters>
  <Lines>56</Lines>
  <Paragraphs>16</Paragraphs>
  <TotalTime>112</TotalTime>
  <ScaleCrop>false</ScaleCrop>
  <LinksUpToDate>false</LinksUpToDate>
  <CharactersWithSpaces>8003</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2021-06-10T18:58:00Z</dcterms:created>
  <dc:creator>Administrator</dc:creator>
  <cp:lastModifiedBy>greatwall</cp:lastModifiedBy>
  <cp:lastPrinted>2026-07-05T00:09:00Z</cp:lastPrinted>
  <dcterms:modified xsi:type="dcterms:W3CDTF">2026-07-17T14:51:20Z</dcterms:modified>
  <dc:title>2020年江门市工业产品生产许可证证后</dc:title>
  <cp:revision>228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F89E2487F82949029D8AB9F341EA8070</vt:lpwstr>
  </property>
  <property fmtid="{D5CDD505-2E9C-101B-9397-08002B2CF9AE}" pid="4" name="KSOTemplateDocerSaveRecord">
    <vt:lpwstr>eyJoZGlkIjoiMzMwNTk5ZmEzODBlMjY0ZTY1MzA2ZTNmOGM1M2FmMzciLCJ1c2VySWQiOiI3NjM3NTYyNTAifQ==</vt:lpwstr>
  </property>
</Properties>
</file>