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786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方正黑体简体" w:hAnsi="方正黑体简体" w:eastAsia="方正黑体简体" w:cs="方正黑体简体"/>
          <w:i w:val="0"/>
          <w:iCs w:val="0"/>
          <w:caps w:val="0"/>
          <w:color w:val="000000"/>
          <w:spacing w:val="0"/>
          <w:sz w:val="31"/>
          <w:szCs w:val="31"/>
          <w:highlight w:val="none"/>
          <w:shd w:val="clear" w:fill="FFFFFF"/>
          <w:lang w:val="en-US" w:eastAsia="zh-CN"/>
        </w:rPr>
      </w:pPr>
      <w:r>
        <w:rPr>
          <w:rFonts w:hint="eastAsia" w:ascii="方正黑体简体" w:hAnsi="方正黑体简体" w:eastAsia="方正黑体简体" w:cs="方正黑体简体"/>
          <w:i w:val="0"/>
          <w:iCs w:val="0"/>
          <w:caps w:val="0"/>
          <w:color w:val="000000"/>
          <w:spacing w:val="0"/>
          <w:sz w:val="31"/>
          <w:szCs w:val="31"/>
          <w:highlight w:val="none"/>
          <w:shd w:val="clear" w:fill="FFFFFF"/>
        </w:rPr>
        <w:t>附件</w:t>
      </w:r>
      <w:r>
        <w:rPr>
          <w:rFonts w:hint="eastAsia" w:ascii="方正黑体简体" w:hAnsi="方正黑体简体" w:eastAsia="方正黑体简体" w:cs="方正黑体简体"/>
          <w:i w:val="0"/>
          <w:iCs w:val="0"/>
          <w:caps w:val="0"/>
          <w:color w:val="000000"/>
          <w:spacing w:val="0"/>
          <w:sz w:val="31"/>
          <w:szCs w:val="31"/>
          <w:highlight w:val="none"/>
          <w:shd w:val="clear" w:fill="FFFFFF"/>
          <w:lang w:val="en-US" w:eastAsia="zh-CN"/>
        </w:rPr>
        <w:t>2</w:t>
      </w:r>
    </w:p>
    <w:p w14:paraId="467FF4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firstLineChars="0"/>
        <w:jc w:val="center"/>
        <w:rPr>
          <w:rFonts w:hint="eastAsia" w:ascii="方正黑体简体" w:hAnsi="方正黑体简体" w:eastAsia="方正黑体简体" w:cs="方正黑体简体"/>
          <w:i w:val="0"/>
          <w:iCs w:val="0"/>
          <w:caps w:val="0"/>
          <w:color w:val="000000"/>
          <w:spacing w:val="0"/>
          <w:sz w:val="44"/>
          <w:szCs w:val="44"/>
          <w:highlight w:val="none"/>
          <w:shd w:val="clear" w:fill="FFFFFF"/>
          <w:lang w:val="en-US" w:eastAsia="zh-CN"/>
        </w:rPr>
      </w:pPr>
      <w:r>
        <w:rPr>
          <w:rFonts w:hint="eastAsia" w:ascii="方正黑体简体" w:hAnsi="方正黑体简体" w:eastAsia="方正黑体简体" w:cs="方正黑体简体"/>
          <w:i w:val="0"/>
          <w:iCs w:val="0"/>
          <w:caps w:val="0"/>
          <w:color w:val="000000"/>
          <w:spacing w:val="0"/>
          <w:sz w:val="44"/>
          <w:szCs w:val="44"/>
          <w:highlight w:val="none"/>
          <w:shd w:val="clear" w:fill="FFFFFF"/>
          <w:lang w:val="en-US" w:eastAsia="zh-CN"/>
        </w:rPr>
        <w:t>江门市商务局先进事迹</w:t>
      </w:r>
    </w:p>
    <w:p w14:paraId="0E8C450A">
      <w:pPr>
        <w:keepNext w:val="0"/>
        <w:keepLines w:val="0"/>
        <w:pageBreakBefore w:val="0"/>
        <w:widowControl w:val="0"/>
        <w:kinsoku/>
        <w:wordWrap/>
        <w:overflowPunct/>
        <w:topLinePunct w:val="0"/>
        <w:autoSpaceDE/>
        <w:autoSpaceDN/>
        <w:bidi w:val="0"/>
        <w:adjustRightInd/>
        <w:snapToGrid w:val="0"/>
        <w:ind w:firstLine="640" w:firstLineChars="200"/>
        <w:jc w:val="left"/>
        <w:textAlignment w:val="auto"/>
        <w:rPr>
          <w:rFonts w:hint="eastAsia" w:ascii="方正仿宋_GBK" w:hAnsi="方正仿宋_GBK" w:eastAsia="方正仿宋_GBK" w:cs="方正仿宋_GBK"/>
          <w:color w:val="auto"/>
          <w:sz w:val="32"/>
          <w:szCs w:val="32"/>
          <w:highlight w:val="none"/>
          <w:lang w:val="en-US" w:eastAsia="zh-CN"/>
        </w:rPr>
      </w:pPr>
    </w:p>
    <w:p w14:paraId="1E8E79B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十四五”以来，江门市商务局坚决落实省委、省政府关于打好“五外联动”组合拳、扩大高水平对外开放的工作部署，充分发挥商务部门牵头统筹、综合协调的职责，健全上下联动、横向协同、政企共建工作机制，统筹推进外贸、外资、外包、外经、外智一体发展，在推动开放型经济高质量发展中取得显著成效。</w:t>
      </w:r>
    </w:p>
    <w:p w14:paraId="07B1AADD">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外贸发展稳量提质。</w:t>
      </w:r>
      <w:r>
        <w:rPr>
          <w:rFonts w:hint="eastAsia" w:ascii="方正仿宋_GBK" w:hAnsi="方正仿宋_GBK" w:eastAsia="方正仿宋_GBK" w:cs="方正仿宋_GBK"/>
          <w:color w:val="auto"/>
          <w:sz w:val="32"/>
          <w:szCs w:val="32"/>
          <w:highlight w:val="none"/>
          <w:lang w:val="en-US" w:eastAsia="zh-CN"/>
        </w:rPr>
        <w:t>切实扛起外贸大市挑大梁责任，通过组建专班、建立机制、稳企扶企，积极应对世界经济增长放缓、国际贸易摩擦加剧等不利因素，千方百计抓订单、拓市场、稳份额，有力扛住美国关税政策连番冲击，</w:t>
      </w:r>
      <w:bookmarkStart w:id="0" w:name="_Toc10069"/>
      <w:r>
        <w:rPr>
          <w:rFonts w:hint="eastAsia" w:ascii="方正仿宋_GBK" w:hAnsi="方正仿宋_GBK" w:eastAsia="方正仿宋_GBK" w:cs="方正仿宋_GBK"/>
          <w:color w:val="auto"/>
          <w:sz w:val="32"/>
          <w:szCs w:val="32"/>
          <w:highlight w:val="none"/>
          <w:lang w:val="en-US" w:eastAsia="zh-CN"/>
        </w:rPr>
        <w:t>进出口总额达1977.7亿元，规模创历史新高，</w:t>
      </w:r>
      <w:bookmarkEnd w:id="0"/>
      <w:r>
        <w:rPr>
          <w:rFonts w:hint="eastAsia" w:ascii="方正仿宋_GBK" w:hAnsi="方正仿宋_GBK" w:eastAsia="方正仿宋_GBK" w:cs="方正仿宋_GBK"/>
          <w:color w:val="auto"/>
          <w:sz w:val="32"/>
          <w:szCs w:val="32"/>
          <w:highlight w:val="none"/>
          <w:lang w:val="en-US" w:eastAsia="zh-CN"/>
        </w:rPr>
        <w:t>稳居中国外贸百强城市前50、全省第8，年均进出口和出口增速高于全省平均水平、分别在全省排第6和第5，为全省外贸大盘作出江门贡献。实施“千企百展抢抓订单”行动，与江门市有贸易往来的国家和地区达220个、较“十三五”末增加13个，对共建“一带一路”国家贸易总量增加近2倍、占比提升至47.2%。外贸转型升级步伐加快，国家、省级外贸转型升级基地数量在全省排第3，两个国家级外贸基地被商务部评为优秀基地（全国共12个）。民营外贸企业活力迸发，具有进出口实绩的外贸企业突破4000家、为“十三五”末的1.7倍，民营企业占比超78%、进出口占比达58.3%。立体化双循环通道进一步畅通，累计开通10条“组合港”（“一港通”）航线，为全国第三个启动港澳籍船舶入境维修直航业务的城市，农产品进口基地建设扎实推进，江门关区进口、出口整体通关时间居全国前列。</w:t>
      </w:r>
    </w:p>
    <w:p w14:paraId="4715ECF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外资质量强效提升。</w:t>
      </w:r>
      <w:r>
        <w:rPr>
          <w:rFonts w:hint="eastAsia" w:ascii="方正仿宋_GBK" w:hAnsi="方正仿宋_GBK" w:eastAsia="方正仿宋_GBK" w:cs="方正仿宋_GBK"/>
          <w:color w:val="auto"/>
          <w:sz w:val="32"/>
          <w:szCs w:val="32"/>
          <w:highlight w:val="none"/>
          <w:lang w:val="en-US" w:eastAsia="zh-CN"/>
        </w:rPr>
        <w:t>坚持精准招商、服务暖心、环境优化，持续提升外资吸引力。加大引资稳资力度，落实招商引资“一把手工程”，开展链式招商、以商引商，新设外商投资企业超2600家，全市实际吸收外资金额累计超142亿元，第二、三产业分别约占72.6%和27.3%，制造业当家的基础更加稳固，现代服务业稳定扩张。尤其是2025年，全市实际吸收外资金额创五年来最高值，增长超2.5倍，增速、增量分别在全省排第1和第2位。外资发展环境持续优化，牵头建立外资企业圆桌会议、重点外资项目工作专班等稳外资工作机制，强化与统战、发展改革、市场监管、税务、人民银行等单位协作，推动便利华侨华人投资改革、政务服务跨境通办、跨境金融合作等三项工作走在粤港澳大湾区前列，在全国率先实现外资备案登记离岸远程办理，成为全国第四个侨汇结汇便利化试点城市，涉侨投资制度改革、全国首创税证离岸远程智能联办服务列入广东营商环境改革经验推广。外资企业不断发展壮大，法国电力、德国巴斯夫等世界500强企业在江门投资企业超50家，李锦记、亚太森博等一批外资链主企业在江门发展壮大，10家外资企业上榜2025广东外资企业百强榜单、数量居全省第5。</w:t>
      </w:r>
    </w:p>
    <w:p w14:paraId="00A6EE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643" w:firstLineChars="200"/>
        <w:jc w:val="both"/>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外包转型加快升级。</w:t>
      </w:r>
      <w:r>
        <w:rPr>
          <w:rFonts w:hint="eastAsia" w:ascii="方正仿宋_GBK" w:hAnsi="方正仿宋_GBK" w:eastAsia="方正仿宋_GBK" w:cs="方正仿宋_GBK"/>
          <w:color w:val="auto"/>
          <w:sz w:val="32"/>
          <w:szCs w:val="32"/>
          <w:highlight w:val="none"/>
          <w:lang w:val="en-US" w:eastAsia="zh-CN"/>
        </w:rPr>
        <w:t>坚持集聚发展、人才支撑，加强与工业和信息化、科技、人民银行等单位协同，促进服务贸易与先进制造业互融发展。培育信息、网络、物流、设计等领域服务外包重点监测企业，2025年服务外包执行额规模在全省排第8。组织企业参加中国国际服务贸易交易会、粤港澳大湾区服务贸易大会等重点活动，推介江门服务贸易产品，打响特色服务外包品牌，拓展香港、意大利、瑞士等国家和地区业务。深化服务贸易与先进制造业融合，围绕摩托车产业，发展研发设计、质量检测、人员培训等服务外包业务，已形成具有影响力辐射力的产业链，如海信电子、ABB等承接海外电子产品、信息技术设备工业研发设计，外包产业加快向高附加值转型升级。</w:t>
      </w:r>
    </w:p>
    <w:p w14:paraId="17A5758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外经拓展不断深化。</w:t>
      </w:r>
      <w:r>
        <w:rPr>
          <w:rFonts w:hint="eastAsia" w:ascii="方正仿宋_GBK" w:hAnsi="方正仿宋_GBK" w:eastAsia="方正仿宋_GBK" w:cs="方正仿宋_GBK"/>
          <w:color w:val="auto"/>
          <w:sz w:val="32"/>
          <w:szCs w:val="32"/>
          <w:highlight w:val="none"/>
          <w:lang w:val="en-US" w:eastAsia="zh-CN"/>
        </w:rPr>
        <w:t>坚持集群出海、合规经营、风险防控，助力本土企业“走出去”。积极参与“一带一路”建设，支持迪生力、地尔汉宇、博盈特焊等企业在东南亚、南亚、俄罗斯等国家和地区投资布局。全市非金融类投资项目达191个，其中，对共建“一带一路”国家投资额占比超44%。加强企业“走出去”服务支持，推动企业加入省商务厅的对外投资及境外安全风险防范综合服务项目，帮助企业了解投资国的各类信息，降低投资风险。依托深圳国际仲裁院江门中心等平台，联合司法等部门，举办系列涉外法律服务活动，提升企业境外投资与合规经营法律风险防控能力。</w:t>
      </w:r>
    </w:p>
    <w:p w14:paraId="1270B4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643" w:firstLineChars="200"/>
        <w:jc w:val="both"/>
        <w:rPr>
          <w:rFonts w:hint="eastAsia" w:ascii="方正仿宋_GBK" w:hAnsi="方正仿宋_GBK" w:eastAsia="方正仿宋_GBK" w:cs="方正仿宋_GBK"/>
          <w:i w:val="0"/>
          <w:iCs w:val="0"/>
          <w:caps w:val="0"/>
          <w:color w:val="auto"/>
          <w:spacing w:val="0"/>
          <w:sz w:val="32"/>
          <w:szCs w:val="32"/>
          <w:highlight w:val="none"/>
          <w:shd w:val="clear" w:fill="auto"/>
          <w:lang w:val="en-US" w:eastAsia="zh-CN"/>
        </w:rPr>
      </w:pPr>
      <w:r>
        <w:rPr>
          <w:rFonts w:hint="eastAsia" w:ascii="方正仿宋_GBK" w:hAnsi="方正仿宋_GBK" w:eastAsia="方正仿宋_GBK" w:cs="方正仿宋_GBK"/>
          <w:b/>
          <w:bCs/>
          <w:color w:val="auto"/>
          <w:sz w:val="32"/>
          <w:szCs w:val="32"/>
          <w:highlight w:val="none"/>
          <w:lang w:val="en-US" w:eastAsia="zh-CN"/>
        </w:rPr>
        <w:t>外智汇聚协同赋能。</w:t>
      </w:r>
      <w:r>
        <w:rPr>
          <w:rFonts w:hint="eastAsia" w:ascii="方正仿宋_GBK" w:hAnsi="方正仿宋_GBK" w:eastAsia="方正仿宋_GBK" w:cs="方正仿宋_GBK"/>
          <w:color w:val="auto"/>
          <w:sz w:val="32"/>
          <w:szCs w:val="32"/>
          <w:highlight w:val="none"/>
          <w:lang w:val="en-US" w:eastAsia="zh-CN"/>
        </w:rPr>
        <w:t>协同统战、人才工作、科技、人力资源社会保障等部门，实施全球引才、平台聚才、生态留才，激活开放创新智力引擎。打造“侨都咖啡”特色产业，携手港澳在全国首创粤港澳咖啡师“一试三证”技能评价模式，实现“统一标准、一次考试、三地认可、四证齐发”，成功举办WCBC世界咖啡拼豆师大赛、粤港澳大湾区咖啡师职业技能大赛、华侨华人咖啡冲煮大赛等活动，为全省乃至全国咖啡技能人才培养评价和产业协同发展提供江门经验。分别与香港贸易发展局、澳门招商投资促进局签订《关于共同推进粤港澳大湾区经贸合作备忘录》，推动在江门设立“GoGBA港商服务站”和粤港澳大湾区首个“澳门企业服务站</w:t>
      </w:r>
      <w:bookmarkStart w:id="1" w:name="_GoBack"/>
      <w:bookmarkEnd w:id="1"/>
      <w:r>
        <w:rPr>
          <w:rFonts w:hint="eastAsia" w:ascii="方正仿宋_GBK" w:hAnsi="方正仿宋_GBK" w:eastAsia="方正仿宋_GBK" w:cs="方正仿宋_GBK"/>
          <w:color w:val="auto"/>
          <w:sz w:val="32"/>
          <w:szCs w:val="32"/>
          <w:highlight w:val="none"/>
          <w:lang w:val="en-US" w:eastAsia="zh-CN"/>
        </w:rPr>
        <w:t>”，促进江港澳地区商品、服务、人才、资金、技术等要素高效便捷流动。</w:t>
      </w:r>
    </w:p>
    <w:p w14:paraId="22AEB07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sz w:val="32"/>
          <w:szCs w:val="32"/>
          <w:highlight w:val="none"/>
          <w:lang w:val="en-US" w:eastAsia="zh-CN"/>
        </w:rPr>
      </w:pPr>
    </w:p>
    <w:p w14:paraId="47A9C6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sz w:val="32"/>
          <w:szCs w:val="32"/>
          <w:highlight w:val="none"/>
          <w:lang w:val="en-US" w:eastAsia="zh-CN"/>
        </w:rPr>
      </w:pPr>
    </w:p>
    <w:p w14:paraId="52FEFC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sz w:val="32"/>
          <w:szCs w:val="32"/>
          <w:highlight w:val="none"/>
          <w:lang w:val="en-US" w:eastAsia="zh-CN"/>
        </w:rPr>
      </w:pPr>
    </w:p>
    <w:p w14:paraId="2BF3D7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sz w:val="32"/>
          <w:szCs w:val="32"/>
          <w:highlight w:val="none"/>
          <w:lang w:val="en-US" w:eastAsia="zh-CN"/>
        </w:rPr>
      </w:pPr>
    </w:p>
    <w:p w14:paraId="34DD35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sz w:val="32"/>
          <w:szCs w:val="32"/>
          <w:highlight w:val="none"/>
          <w:lang w:val="en-US" w:eastAsia="zh-CN"/>
        </w:rPr>
      </w:pPr>
    </w:p>
    <w:p w14:paraId="5EF5BC7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32"/>
          <w:szCs w:val="32"/>
          <w:highlight w:val="none"/>
          <w:lang w:val="en-US" w:eastAsia="zh-CN"/>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951CF"/>
    <w:rsid w:val="0439341F"/>
    <w:rsid w:val="06593150"/>
    <w:rsid w:val="082836B1"/>
    <w:rsid w:val="093E38CC"/>
    <w:rsid w:val="096273D5"/>
    <w:rsid w:val="0D226E4E"/>
    <w:rsid w:val="0DF21F7A"/>
    <w:rsid w:val="10D73AF3"/>
    <w:rsid w:val="144B73A6"/>
    <w:rsid w:val="18455357"/>
    <w:rsid w:val="1DF62238"/>
    <w:rsid w:val="1E190FA3"/>
    <w:rsid w:val="1FD7080F"/>
    <w:rsid w:val="21DA3BDF"/>
    <w:rsid w:val="243A6362"/>
    <w:rsid w:val="26323867"/>
    <w:rsid w:val="277951CF"/>
    <w:rsid w:val="2B386086"/>
    <w:rsid w:val="2D4531DD"/>
    <w:rsid w:val="2E835691"/>
    <w:rsid w:val="2F2F5679"/>
    <w:rsid w:val="2F537699"/>
    <w:rsid w:val="30153004"/>
    <w:rsid w:val="31445CCD"/>
    <w:rsid w:val="34444AF4"/>
    <w:rsid w:val="37F5210E"/>
    <w:rsid w:val="3804102E"/>
    <w:rsid w:val="3B1D9ED3"/>
    <w:rsid w:val="3DCD7286"/>
    <w:rsid w:val="3EBC64E6"/>
    <w:rsid w:val="46671259"/>
    <w:rsid w:val="47164704"/>
    <w:rsid w:val="4BEA1A93"/>
    <w:rsid w:val="50403C25"/>
    <w:rsid w:val="53456380"/>
    <w:rsid w:val="568B6050"/>
    <w:rsid w:val="575E5613"/>
    <w:rsid w:val="57973D27"/>
    <w:rsid w:val="580E26F6"/>
    <w:rsid w:val="5A9D2480"/>
    <w:rsid w:val="5B1452CD"/>
    <w:rsid w:val="5D632A81"/>
    <w:rsid w:val="5EF70452"/>
    <w:rsid w:val="5EF8729E"/>
    <w:rsid w:val="5F292149"/>
    <w:rsid w:val="5F993E4F"/>
    <w:rsid w:val="5FF5ADEC"/>
    <w:rsid w:val="60A25FC6"/>
    <w:rsid w:val="635E5AA2"/>
    <w:rsid w:val="67884A5A"/>
    <w:rsid w:val="69805883"/>
    <w:rsid w:val="6BC7723A"/>
    <w:rsid w:val="6F114737"/>
    <w:rsid w:val="704B129E"/>
    <w:rsid w:val="714019F9"/>
    <w:rsid w:val="71CA27DB"/>
    <w:rsid w:val="75B84B7D"/>
    <w:rsid w:val="776F1007"/>
    <w:rsid w:val="77F8FAC0"/>
    <w:rsid w:val="7AFF0532"/>
    <w:rsid w:val="7CFF710C"/>
    <w:rsid w:val="7E7A1C49"/>
    <w:rsid w:val="7EFBB1E6"/>
    <w:rsid w:val="7F104909"/>
    <w:rsid w:val="90EC6632"/>
    <w:rsid w:val="BBDD3172"/>
    <w:rsid w:val="BFFF9641"/>
    <w:rsid w:val="DFFD3575"/>
    <w:rsid w:val="FDBF8536"/>
    <w:rsid w:val="FFEE7AD7"/>
    <w:rsid w:val="FFEED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宋体" w:hAnsi="Times New Roman" w:eastAsia="宋体" w:cs="Times New Roman"/>
      <w:kern w:val="0"/>
      <w:sz w:val="38"/>
      <w:szCs w:val="3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江门市市商务局</Company>
  <Pages>4</Pages>
  <Words>0</Words>
  <Characters>0</Characters>
  <Lines>0</Lines>
  <Paragraphs>0</Paragraphs>
  <TotalTime>1</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2022-09-30T08:30:00Z</dcterms:created>
  <dc:creator>陈嘉瑜</dc:creator>
  <cp:lastModifiedBy>greatwall</cp:lastModifiedBy>
  <cp:lastPrinted>2022-09-30T08:59:00Z</cp:lastPrinted>
  <dcterms:modified xsi:type="dcterms:W3CDTF">2026-07-21T15:23:27Z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D903925DEB78D62D76E55D6A33F7072F</vt:lpwstr>
  </property>
</Properties>
</file>