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20" w:lineRule="exact"/>
        <w:jc w:val="left"/>
        <w:textAlignment w:val="auto"/>
        <w:rPr>
          <w:rFonts w:hint="default" w:ascii="Times New Roman" w:hAnsi="Times New Roman" w:eastAsia="CESI黑体-GB2312" w:cs="Times New Roman"/>
          <w:sz w:val="28"/>
          <w:szCs w:val="28"/>
        </w:rPr>
      </w:pPr>
      <w:bookmarkStart w:id="0" w:name="_GoBack"/>
      <w:bookmarkEnd w:id="0"/>
      <w:r>
        <w:rPr>
          <w:rFonts w:hint="default" w:ascii="Times New Roman" w:hAnsi="Times New Roman" w:eastAsia="CESI黑体-GB2312" w:cs="Times New Roman"/>
          <w:sz w:val="28"/>
          <w:szCs w:val="28"/>
        </w:rPr>
        <w:t>附件</w:t>
      </w:r>
    </w:p>
    <w:p>
      <w:pPr>
        <w:keepNext w:val="0"/>
        <w:keepLines w:val="0"/>
        <w:pageBreakBefore w:val="0"/>
        <w:widowControl w:val="0"/>
        <w:kinsoku/>
        <w:wordWrap/>
        <w:overflowPunct/>
        <w:topLinePunct w:val="0"/>
        <w:autoSpaceDE/>
        <w:autoSpaceDN/>
        <w:bidi w:val="0"/>
        <w:adjustRightInd w:val="0"/>
        <w:snapToGrid/>
        <w:spacing w:line="520" w:lineRule="exact"/>
        <w:contextualSpacing/>
        <w:jc w:val="center"/>
        <w:textAlignment w:val="auto"/>
        <w:rPr>
          <w:rFonts w:hint="default" w:ascii="Times New Roman" w:hAnsi="Times New Roman" w:cs="Times New Roman"/>
          <w:b/>
          <w:spacing w:val="-4"/>
          <w:kern w:val="0"/>
          <w:sz w:val="44"/>
          <w:szCs w:val="32"/>
        </w:rPr>
      </w:pPr>
      <w:r>
        <w:rPr>
          <w:rFonts w:hint="default" w:ascii="Times New Roman" w:hAnsi="Times New Roman" w:cs="Times New Roman"/>
          <w:b/>
          <w:spacing w:val="-4"/>
          <w:kern w:val="0"/>
          <w:sz w:val="44"/>
          <w:szCs w:val="32"/>
        </w:rPr>
        <w:t>江门市工业和信息化局2026-2027年省级</w:t>
      </w:r>
    </w:p>
    <w:p>
      <w:pPr>
        <w:keepNext w:val="0"/>
        <w:keepLines w:val="0"/>
        <w:pageBreakBefore w:val="0"/>
        <w:widowControl w:val="0"/>
        <w:kinsoku/>
        <w:wordWrap/>
        <w:overflowPunct/>
        <w:topLinePunct w:val="0"/>
        <w:autoSpaceDE/>
        <w:autoSpaceDN/>
        <w:bidi w:val="0"/>
        <w:adjustRightInd w:val="0"/>
        <w:snapToGrid/>
        <w:spacing w:line="520" w:lineRule="exact"/>
        <w:contextualSpacing/>
        <w:jc w:val="center"/>
        <w:textAlignment w:val="auto"/>
        <w:rPr>
          <w:rFonts w:hint="default" w:ascii="Times New Roman" w:hAnsi="Times New Roman" w:cs="Times New Roman"/>
          <w:b/>
          <w:spacing w:val="-4"/>
          <w:kern w:val="0"/>
          <w:sz w:val="44"/>
          <w:szCs w:val="32"/>
        </w:rPr>
      </w:pPr>
      <w:r>
        <w:rPr>
          <w:rFonts w:hint="default" w:ascii="Times New Roman" w:hAnsi="Times New Roman" w:cs="Times New Roman"/>
          <w:b/>
          <w:spacing w:val="-4"/>
          <w:kern w:val="0"/>
          <w:sz w:val="44"/>
          <w:szCs w:val="32"/>
        </w:rPr>
        <w:t>促进产业有序转移专项资金入库项目</w:t>
      </w:r>
    </w:p>
    <w:p>
      <w:pPr>
        <w:keepNext w:val="0"/>
        <w:keepLines w:val="0"/>
        <w:pageBreakBefore w:val="0"/>
        <w:widowControl w:val="0"/>
        <w:kinsoku/>
        <w:wordWrap/>
        <w:overflowPunct/>
        <w:topLinePunct w:val="0"/>
        <w:autoSpaceDE/>
        <w:autoSpaceDN/>
        <w:bidi w:val="0"/>
        <w:adjustRightInd w:val="0"/>
        <w:snapToGrid/>
        <w:spacing w:line="520" w:lineRule="exact"/>
        <w:contextualSpacing/>
        <w:jc w:val="center"/>
        <w:textAlignment w:val="auto"/>
        <w:rPr>
          <w:rFonts w:hint="default" w:ascii="Times New Roman" w:hAnsi="Times New Roman" w:cs="Times New Roman"/>
          <w:b/>
          <w:spacing w:val="-4"/>
          <w:kern w:val="0"/>
          <w:sz w:val="44"/>
          <w:szCs w:val="32"/>
        </w:rPr>
      </w:pPr>
      <w:r>
        <w:rPr>
          <w:rFonts w:hint="default" w:ascii="Times New Roman" w:hAnsi="Times New Roman" w:cs="Times New Roman"/>
          <w:b/>
          <w:spacing w:val="-4"/>
          <w:kern w:val="0"/>
          <w:sz w:val="44"/>
          <w:szCs w:val="32"/>
        </w:rPr>
        <w:t>评审服务评审表</w:t>
      </w:r>
    </w:p>
    <w:p>
      <w:pPr>
        <w:keepNext w:val="0"/>
        <w:keepLines w:val="0"/>
        <w:pageBreakBefore w:val="0"/>
        <w:widowControl w:val="0"/>
        <w:kinsoku/>
        <w:wordWrap/>
        <w:overflowPunct/>
        <w:topLinePunct w:val="0"/>
        <w:autoSpaceDE/>
        <w:autoSpaceDN/>
        <w:bidi w:val="0"/>
        <w:adjustRightInd w:val="0"/>
        <w:snapToGrid/>
        <w:spacing w:line="520" w:lineRule="exact"/>
        <w:contextualSpacing/>
        <w:jc w:val="both"/>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供应商名称：</w:t>
      </w:r>
    </w:p>
    <w:tbl>
      <w:tblPr>
        <w:tblStyle w:val="7"/>
        <w:tblpPr w:leftFromText="180" w:rightFromText="180" w:vertAnchor="text" w:horzAnchor="page" w:tblpX="1425" w:tblpY="550"/>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5"/>
        <w:gridCol w:w="4815"/>
        <w:gridCol w:w="1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9356" w:type="dxa"/>
            <w:gridSpan w:val="3"/>
            <w:tcBorders>
              <w:top w:val="nil"/>
              <w:left w:val="nil"/>
              <w:right w:val="nil"/>
            </w:tcBorders>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eastAsiaTheme="minorEastAsia"/>
                <w:sz w:val="32"/>
                <w:szCs w:val="32"/>
              </w:rPr>
            </w:pPr>
            <w:r>
              <w:rPr>
                <w:rFonts w:hint="default" w:ascii="Times New Roman" w:hAnsi="Times New Roman" w:eastAsia="黑体" w:cs="Times New Roman"/>
                <w:sz w:val="32"/>
                <w:szCs w:val="32"/>
              </w:rPr>
              <w:t>一、资格（资质）符合性审查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323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审查内容</w:t>
            </w:r>
          </w:p>
        </w:tc>
        <w:tc>
          <w:tcPr>
            <w:tcW w:w="48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具体要求</w:t>
            </w:r>
          </w:p>
        </w:tc>
        <w:tc>
          <w:tcPr>
            <w:tcW w:w="130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是否</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3" w:hRule="atLeast"/>
        </w:trPr>
        <w:tc>
          <w:tcPr>
            <w:tcW w:w="3235"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1、是否具有法人资格。</w:t>
            </w:r>
          </w:p>
        </w:tc>
        <w:tc>
          <w:tcPr>
            <w:tcW w:w="4815"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rPr>
              <w:t>须是具有独立法人资格的高等院校、研究机构、企业、行业协会，或具有独立承担民事责任能力的机构或组织（提供有效的营业执照或法人登记证或统一机构信用代码证）。分支机构报名，须取得具有法人资格的总公司（总所）出具给分支机构的授权书，并提供总公司（总所） 和分支机构的营业执照或统一机构信用代码证复印件。</w:t>
            </w:r>
          </w:p>
        </w:tc>
        <w:tc>
          <w:tcPr>
            <w:tcW w:w="1306"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2" w:hRule="atLeast"/>
        </w:trPr>
        <w:tc>
          <w:tcPr>
            <w:tcW w:w="3235"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2、是否符合评审服务经验要求。</w:t>
            </w:r>
          </w:p>
        </w:tc>
        <w:tc>
          <w:tcPr>
            <w:tcW w:w="4815"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color w:val="000000"/>
                <w:sz w:val="24"/>
                <w:szCs w:val="24"/>
              </w:rPr>
              <w:t>具有承办政府专项资金项目评审服务经验，拥有符合省市有关专项资金项目评审服务要求的专家库或专家库使用权限（提供专家库材料）。</w:t>
            </w:r>
          </w:p>
        </w:tc>
        <w:tc>
          <w:tcPr>
            <w:tcW w:w="1306"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2" w:hRule="atLeast"/>
        </w:trPr>
        <w:tc>
          <w:tcPr>
            <w:tcW w:w="3235"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3、是否具有良好的商业信誉和健全的财务会计制度。</w:t>
            </w:r>
          </w:p>
        </w:tc>
        <w:tc>
          <w:tcPr>
            <w:tcW w:w="4815"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color w:val="000000"/>
                <w:sz w:val="24"/>
                <w:szCs w:val="24"/>
                <w:lang w:eastAsia="zh-CN"/>
              </w:rPr>
            </w:pPr>
            <w:r>
              <w:rPr>
                <w:rFonts w:hint="default" w:ascii="Times New Roman" w:hAnsi="Times New Roman" w:cs="Times New Roman" w:eastAsiaTheme="minorEastAsia"/>
                <w:color w:val="000000"/>
                <w:sz w:val="24"/>
                <w:szCs w:val="24"/>
                <w:lang w:eastAsia="zh-CN"/>
              </w:rPr>
              <w:t>银行资信证明复印件或2025年度财务状况报告或2026年1月至今任意1个月的财务报表。</w:t>
            </w:r>
          </w:p>
        </w:tc>
        <w:tc>
          <w:tcPr>
            <w:tcW w:w="1306"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trPr>
        <w:tc>
          <w:tcPr>
            <w:tcW w:w="3235"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sz w:val="24"/>
                <w:szCs w:val="24"/>
                <w:lang w:val="en-US" w:eastAsia="zh-CN"/>
              </w:rPr>
              <w:t>4</w:t>
            </w:r>
            <w:r>
              <w:rPr>
                <w:rFonts w:hint="default" w:ascii="Times New Roman" w:hAnsi="Times New Roman" w:cs="Times New Roman" w:eastAsiaTheme="minorEastAsia"/>
                <w:sz w:val="24"/>
                <w:szCs w:val="24"/>
              </w:rPr>
              <w:t>、是否有重大违法行为。</w:t>
            </w:r>
          </w:p>
        </w:tc>
        <w:tc>
          <w:tcPr>
            <w:tcW w:w="4815"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sz w:val="24"/>
                <w:szCs w:val="24"/>
              </w:rPr>
              <w:t>近三年来在经营活动中没有重大违法记录（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c>
          <w:tcPr>
            <w:tcW w:w="1306"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6" w:hRule="atLeast"/>
        </w:trPr>
        <w:tc>
          <w:tcPr>
            <w:tcW w:w="3235"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5、是否有失信行为。</w:t>
            </w:r>
          </w:p>
        </w:tc>
        <w:tc>
          <w:tcPr>
            <w:tcW w:w="4815"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kern w:val="2"/>
                <w:sz w:val="24"/>
                <w:szCs w:val="24"/>
                <w:lang w:val="en-US" w:eastAsia="zh-CN" w:bidi="ar"/>
              </w:rPr>
            </w:pPr>
            <w:r>
              <w:rPr>
                <w:rFonts w:hint="default" w:ascii="Times New Roman" w:hAnsi="Times New Roman" w:cs="Times New Roman" w:eastAsiaTheme="minorEastAsia"/>
                <w:kern w:val="2"/>
                <w:sz w:val="24"/>
                <w:szCs w:val="24"/>
                <w:lang w:val="en-US" w:eastAsia="zh-CN" w:bidi="ar"/>
              </w:rPr>
              <w:t>未被列入“信用中国”网站(www.creditchina.gov.cn)“严重失信主体名</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kern w:val="2"/>
                <w:sz w:val="24"/>
                <w:szCs w:val="24"/>
                <w:lang w:val="en-US" w:eastAsia="zh-CN" w:bidi="ar"/>
              </w:rPr>
              <w:t>单”记录名单；不处于中国政府采购网（ www.ccgp.gov.cn）“政府采购严重违法失信行为信息记录”中的禁止参加政府采购活动期间。（需提供“信用中国”“中国政府采购网”网站查询记录）</w:t>
            </w:r>
          </w:p>
        </w:tc>
        <w:tc>
          <w:tcPr>
            <w:tcW w:w="1306"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1" w:hRule="atLeast"/>
        </w:trPr>
        <w:tc>
          <w:tcPr>
            <w:tcW w:w="3235"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6、是否为被评审的单位提供相关服务。</w:t>
            </w:r>
          </w:p>
        </w:tc>
        <w:tc>
          <w:tcPr>
            <w:tcW w:w="4815"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rPr>
              <w:t>没有为被评审单位提供本次采购所述的专项资金项目申报资料编制服务（提供书面声明）。</w:t>
            </w:r>
          </w:p>
        </w:tc>
        <w:tc>
          <w:tcPr>
            <w:tcW w:w="1306"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3235"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sz w:val="24"/>
                <w:szCs w:val="24"/>
                <w:lang w:val="en-US" w:eastAsia="zh-CN"/>
              </w:rPr>
              <w:t>7</w:t>
            </w:r>
            <w:r>
              <w:rPr>
                <w:rFonts w:hint="default" w:ascii="Times New Roman" w:hAnsi="Times New Roman" w:cs="Times New Roman" w:eastAsiaTheme="minorEastAsia"/>
                <w:sz w:val="24"/>
                <w:szCs w:val="24"/>
              </w:rPr>
              <w:t>、是否属于联合体供应商。</w:t>
            </w:r>
          </w:p>
        </w:tc>
        <w:tc>
          <w:tcPr>
            <w:tcW w:w="4815"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color w:val="000000"/>
                <w:kern w:val="2"/>
                <w:sz w:val="24"/>
                <w:szCs w:val="24"/>
                <w:lang w:val="en-US" w:eastAsia="zh-CN" w:bidi="ar-SA"/>
              </w:rPr>
            </w:pPr>
            <w:r>
              <w:rPr>
                <w:rFonts w:hint="default" w:ascii="Times New Roman" w:hAnsi="Times New Roman" w:cs="Times New Roman" w:eastAsiaTheme="minorEastAsia"/>
                <w:sz w:val="24"/>
                <w:szCs w:val="24"/>
              </w:rPr>
              <w:t>不接受联合体供应商。</w:t>
            </w:r>
          </w:p>
        </w:tc>
        <w:tc>
          <w:tcPr>
            <w:tcW w:w="1306"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kern w:val="2"/>
                <w:sz w:val="24"/>
                <w:szCs w:val="24"/>
                <w:lang w:val="en-US" w:eastAsia="zh-CN" w:bidi="ar-SA"/>
              </w:rPr>
            </w:pPr>
          </w:p>
        </w:tc>
      </w:tr>
    </w:tbl>
    <w:tbl>
      <w:tblPr>
        <w:tblStyle w:val="7"/>
        <w:tblW w:w="93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006"/>
        <w:gridCol w:w="4387"/>
        <w:gridCol w:w="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9356" w:type="dxa"/>
            <w:gridSpan w:val="4"/>
            <w:tcBorders>
              <w:left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楷体" w:cs="Times New Roman"/>
                <w:sz w:val="28"/>
                <w:szCs w:val="28"/>
              </w:rPr>
            </w:pPr>
            <w:r>
              <w:rPr>
                <w:rFonts w:hint="default" w:ascii="Times New Roman" w:hAnsi="Times New Roman" w:eastAsia="楷体" w:cs="Times New Roman"/>
                <w:sz w:val="28"/>
                <w:szCs w:val="28"/>
              </w:rPr>
              <w:t>备注：以上为一票否决项，不符合任意一项要求的报价无效</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楷体" w:cs="Times New Roman"/>
                <w:sz w:val="28"/>
                <w:szCs w:val="28"/>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二、商务水平、技术水平及报价评审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4"/>
              </w:rPr>
            </w:pPr>
            <w:r>
              <w:rPr>
                <w:rFonts w:hint="default" w:ascii="Times New Roman" w:hAnsi="Times New Roman" w:cs="Times New Roman" w:eastAsiaTheme="minorEastAsia"/>
                <w:sz w:val="24"/>
              </w:rPr>
              <w:t>类别</w:t>
            </w:r>
          </w:p>
        </w:tc>
        <w:tc>
          <w:tcPr>
            <w:tcW w:w="300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4"/>
              </w:rPr>
            </w:pPr>
            <w:r>
              <w:rPr>
                <w:rFonts w:hint="default" w:ascii="Times New Roman" w:hAnsi="Times New Roman" w:cs="Times New Roman" w:eastAsiaTheme="minorEastAsia"/>
                <w:sz w:val="24"/>
              </w:rPr>
              <w:t>一级评价指标</w:t>
            </w:r>
          </w:p>
        </w:tc>
        <w:tc>
          <w:tcPr>
            <w:tcW w:w="438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4"/>
              </w:rPr>
            </w:pPr>
            <w:r>
              <w:rPr>
                <w:rFonts w:hint="default" w:ascii="Times New Roman" w:hAnsi="Times New Roman" w:cs="Times New Roman" w:eastAsiaTheme="minorEastAsia"/>
                <w:sz w:val="24"/>
              </w:rPr>
              <w:t>二级评价指标</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4"/>
              </w:rPr>
            </w:pPr>
            <w:r>
              <w:rPr>
                <w:rFonts w:hint="default" w:ascii="Times New Roman" w:hAnsi="Times New Roman" w:cs="Times New Roman" w:eastAsiaTheme="minorEastAsia"/>
                <w:sz w:val="24"/>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8" w:hRule="atLeast"/>
          <w:jc w:val="center"/>
        </w:trPr>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4"/>
              </w:rPr>
            </w:pPr>
            <w:r>
              <w:rPr>
                <w:rFonts w:hint="default" w:ascii="Times New Roman" w:hAnsi="Times New Roman" w:cs="Times New Roman" w:eastAsiaTheme="minorEastAsia"/>
                <w:sz w:val="24"/>
              </w:rPr>
              <w:t>（一）商务水平（</w:t>
            </w:r>
            <w:r>
              <w:rPr>
                <w:rFonts w:hint="default" w:ascii="Times New Roman" w:hAnsi="Times New Roman" w:cs="Times New Roman" w:eastAsiaTheme="minorEastAsia"/>
                <w:sz w:val="24"/>
                <w:lang w:val="en-US" w:eastAsia="zh-CN"/>
              </w:rPr>
              <w:t>30</w:t>
            </w:r>
            <w:r>
              <w:rPr>
                <w:rFonts w:hint="default" w:ascii="Times New Roman" w:hAnsi="Times New Roman" w:cs="Times New Roman" w:eastAsiaTheme="minorEastAsia"/>
                <w:sz w:val="24"/>
              </w:rPr>
              <w:t>分）</w:t>
            </w:r>
          </w:p>
        </w:tc>
        <w:tc>
          <w:tcPr>
            <w:tcW w:w="3006"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24"/>
              </w:rPr>
            </w:pPr>
            <w:r>
              <w:rPr>
                <w:rFonts w:hint="default" w:ascii="Times New Roman" w:hAnsi="Times New Roman" w:cs="Times New Roman" w:eastAsiaTheme="minorEastAsia"/>
                <w:sz w:val="24"/>
              </w:rPr>
              <w:t>实施（评审）方案</w:t>
            </w:r>
          </w:p>
        </w:tc>
        <w:tc>
          <w:tcPr>
            <w:tcW w:w="4387" w:type="dxa"/>
            <w:noWrap w:val="0"/>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color w:val="auto"/>
                <w:sz w:val="24"/>
                <w:szCs w:val="21"/>
                <w:lang w:eastAsia="zh-CN"/>
              </w:rPr>
            </w:pPr>
            <w:r>
              <w:rPr>
                <w:rFonts w:hint="default" w:ascii="Times New Roman" w:hAnsi="Times New Roman" w:eastAsia="宋体" w:cs="Times New Roman"/>
                <w:kern w:val="0"/>
                <w:sz w:val="24"/>
                <w:szCs w:val="24"/>
                <w:lang w:val="en-US" w:eastAsia="zh-CN" w:bidi="ar"/>
              </w:rPr>
              <w:t>方案完整详实，需求分析透彻，实施路线科学先进，保障措施严密，优于采购需求，</w:t>
            </w:r>
            <w:r>
              <w:rPr>
                <w:rFonts w:hint="default" w:ascii="Times New Roman" w:hAnsi="Times New Roman" w:cs="Times New Roman" w:eastAsiaTheme="minorEastAsia"/>
                <w:b w:val="0"/>
                <w:bCs w:val="0"/>
                <w:color w:val="auto"/>
                <w:sz w:val="24"/>
                <w:szCs w:val="21"/>
                <w:lang w:eastAsia="zh-CN"/>
              </w:rPr>
              <w:t>得</w:t>
            </w:r>
            <w:r>
              <w:rPr>
                <w:rFonts w:hint="default" w:ascii="Times New Roman" w:hAnsi="Times New Roman" w:cs="Times New Roman" w:eastAsiaTheme="minorEastAsia"/>
                <w:color w:val="auto"/>
                <w:sz w:val="24"/>
                <w:szCs w:val="21"/>
                <w:lang w:val="en-US" w:eastAsia="zh-CN"/>
              </w:rPr>
              <w:t>24-30</w:t>
            </w:r>
            <w:r>
              <w:rPr>
                <w:rFonts w:hint="default" w:ascii="Times New Roman" w:hAnsi="Times New Roman" w:cs="Times New Roman" w:eastAsiaTheme="minorEastAsia"/>
                <w:color w:val="auto"/>
                <w:sz w:val="24"/>
                <w:szCs w:val="21"/>
              </w:rPr>
              <w:t>分</w:t>
            </w:r>
            <w:r>
              <w:rPr>
                <w:rFonts w:hint="default" w:ascii="Times New Roman" w:hAnsi="Times New Roman" w:cs="Times New Roman" w:eastAsiaTheme="minorEastAsia"/>
                <w:color w:val="auto"/>
                <w:sz w:val="24"/>
                <w:szCs w:val="21"/>
                <w:lang w:eastAsia="zh-CN"/>
              </w:rPr>
              <w:t>。</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color w:val="auto"/>
                <w:sz w:val="24"/>
                <w:szCs w:val="21"/>
                <w:lang w:eastAsia="zh-CN"/>
              </w:rPr>
            </w:pPr>
            <w:r>
              <w:rPr>
                <w:rFonts w:hint="default" w:ascii="Times New Roman" w:hAnsi="Times New Roman" w:cs="Times New Roman" w:eastAsiaTheme="minorEastAsia"/>
                <w:color w:val="auto"/>
                <w:sz w:val="24"/>
                <w:szCs w:val="21"/>
                <w:lang w:eastAsia="zh-CN"/>
              </w:rPr>
              <w:t>方案较完整，需求理解准确，措施合理，能够满足采购需求，局部有待细化，</w:t>
            </w:r>
            <w:r>
              <w:rPr>
                <w:rFonts w:hint="default" w:ascii="Times New Roman" w:hAnsi="Times New Roman" w:cs="Times New Roman" w:eastAsiaTheme="minorEastAsia"/>
                <w:b w:val="0"/>
                <w:bCs w:val="0"/>
                <w:color w:val="auto"/>
                <w:sz w:val="24"/>
                <w:szCs w:val="21"/>
                <w:lang w:eastAsia="zh-CN"/>
              </w:rPr>
              <w:t>得</w:t>
            </w:r>
            <w:r>
              <w:rPr>
                <w:rFonts w:hint="default" w:ascii="Times New Roman" w:hAnsi="Times New Roman" w:cs="Times New Roman" w:eastAsiaTheme="minorEastAsia"/>
                <w:color w:val="auto"/>
                <w:sz w:val="24"/>
                <w:szCs w:val="21"/>
                <w:lang w:val="en-US" w:eastAsia="zh-CN"/>
              </w:rPr>
              <w:t>16-23</w:t>
            </w:r>
            <w:r>
              <w:rPr>
                <w:rFonts w:hint="default" w:ascii="Times New Roman" w:hAnsi="Times New Roman" w:cs="Times New Roman" w:eastAsiaTheme="minorEastAsia"/>
                <w:color w:val="auto"/>
                <w:sz w:val="24"/>
                <w:szCs w:val="21"/>
              </w:rPr>
              <w:t>分</w:t>
            </w:r>
            <w:r>
              <w:rPr>
                <w:rFonts w:hint="default" w:ascii="Times New Roman" w:hAnsi="Times New Roman" w:cs="Times New Roman" w:eastAsiaTheme="minorEastAsia"/>
                <w:color w:val="auto"/>
                <w:sz w:val="24"/>
                <w:szCs w:val="21"/>
                <w:lang w:eastAsia="zh-CN"/>
              </w:rPr>
              <w:t>。</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color w:val="auto"/>
                <w:sz w:val="24"/>
                <w:szCs w:val="21"/>
                <w:lang w:eastAsia="zh-CN"/>
              </w:rPr>
            </w:pPr>
            <w:r>
              <w:rPr>
                <w:rFonts w:hint="default" w:ascii="Times New Roman" w:hAnsi="Times New Roman" w:cs="Times New Roman" w:eastAsiaTheme="minorEastAsia"/>
                <w:color w:val="auto"/>
                <w:sz w:val="24"/>
                <w:szCs w:val="21"/>
                <w:lang w:eastAsia="zh-CN"/>
              </w:rPr>
              <w:t>方案基本完整但较笼统，部分需求理解有偏差，措施针对性不强，仅能勉强满足基础要求，</w:t>
            </w:r>
            <w:r>
              <w:rPr>
                <w:rFonts w:hint="default" w:ascii="Times New Roman" w:hAnsi="Times New Roman" w:cs="Times New Roman" w:eastAsiaTheme="minorEastAsia"/>
                <w:b w:val="0"/>
                <w:bCs w:val="0"/>
                <w:color w:val="auto"/>
                <w:sz w:val="24"/>
                <w:szCs w:val="21"/>
                <w:lang w:eastAsia="zh-CN"/>
              </w:rPr>
              <w:t>得</w:t>
            </w:r>
            <w:r>
              <w:rPr>
                <w:rFonts w:hint="default" w:ascii="Times New Roman" w:hAnsi="Times New Roman" w:cs="Times New Roman" w:eastAsiaTheme="minorEastAsia"/>
                <w:color w:val="auto"/>
                <w:sz w:val="24"/>
                <w:szCs w:val="21"/>
                <w:lang w:val="en-US" w:eastAsia="zh-CN"/>
              </w:rPr>
              <w:t>8-15</w:t>
            </w:r>
            <w:r>
              <w:rPr>
                <w:rFonts w:hint="default" w:ascii="Times New Roman" w:hAnsi="Times New Roman" w:cs="Times New Roman" w:eastAsiaTheme="minorEastAsia"/>
                <w:color w:val="auto"/>
                <w:sz w:val="24"/>
                <w:szCs w:val="21"/>
              </w:rPr>
              <w:t>分</w:t>
            </w:r>
            <w:r>
              <w:rPr>
                <w:rFonts w:hint="default" w:ascii="Times New Roman" w:hAnsi="Times New Roman" w:cs="Times New Roman" w:eastAsiaTheme="minorEastAsia"/>
                <w:color w:val="auto"/>
                <w:sz w:val="24"/>
                <w:szCs w:val="21"/>
                <w:lang w:eastAsia="zh-CN"/>
              </w:rPr>
              <w:t>。</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sz w:val="24"/>
              </w:rPr>
            </w:pPr>
            <w:r>
              <w:rPr>
                <w:rFonts w:hint="default" w:ascii="Times New Roman" w:hAnsi="Times New Roman" w:cs="Times New Roman" w:eastAsiaTheme="minorEastAsia"/>
                <w:color w:val="auto"/>
                <w:sz w:val="24"/>
                <w:szCs w:val="21"/>
                <w:lang w:eastAsia="zh-CN"/>
              </w:rPr>
              <w:t>方案严重缺失，需求理解错误，或不具备实施条件，无法满足采购需求，得</w:t>
            </w:r>
            <w:r>
              <w:rPr>
                <w:rFonts w:hint="default" w:ascii="Times New Roman" w:hAnsi="Times New Roman" w:cs="Times New Roman" w:eastAsiaTheme="minorEastAsia"/>
                <w:color w:val="auto"/>
                <w:sz w:val="24"/>
                <w:szCs w:val="21"/>
                <w:lang w:val="en-US" w:eastAsia="zh-CN"/>
              </w:rPr>
              <w:t>0-7分。</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8" w:hRule="atLeast"/>
          <w:jc w:val="center"/>
        </w:trPr>
        <w:tc>
          <w:tcPr>
            <w:tcW w:w="113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4"/>
              </w:rPr>
            </w:pPr>
            <w:r>
              <w:rPr>
                <w:rFonts w:hint="default" w:ascii="Times New Roman" w:hAnsi="Times New Roman" w:cs="Times New Roman" w:eastAsiaTheme="minorEastAsia"/>
                <w:sz w:val="24"/>
              </w:rPr>
              <w:t>（二）技术水平（</w:t>
            </w:r>
            <w:r>
              <w:rPr>
                <w:rFonts w:hint="default" w:ascii="Times New Roman" w:hAnsi="Times New Roman" w:cs="Times New Roman" w:eastAsiaTheme="minorEastAsia"/>
                <w:sz w:val="24"/>
                <w:lang w:val="en-US" w:eastAsia="zh-CN"/>
              </w:rPr>
              <w:t>40</w:t>
            </w:r>
            <w:r>
              <w:rPr>
                <w:rFonts w:hint="default" w:ascii="Times New Roman" w:hAnsi="Times New Roman" w:cs="Times New Roman" w:eastAsiaTheme="minorEastAsia"/>
                <w:sz w:val="24"/>
              </w:rPr>
              <w:t>分）</w:t>
            </w:r>
          </w:p>
        </w:tc>
        <w:tc>
          <w:tcPr>
            <w:tcW w:w="300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4"/>
              </w:rPr>
            </w:pPr>
            <w:r>
              <w:rPr>
                <w:rFonts w:hint="default" w:ascii="Times New Roman" w:hAnsi="Times New Roman" w:cs="Times New Roman" w:eastAsiaTheme="minorEastAsia"/>
                <w:sz w:val="24"/>
              </w:rPr>
              <w:t>1</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rPr>
              <w:t>具有承办政府专项资金项目评审服务经验。（</w:t>
            </w:r>
            <w:r>
              <w:rPr>
                <w:rFonts w:hint="default" w:ascii="Times New Roman" w:hAnsi="Times New Roman" w:cs="Times New Roman" w:eastAsiaTheme="minorEastAsia"/>
                <w:sz w:val="24"/>
                <w:lang w:val="en-US" w:eastAsia="zh-CN"/>
              </w:rPr>
              <w:t>10</w:t>
            </w:r>
            <w:r>
              <w:rPr>
                <w:rFonts w:hint="default" w:ascii="Times New Roman" w:hAnsi="Times New Roman" w:cs="Times New Roman" w:eastAsiaTheme="minorEastAsia"/>
                <w:sz w:val="24"/>
              </w:rPr>
              <w:t>分）</w:t>
            </w:r>
          </w:p>
        </w:tc>
        <w:tc>
          <w:tcPr>
            <w:tcW w:w="4387" w:type="dxa"/>
            <w:noWrap w:val="0"/>
            <w:vAlign w:val="center"/>
          </w:tcPr>
          <w:p>
            <w:pPr>
              <w:keepNext w:val="0"/>
              <w:keepLines w:val="0"/>
              <w:pageBreakBefore w:val="0"/>
              <w:widowControl w:val="0"/>
              <w:tabs>
                <w:tab w:val="left" w:pos="0"/>
                <w:tab w:val="left" w:pos="720"/>
                <w:tab w:val="left" w:pos="1080"/>
              </w:tabs>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sz w:val="24"/>
              </w:rPr>
            </w:pPr>
            <w:r>
              <w:rPr>
                <w:rFonts w:hint="default" w:ascii="Times New Roman" w:hAnsi="Times New Roman" w:cs="Times New Roman" w:eastAsiaTheme="minorEastAsia"/>
                <w:sz w:val="24"/>
                <w:lang w:eastAsia="zh-CN"/>
              </w:rPr>
              <w:t>具有承办政府专项资金项目评审服务经验</w:t>
            </w:r>
            <w:r>
              <w:rPr>
                <w:rFonts w:hint="default" w:ascii="Times New Roman" w:hAnsi="Times New Roman" w:cs="Times New Roman" w:eastAsiaTheme="minorEastAsia"/>
                <w:sz w:val="24"/>
              </w:rPr>
              <w:t>，每个得</w:t>
            </w:r>
            <w:r>
              <w:rPr>
                <w:rFonts w:hint="default" w:ascii="Times New Roman" w:hAnsi="Times New Roman" w:cs="Times New Roman" w:eastAsiaTheme="minorEastAsia"/>
                <w:sz w:val="24"/>
                <w:lang w:val="en-US" w:eastAsia="zh-CN"/>
              </w:rPr>
              <w:t>5</w:t>
            </w:r>
            <w:r>
              <w:rPr>
                <w:rFonts w:hint="default" w:ascii="Times New Roman" w:hAnsi="Times New Roman" w:cs="Times New Roman" w:eastAsiaTheme="minorEastAsia"/>
                <w:sz w:val="24"/>
              </w:rPr>
              <w:t>分，最高得</w:t>
            </w:r>
            <w:r>
              <w:rPr>
                <w:rFonts w:hint="default" w:ascii="Times New Roman" w:hAnsi="Times New Roman" w:cs="Times New Roman" w:eastAsiaTheme="minorEastAsia"/>
                <w:sz w:val="24"/>
                <w:lang w:val="en-US" w:eastAsia="zh-CN"/>
              </w:rPr>
              <w:t>10</w:t>
            </w:r>
            <w:r>
              <w:rPr>
                <w:rFonts w:hint="default" w:ascii="Times New Roman" w:hAnsi="Times New Roman" w:cs="Times New Roman" w:eastAsiaTheme="minorEastAsia"/>
                <w:sz w:val="24"/>
              </w:rPr>
              <w:t>分。（需要提供合同或相关证明资料）</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31" w:hRule="atLeast"/>
          <w:jc w:val="center"/>
        </w:trPr>
        <w:tc>
          <w:tcPr>
            <w:tcW w:w="11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4"/>
              </w:rPr>
            </w:pPr>
          </w:p>
        </w:tc>
        <w:tc>
          <w:tcPr>
            <w:tcW w:w="300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kern w:val="2"/>
                <w:sz w:val="24"/>
                <w:szCs w:val="21"/>
                <w:lang w:val="en-US" w:eastAsia="zh-CN" w:bidi="ar-SA"/>
              </w:rPr>
            </w:pPr>
            <w:r>
              <w:rPr>
                <w:rFonts w:hint="default" w:ascii="Times New Roman" w:hAnsi="Times New Roman" w:cs="Times New Roman" w:eastAsiaTheme="minorEastAsia"/>
                <w:sz w:val="24"/>
                <w:lang w:val="en-US" w:eastAsia="zh-CN"/>
              </w:rPr>
              <w:t>2.</w:t>
            </w:r>
            <w:r>
              <w:rPr>
                <w:rFonts w:hint="default" w:ascii="Times New Roman" w:hAnsi="Times New Roman" w:cs="Times New Roman" w:eastAsiaTheme="minorEastAsia"/>
                <w:sz w:val="24"/>
                <w:lang w:eastAsia="zh-CN"/>
              </w:rPr>
              <w:t>拥有符合省市有关专项资金项目评审服务要求的专家库或专家库使用权限（</w:t>
            </w:r>
            <w:r>
              <w:rPr>
                <w:rFonts w:hint="default" w:ascii="Times New Roman" w:hAnsi="Times New Roman" w:cs="Times New Roman" w:eastAsiaTheme="minorEastAsia"/>
                <w:sz w:val="24"/>
                <w:lang w:val="en-US" w:eastAsia="zh-CN"/>
              </w:rPr>
              <w:t>30</w:t>
            </w:r>
            <w:r>
              <w:rPr>
                <w:rFonts w:hint="default" w:ascii="Times New Roman" w:hAnsi="Times New Roman" w:cs="Times New Roman" w:eastAsiaTheme="minorEastAsia"/>
                <w:sz w:val="24"/>
                <w:lang w:eastAsia="zh-CN"/>
              </w:rPr>
              <w:t>分）</w:t>
            </w:r>
          </w:p>
        </w:tc>
        <w:tc>
          <w:tcPr>
            <w:tcW w:w="4387" w:type="dxa"/>
            <w:noWrap w:val="0"/>
            <w:vAlign w:val="center"/>
          </w:tcPr>
          <w:p>
            <w:pPr>
              <w:keepNext w:val="0"/>
              <w:keepLines w:val="0"/>
              <w:pageBreakBefore w:val="0"/>
              <w:widowControl w:val="0"/>
              <w:tabs>
                <w:tab w:val="left" w:pos="0"/>
                <w:tab w:val="left" w:pos="720"/>
                <w:tab w:val="left" w:pos="1080"/>
              </w:tabs>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2"/>
                <w:sz w:val="24"/>
                <w:szCs w:val="21"/>
                <w:lang w:val="en-US" w:eastAsia="zh-CN" w:bidi="ar-SA"/>
              </w:rPr>
            </w:pPr>
            <w:r>
              <w:rPr>
                <w:rFonts w:hint="default" w:ascii="Times New Roman" w:hAnsi="Times New Roman" w:cs="Times New Roman" w:eastAsiaTheme="minorEastAsia"/>
                <w:sz w:val="24"/>
                <w:szCs w:val="24"/>
              </w:rPr>
              <w:t>副高职称及以上专家库人数在</w:t>
            </w:r>
            <w:r>
              <w:rPr>
                <w:rFonts w:hint="default" w:ascii="Times New Roman" w:hAnsi="Times New Roman" w:cs="Times New Roman" w:eastAsiaTheme="minorEastAsia"/>
                <w:sz w:val="24"/>
                <w:szCs w:val="24"/>
                <w:lang w:val="en-US" w:eastAsia="zh-CN"/>
              </w:rPr>
              <w:t>8</w:t>
            </w:r>
            <w:r>
              <w:rPr>
                <w:rFonts w:hint="default" w:ascii="Times New Roman" w:hAnsi="Times New Roman" w:cs="Times New Roman" w:eastAsiaTheme="minorEastAsia"/>
                <w:sz w:val="24"/>
                <w:szCs w:val="24"/>
              </w:rPr>
              <w:t>0人以上</w:t>
            </w:r>
            <w:r>
              <w:rPr>
                <w:rFonts w:hint="default" w:ascii="Times New Roman" w:hAnsi="Times New Roman" w:cs="Times New Roman" w:eastAsiaTheme="minorEastAsia"/>
                <w:sz w:val="24"/>
                <w:lang w:val="en-US" w:eastAsia="zh-CN"/>
              </w:rPr>
              <w:t>得30分；</w:t>
            </w:r>
            <w:r>
              <w:rPr>
                <w:rFonts w:hint="default" w:ascii="Times New Roman" w:hAnsi="Times New Roman" w:cs="Times New Roman" w:eastAsiaTheme="minorEastAsia"/>
                <w:sz w:val="24"/>
                <w:szCs w:val="24"/>
              </w:rPr>
              <w:t>副高职称及以上专家库人数在</w:t>
            </w:r>
            <w:r>
              <w:rPr>
                <w:rFonts w:hint="default" w:ascii="Times New Roman" w:hAnsi="Times New Roman" w:cs="Times New Roman" w:eastAsiaTheme="minorEastAsia"/>
                <w:sz w:val="24"/>
                <w:szCs w:val="24"/>
                <w:lang w:val="en-US" w:eastAsia="zh-CN"/>
              </w:rPr>
              <w:t>4</w:t>
            </w:r>
            <w:r>
              <w:rPr>
                <w:rFonts w:hint="default" w:ascii="Times New Roman" w:hAnsi="Times New Roman" w:cs="Times New Roman" w:eastAsiaTheme="minorEastAsia"/>
                <w:sz w:val="24"/>
                <w:szCs w:val="24"/>
              </w:rPr>
              <w:t>0-</w:t>
            </w:r>
            <w:r>
              <w:rPr>
                <w:rFonts w:hint="default" w:ascii="Times New Roman" w:hAnsi="Times New Roman" w:cs="Times New Roman" w:eastAsiaTheme="minorEastAsia"/>
                <w:sz w:val="24"/>
                <w:szCs w:val="24"/>
                <w:lang w:val="en-US" w:eastAsia="zh-CN"/>
              </w:rPr>
              <w:t>79</w:t>
            </w:r>
            <w:r>
              <w:rPr>
                <w:rFonts w:hint="default" w:ascii="Times New Roman" w:hAnsi="Times New Roman" w:cs="Times New Roman" w:eastAsiaTheme="minorEastAsia"/>
                <w:sz w:val="24"/>
                <w:szCs w:val="24"/>
              </w:rPr>
              <w:t>人</w:t>
            </w:r>
            <w:r>
              <w:rPr>
                <w:rFonts w:hint="default" w:ascii="Times New Roman" w:hAnsi="Times New Roman" w:cs="Times New Roman" w:eastAsiaTheme="minorEastAsia"/>
                <w:sz w:val="24"/>
                <w:lang w:val="en-US" w:eastAsia="zh-CN"/>
              </w:rPr>
              <w:t>得20分；</w:t>
            </w:r>
            <w:r>
              <w:rPr>
                <w:rFonts w:hint="default" w:ascii="Times New Roman" w:hAnsi="Times New Roman" w:cs="Times New Roman" w:eastAsiaTheme="minorEastAsia"/>
                <w:sz w:val="24"/>
                <w:szCs w:val="24"/>
              </w:rPr>
              <w:t>副高职称及以上专家库人数在1-</w:t>
            </w:r>
            <w:r>
              <w:rPr>
                <w:rFonts w:hint="default" w:ascii="Times New Roman" w:hAnsi="Times New Roman" w:cs="Times New Roman" w:eastAsiaTheme="minorEastAsia"/>
                <w:sz w:val="24"/>
                <w:szCs w:val="24"/>
                <w:lang w:val="en-US" w:eastAsia="zh-CN"/>
              </w:rPr>
              <w:t>3</w:t>
            </w:r>
            <w:r>
              <w:rPr>
                <w:rFonts w:hint="default" w:ascii="Times New Roman" w:hAnsi="Times New Roman" w:cs="Times New Roman" w:eastAsiaTheme="minorEastAsia"/>
                <w:sz w:val="24"/>
                <w:szCs w:val="24"/>
              </w:rPr>
              <w:t>9人</w:t>
            </w:r>
            <w:r>
              <w:rPr>
                <w:rFonts w:hint="default" w:ascii="Times New Roman" w:hAnsi="Times New Roman" w:cs="Times New Roman" w:eastAsiaTheme="minorEastAsia"/>
                <w:sz w:val="24"/>
                <w:lang w:val="en-US" w:eastAsia="zh-CN"/>
              </w:rPr>
              <w:t>得10分；</w:t>
            </w:r>
            <w:r>
              <w:rPr>
                <w:rFonts w:hint="default" w:ascii="Times New Roman" w:hAnsi="Times New Roman" w:cs="Times New Roman" w:eastAsiaTheme="minorEastAsia"/>
                <w:color w:val="auto"/>
                <w:sz w:val="24"/>
                <w:szCs w:val="21"/>
                <w:lang w:val="en-US" w:eastAsia="zh-CN"/>
              </w:rPr>
              <w:t>无</w:t>
            </w:r>
            <w:r>
              <w:rPr>
                <w:rFonts w:hint="default" w:ascii="Times New Roman" w:hAnsi="Times New Roman" w:cs="Times New Roman" w:eastAsiaTheme="minorEastAsia"/>
                <w:sz w:val="24"/>
                <w:szCs w:val="24"/>
              </w:rPr>
              <w:t>副高职称及以上专家</w:t>
            </w:r>
            <w:r>
              <w:rPr>
                <w:rFonts w:hint="default" w:ascii="Times New Roman" w:hAnsi="Times New Roman" w:cs="Times New Roman" w:eastAsiaTheme="minorEastAsia"/>
                <w:color w:val="auto"/>
                <w:sz w:val="24"/>
                <w:szCs w:val="21"/>
                <w:lang w:val="en-US" w:eastAsia="zh-CN"/>
              </w:rPr>
              <w:t>，本项0分</w:t>
            </w:r>
            <w:r>
              <w:rPr>
                <w:rFonts w:hint="default" w:ascii="Times New Roman" w:hAnsi="Times New Roman" w:cs="Times New Roman" w:eastAsiaTheme="minorEastAsia"/>
                <w:sz w:val="24"/>
                <w:lang w:val="en-US" w:eastAsia="zh-CN"/>
              </w:rPr>
              <w:t>。（提供专家库名单、专家学历、专家职称等可以证明专家库建设情况的材料）</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1" w:hRule="atLeast"/>
          <w:jc w:val="center"/>
        </w:trPr>
        <w:tc>
          <w:tcPr>
            <w:tcW w:w="113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4"/>
              </w:rPr>
            </w:pPr>
            <w:r>
              <w:rPr>
                <w:rFonts w:hint="default" w:ascii="Times New Roman" w:hAnsi="Times New Roman" w:cs="Times New Roman" w:eastAsiaTheme="minorEastAsia"/>
                <w:sz w:val="24"/>
              </w:rPr>
              <w:t>（三）报价（30分）</w:t>
            </w:r>
          </w:p>
        </w:tc>
        <w:tc>
          <w:tcPr>
            <w:tcW w:w="3006"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cs="Times New Roman" w:eastAsiaTheme="minorEastAsia"/>
                <w:sz w:val="24"/>
              </w:rPr>
            </w:pPr>
            <w:r>
              <w:rPr>
                <w:rFonts w:hint="default" w:ascii="Times New Roman" w:hAnsi="Times New Roman" w:cs="Times New Roman" w:eastAsiaTheme="minorEastAsia"/>
                <w:sz w:val="24"/>
              </w:rPr>
              <w:t>各有效供应商报价中，取最低价为评标基准价，基准价评分为满分，则其他报价的得分＝总分值×（基准价/</w:t>
            </w:r>
            <w:r>
              <w:rPr>
                <w:rFonts w:hint="default" w:ascii="Times New Roman" w:hAnsi="Times New Roman" w:cs="Times New Roman"/>
                <w:kern w:val="0"/>
                <w:sz w:val="22"/>
              </w:rPr>
              <w:t>其他</w:t>
            </w:r>
            <w:r>
              <w:rPr>
                <w:rFonts w:hint="default" w:ascii="Times New Roman" w:hAnsi="Times New Roman" w:cs="Times New Roman" w:eastAsiaTheme="minorEastAsia"/>
                <w:sz w:val="24"/>
              </w:rPr>
              <w:t>报价）</w:t>
            </w:r>
          </w:p>
        </w:tc>
        <w:tc>
          <w:tcPr>
            <w:tcW w:w="438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4"/>
              </w:rPr>
            </w:pPr>
            <w:r>
              <w:rPr>
                <w:rFonts w:hint="default" w:ascii="Times New Roman" w:hAnsi="Times New Roman" w:cs="Times New Roman" w:eastAsiaTheme="minorEastAsia"/>
                <w:sz w:val="24"/>
              </w:rPr>
              <w:t xml:space="preserve">基准价：          报价：  </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82" w:hRule="atLeast"/>
          <w:jc w:val="center"/>
        </w:trPr>
        <w:tc>
          <w:tcPr>
            <w:tcW w:w="11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4"/>
              </w:rPr>
            </w:pPr>
          </w:p>
        </w:tc>
        <w:tc>
          <w:tcPr>
            <w:tcW w:w="300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4"/>
              </w:rPr>
            </w:pPr>
            <w:r>
              <w:rPr>
                <w:rFonts w:hint="default" w:ascii="Times New Roman" w:hAnsi="Times New Roman" w:cs="Times New Roman" w:eastAsiaTheme="minorEastAsia"/>
                <w:sz w:val="24"/>
                <w:szCs w:val="24"/>
              </w:rPr>
              <w:t>承诺按“就低不就高”原则结算</w:t>
            </w:r>
          </w:p>
        </w:tc>
        <w:tc>
          <w:tcPr>
            <w:tcW w:w="438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cs="Times New Roman" w:eastAsiaTheme="minorEastAsia"/>
                <w:sz w:val="24"/>
              </w:rPr>
            </w:pPr>
            <w:r>
              <w:rPr>
                <w:rFonts w:hint="default" w:ascii="Times New Roman" w:hAnsi="Times New Roman" w:cs="Times New Roman" w:eastAsiaTheme="minorEastAsia"/>
                <w:sz w:val="24"/>
                <w:szCs w:val="24"/>
              </w:rPr>
              <w:t>供应商须承诺按“就低不就高”原则结算，即如实际支出总费用（按供应商对评审服务各项支出费用明细报价及实际评审项目数量计算得出）低于供应商报价的则以实际支出总费用结算，如实际支出总费用高于供应商报价的则按供应商报价结算。（没有做出上述承诺的则总分为0）</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852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b/>
                <w:sz w:val="24"/>
              </w:rPr>
            </w:pPr>
            <w:r>
              <w:rPr>
                <w:rFonts w:hint="default" w:ascii="Times New Roman" w:hAnsi="Times New Roman" w:cs="Times New Roman" w:eastAsiaTheme="minorEastAsia"/>
                <w:b/>
                <w:sz w:val="24"/>
              </w:rPr>
              <w:t>合计得分</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4"/>
              </w:rPr>
            </w:pPr>
          </w:p>
        </w:tc>
      </w:tr>
    </w:tbl>
    <w:p>
      <w:pPr>
        <w:adjustRightInd/>
        <w:snapToGrid/>
        <w:spacing w:line="400" w:lineRule="exact"/>
        <w:jc w:val="left"/>
        <w:rPr>
          <w:rFonts w:hint="default" w:ascii="Times New Roman" w:hAnsi="Times New Roman" w:cs="Times New Roman"/>
          <w:bCs/>
          <w:color w:val="auto"/>
          <w:sz w:val="24"/>
          <w:szCs w:val="24"/>
        </w:rPr>
      </w:pPr>
      <w:r>
        <w:rPr>
          <w:rFonts w:hint="default" w:ascii="Times New Roman" w:hAnsi="Times New Roman" w:cs="Times New Roman" w:eastAsiaTheme="minorEastAsia"/>
          <w:bCs w:val="0"/>
          <w:color w:val="auto"/>
          <w:sz w:val="24"/>
          <w:szCs w:val="21"/>
        </w:rPr>
        <w:t>注：评</w:t>
      </w:r>
      <w:r>
        <w:rPr>
          <w:rFonts w:hint="default" w:ascii="Times New Roman" w:hAnsi="Times New Roman" w:cs="Times New Roman" w:eastAsiaTheme="minorEastAsia"/>
          <w:bCs w:val="0"/>
          <w:color w:val="auto"/>
          <w:sz w:val="24"/>
          <w:szCs w:val="21"/>
          <w:lang w:eastAsia="zh-CN"/>
        </w:rPr>
        <w:t>审</w:t>
      </w:r>
      <w:r>
        <w:rPr>
          <w:rFonts w:hint="default" w:ascii="Times New Roman" w:hAnsi="Times New Roman" w:cs="Times New Roman" w:eastAsiaTheme="minorEastAsia"/>
          <w:bCs w:val="0"/>
          <w:color w:val="auto"/>
          <w:sz w:val="24"/>
          <w:szCs w:val="21"/>
        </w:rPr>
        <w:t>依据为</w:t>
      </w:r>
      <w:r>
        <w:rPr>
          <w:rFonts w:hint="default" w:ascii="Times New Roman" w:hAnsi="Times New Roman" w:cs="Times New Roman" w:eastAsiaTheme="minorEastAsia"/>
          <w:bCs w:val="0"/>
          <w:color w:val="auto"/>
          <w:sz w:val="24"/>
          <w:szCs w:val="21"/>
          <w:lang w:eastAsia="zh-CN"/>
        </w:rPr>
        <w:t>申请</w:t>
      </w:r>
      <w:r>
        <w:rPr>
          <w:rFonts w:hint="default" w:ascii="Times New Roman" w:hAnsi="Times New Roman" w:cs="Times New Roman" w:eastAsiaTheme="minorEastAsia"/>
          <w:bCs w:val="0"/>
          <w:color w:val="auto"/>
          <w:sz w:val="24"/>
          <w:szCs w:val="21"/>
        </w:rPr>
        <w:t>机构提供的文件。</w:t>
      </w:r>
    </w:p>
    <w:p>
      <w:pPr>
        <w:wordWrap w:val="0"/>
        <w:spacing w:line="360" w:lineRule="auto"/>
        <w:rPr>
          <w:rFonts w:hint="default" w:ascii="Times New Roman" w:hAnsi="Times New Roman" w:cs="Times New Roman"/>
          <w:b/>
          <w:sz w:val="24"/>
        </w:rPr>
      </w:pPr>
    </w:p>
    <w:p>
      <w:pPr>
        <w:wordWrap w:val="0"/>
        <w:spacing w:line="360" w:lineRule="auto"/>
        <w:rPr>
          <w:rFonts w:hint="default" w:ascii="Times New Roman" w:hAnsi="Times New Roman" w:cs="Times New Roman"/>
        </w:rPr>
      </w:pPr>
      <w:r>
        <w:rPr>
          <w:rFonts w:hint="default" w:ascii="Times New Roman" w:hAnsi="Times New Roman" w:cs="Times New Roman"/>
          <w:b/>
          <w:sz w:val="24"/>
        </w:rPr>
        <w:t>评分人：                                        日  期</w:t>
      </w:r>
      <w:r>
        <w:rPr>
          <w:rFonts w:hint="default" w:ascii="Times New Roman" w:hAnsi="Times New Roman" w:cs="Times New Roman"/>
          <w:sz w:val="24"/>
        </w:rPr>
        <w:t xml:space="preserve">：   </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SI黑体-GB2312">
    <w:altName w:val="黑体"/>
    <w:panose1 w:val="02000500000000000000"/>
    <w:charset w:val="86"/>
    <w:family w:val="auto"/>
    <w:pitch w:val="default"/>
    <w:sig w:usb0="00000000" w:usb1="00000000" w:usb2="00000012" w:usb3="00000000" w:csb0="0004000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pict>
        <v:shape id="_x0000_s3073" o:spid="_x0000_s3073"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path/>
          <v:fill on="f" focussize="0,0"/>
          <v:stroke on="f" weight="0.5pt" joinstyle="miter"/>
          <v:imagedata o:title=""/>
          <o:lock v:ext="edit"/>
          <v:textbox inset="0mm,0mm,0mm,0mm" style="mso-fit-shape-to-text:t;">
            <w:txbxContent>
              <w:p>
                <w:pPr>
                  <w:pStyle w:val="4"/>
                  <w:jc w:val="center"/>
                </w:pPr>
                <w:r>
                  <w:fldChar w:fldCharType="begin"/>
                </w:r>
                <w:r>
                  <w:instrText xml:space="preserve"> PAGE   \* MERGEFORMAT </w:instrText>
                </w:r>
                <w:r>
                  <w:fldChar w:fldCharType="separate"/>
                </w:r>
                <w:r>
                  <w:rPr>
                    <w:lang w:val="zh-CN"/>
                  </w:rPr>
                  <w:t>2</w:t>
                </w:r>
                <w:r>
                  <w:fldChar w:fldCharType="end"/>
                </w:r>
              </w:p>
            </w:txbxContent>
          </v:textbox>
        </v:shape>
      </w:pic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DE643B"/>
    <w:multiLevelType w:val="singleLevel"/>
    <w:tmpl w:val="FEDE643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NotTrackMoves/>
  <w:revisionView w:markup="0"/>
  <w:trackRevisions w:val="1"/>
  <w:documentProtection w:edit="readOnly"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KGWebUrl" w:val="http://19.121.241.45:80/seeyon/officeservlet"/>
  </w:docVars>
  <w:rsids>
    <w:rsidRoot w:val="19DE306E"/>
    <w:rsid w:val="001479CE"/>
    <w:rsid w:val="001844F5"/>
    <w:rsid w:val="001B5699"/>
    <w:rsid w:val="001E5B2F"/>
    <w:rsid w:val="00245D2E"/>
    <w:rsid w:val="00285D43"/>
    <w:rsid w:val="00286544"/>
    <w:rsid w:val="00357D7E"/>
    <w:rsid w:val="003E3561"/>
    <w:rsid w:val="004040D3"/>
    <w:rsid w:val="004B40D0"/>
    <w:rsid w:val="004B679A"/>
    <w:rsid w:val="00573D63"/>
    <w:rsid w:val="005C0BDE"/>
    <w:rsid w:val="00617BA1"/>
    <w:rsid w:val="0068028F"/>
    <w:rsid w:val="006B62F4"/>
    <w:rsid w:val="0076292C"/>
    <w:rsid w:val="00776128"/>
    <w:rsid w:val="00786298"/>
    <w:rsid w:val="007D4D5E"/>
    <w:rsid w:val="00821441"/>
    <w:rsid w:val="008501C4"/>
    <w:rsid w:val="00877FFB"/>
    <w:rsid w:val="008A4338"/>
    <w:rsid w:val="008F28B5"/>
    <w:rsid w:val="00901814"/>
    <w:rsid w:val="00914CD6"/>
    <w:rsid w:val="00986882"/>
    <w:rsid w:val="00996328"/>
    <w:rsid w:val="009E561E"/>
    <w:rsid w:val="00A1615D"/>
    <w:rsid w:val="00A44FEE"/>
    <w:rsid w:val="00A47659"/>
    <w:rsid w:val="00AE246F"/>
    <w:rsid w:val="00B32F3D"/>
    <w:rsid w:val="00B345E6"/>
    <w:rsid w:val="00BA711E"/>
    <w:rsid w:val="00C85103"/>
    <w:rsid w:val="00DB48BD"/>
    <w:rsid w:val="00DD6EF0"/>
    <w:rsid w:val="00DF55C6"/>
    <w:rsid w:val="00EF30E2"/>
    <w:rsid w:val="00F17D58"/>
    <w:rsid w:val="00F40D3A"/>
    <w:rsid w:val="00F44168"/>
    <w:rsid w:val="00F565F0"/>
    <w:rsid w:val="00F62643"/>
    <w:rsid w:val="11758662"/>
    <w:rsid w:val="11FF236D"/>
    <w:rsid w:val="14D257D7"/>
    <w:rsid w:val="177648C9"/>
    <w:rsid w:val="17FF271D"/>
    <w:rsid w:val="19DE306E"/>
    <w:rsid w:val="1B723B6E"/>
    <w:rsid w:val="2BEFD187"/>
    <w:rsid w:val="2FBE7A4F"/>
    <w:rsid w:val="2FDF5CC9"/>
    <w:rsid w:val="37634C8B"/>
    <w:rsid w:val="37985357"/>
    <w:rsid w:val="38F45B51"/>
    <w:rsid w:val="3DD5C064"/>
    <w:rsid w:val="3E8F82D5"/>
    <w:rsid w:val="3F2F188A"/>
    <w:rsid w:val="42913165"/>
    <w:rsid w:val="43C24EA7"/>
    <w:rsid w:val="4E5DB4FE"/>
    <w:rsid w:val="507F3A61"/>
    <w:rsid w:val="547824F2"/>
    <w:rsid w:val="57C54D3D"/>
    <w:rsid w:val="5BA2D15B"/>
    <w:rsid w:val="5FFFFDC2"/>
    <w:rsid w:val="64BD5BAE"/>
    <w:rsid w:val="697F4F4D"/>
    <w:rsid w:val="6AA442B5"/>
    <w:rsid w:val="6EFFFDA8"/>
    <w:rsid w:val="6F364A39"/>
    <w:rsid w:val="6FED9FB4"/>
    <w:rsid w:val="74EF1B21"/>
    <w:rsid w:val="77C63402"/>
    <w:rsid w:val="78332547"/>
    <w:rsid w:val="791314E0"/>
    <w:rsid w:val="7A7F59DD"/>
    <w:rsid w:val="7B974D51"/>
    <w:rsid w:val="7BEE146F"/>
    <w:rsid w:val="7DD7F480"/>
    <w:rsid w:val="7EF41059"/>
    <w:rsid w:val="7F635483"/>
    <w:rsid w:val="7FFCF0BD"/>
    <w:rsid w:val="ADBFBDE0"/>
    <w:rsid w:val="AF73021E"/>
    <w:rsid w:val="BFBC3EEB"/>
    <w:rsid w:val="CDFB89D3"/>
    <w:rsid w:val="CFF5AB83"/>
    <w:rsid w:val="DBBFBCB8"/>
    <w:rsid w:val="DEAEE54E"/>
    <w:rsid w:val="DFC5F6DD"/>
    <w:rsid w:val="DFFFE643"/>
    <w:rsid w:val="E6AB6CE7"/>
    <w:rsid w:val="EB3F1A4F"/>
    <w:rsid w:val="EF2DA1E9"/>
    <w:rsid w:val="EFFE6368"/>
    <w:rsid w:val="F3DE884C"/>
    <w:rsid w:val="F3FC6193"/>
    <w:rsid w:val="F75F3D47"/>
    <w:rsid w:val="F7FDDA39"/>
    <w:rsid w:val="F959FF20"/>
    <w:rsid w:val="F9F91A67"/>
    <w:rsid w:val="FD6A249F"/>
    <w:rsid w:val="FDFE97D3"/>
    <w:rsid w:val="FEEDBDD5"/>
    <w:rsid w:val="FEF645AC"/>
    <w:rsid w:val="FEFEC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after="120"/>
    </w:pPr>
    <w:rPr>
      <w:rFonts w:cs="宋体"/>
    </w:rPr>
  </w:style>
  <w:style w:type="paragraph" w:styleId="3">
    <w:name w:val="Balloon Text"/>
    <w:basedOn w:val="1"/>
    <w:link w:val="9"/>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character" w:customStyle="1" w:styleId="9">
    <w:name w:val="批注框文本 Char"/>
    <w:link w:val="3"/>
    <w:qFormat/>
    <w:uiPriority w:val="0"/>
    <w:rPr>
      <w:rFonts w:ascii="Calibri" w:hAnsi="Calibri"/>
      <w:kern w:val="2"/>
      <w:sz w:val="18"/>
      <w:szCs w:val="18"/>
    </w:rPr>
  </w:style>
  <w:style w:type="character" w:customStyle="1" w:styleId="10">
    <w:name w:val="页眉 Char"/>
    <w:link w:val="5"/>
    <w:qFormat/>
    <w:uiPriority w:val="0"/>
    <w:rPr>
      <w:rFonts w:ascii="Calibri" w:hAnsi="Calibri"/>
      <w:kern w:val="2"/>
      <w:sz w:val="18"/>
      <w:szCs w:val="18"/>
    </w:rPr>
  </w:style>
  <w:style w:type="paragraph" w:customStyle="1" w:styleId="11">
    <w:name w:val="Revision"/>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江门市市工业和信息化局</Company>
  <Pages>3</Pages>
  <Words>180</Words>
  <Characters>1027</Characters>
  <Lines>8</Lines>
  <Paragraphs>2</Paragraphs>
  <TotalTime>6</TotalTime>
  <ScaleCrop>false</ScaleCrop>
  <LinksUpToDate>false</LinksUpToDate>
  <CharactersWithSpaces>1205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2022-10-27T02:39:00Z</dcterms:created>
  <dc:creator>HuaHua</dc:creator>
  <cp:lastModifiedBy>Acer</cp:lastModifiedBy>
  <cp:lastPrinted>2023-02-04T09:08:00Z</cp:lastPrinted>
  <dcterms:modified xsi:type="dcterms:W3CDTF">2026-07-22T09:02:32Z</dcterms:modified>
  <dc:title>江门市工业和信息化局关于江门市工业领域碳达峰实施方案编制服务项目的采购公告</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7DBFDE842D733E15DE44606A3CDAE347</vt:lpwstr>
  </property>
</Properties>
</file>