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ascii="Times New Roman" w:hAnsi="Times New Roman" w:eastAsia="黑体" w:cs="Times New Roman"/>
          <w:bCs/>
          <w:kern w:val="0"/>
          <w:sz w:val="32"/>
          <w:szCs w:val="32"/>
          <w:lang w:val="en-US" w:eastAsia="zh-CN"/>
        </w:rPr>
      </w:pPr>
      <w:bookmarkStart w:id="0" w:name="_GoBack"/>
      <w:bookmarkEnd w:id="0"/>
      <w:r>
        <w:rPr>
          <w:rFonts w:hint="default" w:ascii="Times New Roman" w:hAnsi="Times New Roman" w:eastAsia="黑体" w:cs="Times New Roman"/>
          <w:bCs/>
          <w:kern w:val="0"/>
          <w:sz w:val="32"/>
          <w:szCs w:val="32"/>
        </w:rPr>
        <w:t>附件</w:t>
      </w:r>
      <w:r>
        <w:rPr>
          <w:rFonts w:hint="default" w:ascii="Times New Roman" w:hAnsi="Times New Roman" w:eastAsia="黑体" w:cs="Times New Roman"/>
          <w:bCs/>
          <w:kern w:val="0"/>
          <w:sz w:val="32"/>
          <w:szCs w:val="32"/>
          <w:lang w:val="en-US" w:eastAsia="zh-CN"/>
        </w:rPr>
        <w:t>1</w:t>
      </w:r>
    </w:p>
    <w:p>
      <w:pPr>
        <w:jc w:val="center"/>
        <w:rPr>
          <w:rFonts w:hint="default" w:ascii="Times New Roman" w:hAnsi="Times New Roman" w:eastAsia="方正小标宋简体" w:cs="Times New Roman"/>
          <w:bCs/>
          <w:kern w:val="0"/>
          <w:sz w:val="36"/>
          <w:szCs w:val="36"/>
        </w:rPr>
      </w:pPr>
      <w:r>
        <w:rPr>
          <w:rFonts w:hint="default" w:ascii="Times New Roman" w:hAnsi="Times New Roman" w:eastAsia="方正小标宋简体" w:cs="Times New Roman"/>
          <w:bCs/>
          <w:kern w:val="0"/>
          <w:sz w:val="36"/>
          <w:szCs w:val="36"/>
        </w:rPr>
        <w:t>项目评审费用参考标准表</w:t>
      </w:r>
    </w:p>
    <w:tbl>
      <w:tblPr>
        <w:tblStyle w:val="5"/>
        <w:tblW w:w="5228" w:type="pct"/>
        <w:tblInd w:w="0" w:type="dxa"/>
        <w:tblLayout w:type="fixed"/>
        <w:tblCellMar>
          <w:top w:w="0" w:type="dxa"/>
          <w:left w:w="108" w:type="dxa"/>
          <w:bottom w:w="0" w:type="dxa"/>
          <w:right w:w="108" w:type="dxa"/>
        </w:tblCellMar>
      </w:tblPr>
      <w:tblGrid>
        <w:gridCol w:w="486"/>
        <w:gridCol w:w="543"/>
        <w:gridCol w:w="1441"/>
        <w:gridCol w:w="2728"/>
        <w:gridCol w:w="3713"/>
      </w:tblGrid>
      <w:tr>
        <w:tblPrEx>
          <w:tblCellMar>
            <w:top w:w="0" w:type="dxa"/>
            <w:left w:w="108" w:type="dxa"/>
            <w:bottom w:w="0" w:type="dxa"/>
            <w:right w:w="108" w:type="dxa"/>
          </w:tblCellMar>
        </w:tblPrEx>
        <w:trPr>
          <w:trHeight w:val="495" w:hRule="atLeast"/>
          <w:tblHeader/>
        </w:trPr>
        <w:tc>
          <w:tcPr>
            <w:tcW w:w="272"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b/>
                <w:bCs/>
                <w:color w:val="000000"/>
                <w:kern w:val="0"/>
                <w:sz w:val="24"/>
                <w:szCs w:val="24"/>
              </w:rPr>
            </w:pPr>
            <w:r>
              <w:rPr>
                <w:rFonts w:hint="default" w:ascii="Times New Roman" w:hAnsi="Times New Roman" w:eastAsia="仿宋_GB2312" w:cs="Times New Roman"/>
                <w:b/>
                <w:bCs/>
                <w:color w:val="000000"/>
                <w:kern w:val="0"/>
                <w:sz w:val="24"/>
                <w:szCs w:val="24"/>
              </w:rPr>
              <w:t>序号</w:t>
            </w:r>
          </w:p>
        </w:tc>
        <w:tc>
          <w:tcPr>
            <w:tcW w:w="1113" w:type="pct"/>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_GB2312" w:cs="Times New Roman"/>
                <w:b/>
                <w:bCs/>
                <w:color w:val="000000"/>
                <w:kern w:val="0"/>
                <w:sz w:val="24"/>
                <w:szCs w:val="24"/>
              </w:rPr>
            </w:pPr>
            <w:r>
              <w:rPr>
                <w:rFonts w:hint="default" w:ascii="Times New Roman" w:hAnsi="Times New Roman" w:eastAsia="仿宋_GB2312" w:cs="Times New Roman"/>
                <w:b/>
                <w:bCs/>
                <w:color w:val="000000"/>
                <w:kern w:val="0"/>
                <w:sz w:val="24"/>
                <w:szCs w:val="24"/>
              </w:rPr>
              <w:t>费用类别</w:t>
            </w:r>
          </w:p>
        </w:tc>
        <w:tc>
          <w:tcPr>
            <w:tcW w:w="1530" w:type="pct"/>
            <w:tcBorders>
              <w:top w:val="single" w:color="auto" w:sz="4" w:space="0"/>
              <w:left w:val="nil"/>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b/>
                <w:bCs/>
                <w:color w:val="000000"/>
                <w:kern w:val="0"/>
                <w:sz w:val="24"/>
                <w:szCs w:val="24"/>
              </w:rPr>
            </w:pPr>
            <w:r>
              <w:rPr>
                <w:rFonts w:hint="default" w:ascii="Times New Roman" w:hAnsi="Times New Roman" w:eastAsia="仿宋_GB2312" w:cs="Times New Roman"/>
                <w:b/>
                <w:bCs/>
                <w:color w:val="000000"/>
                <w:kern w:val="0"/>
                <w:sz w:val="24"/>
                <w:szCs w:val="24"/>
              </w:rPr>
              <w:t>费用标准</w:t>
            </w:r>
          </w:p>
        </w:tc>
        <w:tc>
          <w:tcPr>
            <w:tcW w:w="2083" w:type="pct"/>
            <w:tcBorders>
              <w:top w:val="single" w:color="auto" w:sz="4" w:space="0"/>
              <w:left w:val="nil"/>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b/>
                <w:bCs/>
                <w:color w:val="000000"/>
                <w:kern w:val="0"/>
                <w:sz w:val="24"/>
                <w:szCs w:val="24"/>
              </w:rPr>
            </w:pPr>
            <w:r>
              <w:rPr>
                <w:rFonts w:hint="default" w:ascii="Times New Roman" w:hAnsi="Times New Roman" w:eastAsia="仿宋_GB2312" w:cs="Times New Roman"/>
                <w:b/>
                <w:bCs/>
                <w:color w:val="000000"/>
                <w:kern w:val="0"/>
                <w:sz w:val="24"/>
                <w:szCs w:val="24"/>
              </w:rPr>
              <w:t>备注</w:t>
            </w:r>
          </w:p>
        </w:tc>
      </w:tr>
      <w:tr>
        <w:tblPrEx>
          <w:tblCellMar>
            <w:top w:w="0" w:type="dxa"/>
            <w:left w:w="108" w:type="dxa"/>
            <w:bottom w:w="0" w:type="dxa"/>
            <w:right w:w="108" w:type="dxa"/>
          </w:tblCellMar>
        </w:tblPrEx>
        <w:trPr>
          <w:trHeight w:val="747" w:hRule="atLeast"/>
        </w:trPr>
        <w:tc>
          <w:tcPr>
            <w:tcW w:w="272" w:type="pct"/>
            <w:vMerge w:val="restart"/>
            <w:tcBorders>
              <w:top w:val="nil"/>
              <w:left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1</w:t>
            </w:r>
          </w:p>
        </w:tc>
        <w:tc>
          <w:tcPr>
            <w:tcW w:w="304" w:type="pct"/>
            <w:vMerge w:val="restart"/>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直接成本</w:t>
            </w:r>
          </w:p>
        </w:tc>
        <w:tc>
          <w:tcPr>
            <w:tcW w:w="808" w:type="pct"/>
            <w:vMerge w:val="restart"/>
            <w:tcBorders>
              <w:top w:val="single" w:color="auto" w:sz="4" w:space="0"/>
              <w:left w:val="nil"/>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第三方机构审核费用（专家评审前，第三方机构对申报材料进行完整性和真实性审查、项目查重等）</w:t>
            </w: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单个项目要件材料在10份以内的，100元/个。</w:t>
            </w:r>
          </w:p>
        </w:tc>
        <w:tc>
          <w:tcPr>
            <w:tcW w:w="2083" w:type="pct"/>
            <w:vMerge w:val="restart"/>
            <w:tcBorders>
              <w:top w:val="nil"/>
              <w:left w:val="nil"/>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以1个项目材料作为计价单位。单个审计报告、财务报告、国土证等或单张发票，计1份要件材料。</w:t>
            </w:r>
          </w:p>
        </w:tc>
      </w:tr>
      <w:tr>
        <w:tblPrEx>
          <w:tblCellMar>
            <w:top w:w="0" w:type="dxa"/>
            <w:left w:w="108" w:type="dxa"/>
            <w:bottom w:w="0" w:type="dxa"/>
            <w:right w:w="108" w:type="dxa"/>
          </w:tblCellMar>
        </w:tblPrEx>
        <w:trPr>
          <w:trHeight w:val="560" w:hRule="atLeast"/>
        </w:trPr>
        <w:tc>
          <w:tcPr>
            <w:tcW w:w="272" w:type="pct"/>
            <w:vMerge w:val="continue"/>
            <w:tcBorders>
              <w:left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304" w:type="pct"/>
            <w:vMerge w:val="continue"/>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808" w:type="pct"/>
            <w:vMerge w:val="continue"/>
            <w:tcBorders>
              <w:left w:val="nil"/>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单个项目要件材料在11-30份的，300元/个。</w:t>
            </w:r>
          </w:p>
        </w:tc>
        <w:tc>
          <w:tcPr>
            <w:tcW w:w="2083" w:type="pct"/>
            <w:vMerge w:val="continue"/>
            <w:tcBorders>
              <w:left w:val="nil"/>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p>
        </w:tc>
      </w:tr>
      <w:tr>
        <w:tblPrEx>
          <w:tblCellMar>
            <w:top w:w="0" w:type="dxa"/>
            <w:left w:w="108" w:type="dxa"/>
            <w:bottom w:w="0" w:type="dxa"/>
            <w:right w:w="108" w:type="dxa"/>
          </w:tblCellMar>
        </w:tblPrEx>
        <w:trPr>
          <w:trHeight w:val="416" w:hRule="atLeast"/>
        </w:trPr>
        <w:tc>
          <w:tcPr>
            <w:tcW w:w="272" w:type="pct"/>
            <w:vMerge w:val="continue"/>
            <w:tcBorders>
              <w:left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304" w:type="pct"/>
            <w:vMerge w:val="continue"/>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808" w:type="pct"/>
            <w:vMerge w:val="continue"/>
            <w:tcBorders>
              <w:left w:val="nil"/>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单个项目要件材料在31-50份的，500元/个。</w:t>
            </w:r>
          </w:p>
        </w:tc>
        <w:tc>
          <w:tcPr>
            <w:tcW w:w="2083" w:type="pct"/>
            <w:vMerge w:val="continue"/>
            <w:tcBorders>
              <w:left w:val="nil"/>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p>
        </w:tc>
      </w:tr>
      <w:tr>
        <w:tblPrEx>
          <w:tblCellMar>
            <w:top w:w="0" w:type="dxa"/>
            <w:left w:w="108" w:type="dxa"/>
            <w:bottom w:w="0" w:type="dxa"/>
            <w:right w:w="108" w:type="dxa"/>
          </w:tblCellMar>
        </w:tblPrEx>
        <w:trPr>
          <w:trHeight w:val="575" w:hRule="atLeast"/>
        </w:trPr>
        <w:tc>
          <w:tcPr>
            <w:tcW w:w="272" w:type="pct"/>
            <w:vMerge w:val="continue"/>
            <w:tcBorders>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304" w:type="pct"/>
            <w:vMerge w:val="continue"/>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808" w:type="pct"/>
            <w:vMerge w:val="continue"/>
            <w:tcBorders>
              <w:left w:val="nil"/>
              <w:bottom w:val="single" w:color="auto" w:sz="4" w:space="0"/>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单个项目要件材料在51份以上，800元/个。</w:t>
            </w:r>
          </w:p>
        </w:tc>
        <w:tc>
          <w:tcPr>
            <w:tcW w:w="2083" w:type="pct"/>
            <w:vMerge w:val="continue"/>
            <w:tcBorders>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p>
        </w:tc>
      </w:tr>
      <w:tr>
        <w:tblPrEx>
          <w:tblCellMar>
            <w:top w:w="0" w:type="dxa"/>
            <w:left w:w="108" w:type="dxa"/>
            <w:bottom w:w="0" w:type="dxa"/>
            <w:right w:w="108" w:type="dxa"/>
          </w:tblCellMar>
        </w:tblPrEx>
        <w:trPr>
          <w:trHeight w:val="772" w:hRule="atLeast"/>
        </w:trPr>
        <w:tc>
          <w:tcPr>
            <w:tcW w:w="272" w:type="pct"/>
            <w:vMerge w:val="restart"/>
            <w:tcBorders>
              <w:top w:val="nil"/>
              <w:left w:val="single" w:color="auto" w:sz="4" w:space="0"/>
              <w:right w:val="single" w:color="auto" w:sz="4" w:space="0"/>
            </w:tcBorders>
            <w:noWrap w:val="0"/>
            <w:vAlign w:val="center"/>
          </w:tcPr>
          <w:p>
            <w:pPr>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2</w:t>
            </w:r>
          </w:p>
        </w:tc>
        <w:tc>
          <w:tcPr>
            <w:tcW w:w="304" w:type="pct"/>
            <w:vMerge w:val="continue"/>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808" w:type="pct"/>
            <w:vMerge w:val="restart"/>
            <w:tcBorders>
              <w:top w:val="single" w:color="auto" w:sz="4" w:space="0"/>
              <w:left w:val="nil"/>
              <w:right w:val="single" w:color="000000" w:sz="4" w:space="0"/>
            </w:tcBorders>
            <w:noWrap w:val="0"/>
            <w:vAlign w:val="center"/>
          </w:tcPr>
          <w:p>
            <w:pPr>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评审手册及评审指标体系设计费用</w:t>
            </w: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1000元/专题</w:t>
            </w:r>
          </w:p>
        </w:tc>
        <w:tc>
          <w:tcPr>
            <w:tcW w:w="2083"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仅制定评审手册，不设计对经济及技术指标打分的评审指标体系（服务期内相同专题不计算费用）。</w:t>
            </w:r>
          </w:p>
        </w:tc>
      </w:tr>
      <w:tr>
        <w:tblPrEx>
          <w:tblCellMar>
            <w:top w:w="0" w:type="dxa"/>
            <w:left w:w="108" w:type="dxa"/>
            <w:bottom w:w="0" w:type="dxa"/>
            <w:right w:w="108" w:type="dxa"/>
          </w:tblCellMar>
        </w:tblPrEx>
        <w:trPr>
          <w:trHeight w:val="686" w:hRule="atLeast"/>
        </w:trPr>
        <w:tc>
          <w:tcPr>
            <w:tcW w:w="272" w:type="pct"/>
            <w:vMerge w:val="continue"/>
            <w:tcBorders>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304" w:type="pct"/>
            <w:vMerge w:val="continue"/>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808" w:type="pct"/>
            <w:vMerge w:val="continue"/>
            <w:tcBorders>
              <w:left w:val="nil"/>
              <w:bottom w:val="single" w:color="auto" w:sz="4" w:space="0"/>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5000元/专题</w:t>
            </w:r>
          </w:p>
        </w:tc>
        <w:tc>
          <w:tcPr>
            <w:tcW w:w="2083"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既制定评审手册，并设计评审指标体系（服务期内相同专题不计算费用）。</w:t>
            </w:r>
          </w:p>
        </w:tc>
      </w:tr>
      <w:tr>
        <w:tblPrEx>
          <w:tblCellMar>
            <w:top w:w="0" w:type="dxa"/>
            <w:left w:w="108" w:type="dxa"/>
            <w:bottom w:w="0" w:type="dxa"/>
            <w:right w:w="108" w:type="dxa"/>
          </w:tblCellMar>
        </w:tblPrEx>
        <w:trPr>
          <w:trHeight w:val="1439" w:hRule="atLeast"/>
        </w:trPr>
        <w:tc>
          <w:tcPr>
            <w:tcW w:w="272" w:type="pct"/>
            <w:tcBorders>
              <w:top w:val="nil"/>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3</w:t>
            </w:r>
          </w:p>
        </w:tc>
        <w:tc>
          <w:tcPr>
            <w:tcW w:w="304" w:type="pct"/>
            <w:vMerge w:val="continue"/>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808" w:type="pct"/>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专家评审费</w:t>
            </w: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1500元/人/天，800元/人/半天</w:t>
            </w:r>
          </w:p>
        </w:tc>
        <w:tc>
          <w:tcPr>
            <w:tcW w:w="2083"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参考《广东省发展改革委关于印发&lt;广东省发展改革委关于广东省综合评标评审专家库专家薪劳的管理办法&gt;的通知》（粤发改规〔2020〕1号）（注：专家的交通出行由机构协助解决）</w:t>
            </w:r>
          </w:p>
        </w:tc>
      </w:tr>
      <w:tr>
        <w:tblPrEx>
          <w:tblCellMar>
            <w:top w:w="0" w:type="dxa"/>
            <w:left w:w="108" w:type="dxa"/>
            <w:bottom w:w="0" w:type="dxa"/>
            <w:right w:w="108" w:type="dxa"/>
          </w:tblCellMar>
        </w:tblPrEx>
        <w:trPr>
          <w:trHeight w:val="357" w:hRule="atLeast"/>
        </w:trPr>
        <w:tc>
          <w:tcPr>
            <w:tcW w:w="272" w:type="pct"/>
            <w:tcBorders>
              <w:top w:val="nil"/>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4</w:t>
            </w:r>
          </w:p>
        </w:tc>
        <w:tc>
          <w:tcPr>
            <w:tcW w:w="304" w:type="pct"/>
            <w:vMerge w:val="continue"/>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808" w:type="pct"/>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专家住宿费</w:t>
            </w: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450元/人/天</w:t>
            </w:r>
          </w:p>
        </w:tc>
        <w:tc>
          <w:tcPr>
            <w:tcW w:w="2083"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参照《关于调整省直党政机关和事业单位差旅住宿费标准有关问题的通知》（粤财行〔2016〕54号），其他人员标准为：450元/人/天。</w:t>
            </w:r>
          </w:p>
        </w:tc>
      </w:tr>
      <w:tr>
        <w:tblPrEx>
          <w:tblCellMar>
            <w:top w:w="0" w:type="dxa"/>
            <w:left w:w="108" w:type="dxa"/>
            <w:bottom w:w="0" w:type="dxa"/>
            <w:right w:w="108" w:type="dxa"/>
          </w:tblCellMar>
        </w:tblPrEx>
        <w:trPr>
          <w:trHeight w:val="966" w:hRule="atLeast"/>
        </w:trPr>
        <w:tc>
          <w:tcPr>
            <w:tcW w:w="272" w:type="pct"/>
            <w:tcBorders>
              <w:top w:val="nil"/>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5</w:t>
            </w:r>
          </w:p>
        </w:tc>
        <w:tc>
          <w:tcPr>
            <w:tcW w:w="304" w:type="pct"/>
            <w:vMerge w:val="continue"/>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808" w:type="pct"/>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专家及工作人员餐费</w:t>
            </w: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100元/人/天</w:t>
            </w:r>
          </w:p>
        </w:tc>
        <w:tc>
          <w:tcPr>
            <w:tcW w:w="2083"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参照《市直党政机关和事业单位差旅费管理办法》（江财行〔2014〕99号），伙食补助费标准为：100元/人/天。</w:t>
            </w:r>
          </w:p>
        </w:tc>
      </w:tr>
      <w:tr>
        <w:tblPrEx>
          <w:tblCellMar>
            <w:top w:w="0" w:type="dxa"/>
            <w:left w:w="108" w:type="dxa"/>
            <w:bottom w:w="0" w:type="dxa"/>
            <w:right w:w="108" w:type="dxa"/>
          </w:tblCellMar>
        </w:tblPrEx>
        <w:trPr>
          <w:trHeight w:val="1122" w:hRule="atLeast"/>
        </w:trPr>
        <w:tc>
          <w:tcPr>
            <w:tcW w:w="272" w:type="pct"/>
            <w:tcBorders>
              <w:top w:val="nil"/>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6</w:t>
            </w:r>
          </w:p>
        </w:tc>
        <w:tc>
          <w:tcPr>
            <w:tcW w:w="304" w:type="pct"/>
            <w:vMerge w:val="continue"/>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808" w:type="pct"/>
            <w:tcBorders>
              <w:top w:val="single" w:color="auto" w:sz="4" w:space="0"/>
              <w:left w:val="nil"/>
              <w:bottom w:val="nil"/>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工作人员劳务费用</w:t>
            </w: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300元/人/天，不超过3人</w:t>
            </w:r>
          </w:p>
        </w:tc>
        <w:tc>
          <w:tcPr>
            <w:tcW w:w="2083"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根据《2018年江门市城镇非私营单位就业人员平均工资公告》，按照市区在岗职工年平均工资7.5万元计算，每个工作日工资约300元。</w:t>
            </w:r>
          </w:p>
        </w:tc>
      </w:tr>
      <w:tr>
        <w:tblPrEx>
          <w:tblCellMar>
            <w:top w:w="0" w:type="dxa"/>
            <w:left w:w="108" w:type="dxa"/>
            <w:bottom w:w="0" w:type="dxa"/>
            <w:right w:w="108" w:type="dxa"/>
          </w:tblCellMar>
        </w:tblPrEx>
        <w:trPr>
          <w:trHeight w:val="1028" w:hRule="atLeast"/>
        </w:trPr>
        <w:tc>
          <w:tcPr>
            <w:tcW w:w="272" w:type="pct"/>
            <w:tcBorders>
              <w:top w:val="nil"/>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7</w:t>
            </w:r>
          </w:p>
        </w:tc>
        <w:tc>
          <w:tcPr>
            <w:tcW w:w="304" w:type="pct"/>
            <w:vMerge w:val="continue"/>
            <w:tcBorders>
              <w:top w:val="nil"/>
              <w:left w:val="single" w:color="auto" w:sz="4" w:space="0"/>
              <w:bottom w:val="single" w:color="000000"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p>
        </w:tc>
        <w:tc>
          <w:tcPr>
            <w:tcW w:w="808" w:type="pct"/>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现场核查车辆费用</w:t>
            </w: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1200元/辆/天</w:t>
            </w:r>
          </w:p>
        </w:tc>
        <w:tc>
          <w:tcPr>
            <w:tcW w:w="2083"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根据现行市直公务用车租赁服务价格，结合过路费、超公里数等情况来确定。</w:t>
            </w:r>
          </w:p>
        </w:tc>
      </w:tr>
      <w:tr>
        <w:tblPrEx>
          <w:tblCellMar>
            <w:top w:w="0" w:type="dxa"/>
            <w:left w:w="108" w:type="dxa"/>
            <w:bottom w:w="0" w:type="dxa"/>
            <w:right w:w="108" w:type="dxa"/>
          </w:tblCellMar>
        </w:tblPrEx>
        <w:trPr>
          <w:trHeight w:val="636" w:hRule="atLeast"/>
        </w:trPr>
        <w:tc>
          <w:tcPr>
            <w:tcW w:w="272" w:type="pct"/>
            <w:tcBorders>
              <w:top w:val="nil"/>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8</w:t>
            </w:r>
          </w:p>
        </w:tc>
        <w:tc>
          <w:tcPr>
            <w:tcW w:w="1113" w:type="pct"/>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评审服务管理费用</w:t>
            </w: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按直接成本的15%计算</w:t>
            </w:r>
          </w:p>
        </w:tc>
        <w:tc>
          <w:tcPr>
            <w:tcW w:w="2083"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　</w:t>
            </w:r>
          </w:p>
        </w:tc>
      </w:tr>
      <w:tr>
        <w:tblPrEx>
          <w:tblCellMar>
            <w:top w:w="0" w:type="dxa"/>
            <w:left w:w="108" w:type="dxa"/>
            <w:bottom w:w="0" w:type="dxa"/>
            <w:right w:w="108" w:type="dxa"/>
          </w:tblCellMar>
        </w:tblPrEx>
        <w:trPr>
          <w:trHeight w:val="885" w:hRule="atLeast"/>
        </w:trPr>
        <w:tc>
          <w:tcPr>
            <w:tcW w:w="272" w:type="pct"/>
            <w:tcBorders>
              <w:top w:val="nil"/>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9</w:t>
            </w:r>
          </w:p>
        </w:tc>
        <w:tc>
          <w:tcPr>
            <w:tcW w:w="1113" w:type="pct"/>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评审服务税费</w:t>
            </w:r>
          </w:p>
        </w:tc>
        <w:tc>
          <w:tcPr>
            <w:tcW w:w="1530"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直接成本加上评审服务管理费用后，乘以实际税率</w:t>
            </w:r>
          </w:p>
        </w:tc>
        <w:tc>
          <w:tcPr>
            <w:tcW w:w="2083" w:type="pct"/>
            <w:tcBorders>
              <w:top w:val="nil"/>
              <w:left w:val="nil"/>
              <w:bottom w:val="single" w:color="auto" w:sz="4" w:space="0"/>
              <w:right w:val="single" w:color="auto" w:sz="4" w:space="0"/>
            </w:tcBorders>
            <w:noWrap w:val="0"/>
            <w:vAlign w:val="center"/>
          </w:tcPr>
          <w:p>
            <w:pPr>
              <w:widowControl/>
              <w:rPr>
                <w:rFonts w:hint="default" w:ascii="Times New Roman" w:hAnsi="Times New Roman" w:eastAsia="仿宋_GB2312" w:cs="Times New Roman"/>
                <w:color w:val="000000"/>
                <w:kern w:val="0"/>
                <w:sz w:val="24"/>
                <w:szCs w:val="24"/>
              </w:rPr>
            </w:pPr>
            <w:r>
              <w:rPr>
                <w:rFonts w:hint="default" w:ascii="Times New Roman" w:hAnsi="Times New Roman" w:eastAsia="仿宋_GB2312" w:cs="Times New Roman"/>
                <w:color w:val="000000"/>
                <w:kern w:val="0"/>
                <w:sz w:val="24"/>
                <w:szCs w:val="24"/>
              </w:rPr>
              <w:t>　</w:t>
            </w:r>
          </w:p>
        </w:tc>
      </w:tr>
    </w:tbl>
    <w:p>
      <w:pPr>
        <w:spacing w:before="156" w:beforeLines="50"/>
        <w:ind w:left="1084" w:hanging="1084" w:hangingChars="450"/>
        <w:rPr>
          <w:rFonts w:hint="default" w:ascii="Times New Roman" w:hAnsi="Times New Roman" w:eastAsia="仿宋_GB2312" w:cs="Times New Roman"/>
          <w:sz w:val="24"/>
          <w:szCs w:val="24"/>
        </w:rPr>
      </w:pPr>
      <w:r>
        <w:rPr>
          <w:rFonts w:hint="default" w:ascii="Times New Roman" w:hAnsi="Times New Roman" w:eastAsia="仿宋_GB2312" w:cs="Times New Roman"/>
          <w:b/>
          <w:sz w:val="24"/>
          <w:szCs w:val="24"/>
        </w:rPr>
        <w:t>说明：</w:t>
      </w:r>
      <w:r>
        <w:rPr>
          <w:rFonts w:hint="default" w:ascii="Times New Roman" w:hAnsi="Times New Roman" w:eastAsia="仿宋_GB2312" w:cs="Times New Roman"/>
          <w:sz w:val="24"/>
          <w:szCs w:val="24"/>
        </w:rPr>
        <w:t>1、项目评审原则上包括材料评审、现场考察等工作环节。如有特殊情况，经双方协商，可根据实际增减评审环节。</w:t>
      </w:r>
    </w:p>
    <w:p>
      <w:pPr>
        <w:ind w:firstLine="720" w:firstLineChars="3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2、时间不足半天的按半天计算，时间不足一天的按一天计算。</w:t>
      </w:r>
    </w:p>
    <w:p>
      <w:pPr>
        <w:keepNext w:val="0"/>
        <w:keepLines w:val="0"/>
        <w:pageBreakBefore w:val="0"/>
        <w:widowControl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Liberation Sans">
    <w:altName w:val="华文中宋"/>
    <w:panose1 w:val="00000000000000000000"/>
    <w:charset w:val="00"/>
    <w:family w:val="swiss"/>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Noto Sans CJK SC Regular">
    <w:altName w:val="思源黑体"/>
    <w:panose1 w:val="020B0500000000000000"/>
    <w:charset w:val="00"/>
    <w:family w:val="auto"/>
    <w:pitch w:val="default"/>
    <w:sig w:usb0="30000003" w:usb1="2BDF3C10" w:usb2="00000016" w:usb3="00000000" w:csb0="602E0107" w:csb1="00000000"/>
  </w:font>
  <w:font w:name="思源黑体">
    <w:panose1 w:val="020B0500000000000000"/>
    <w:charset w:val="86"/>
    <w:family w:val="auto"/>
    <w:pitch w:val="default"/>
    <w:sig w:usb0="30000083" w:usb1="2BDF3C10" w:usb2="00000016" w:usb3="00000000" w:csb0="602E0107"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
  <w:drawingGridVerticalSpacing w:val="1"/>
  <w:displayHorizontalDrawingGridEvery w:val="0"/>
  <w:displayVerticalDrawingGridEvery w:val="0"/>
  <w:doNotUseMarginsForDrawingGridOrigin w:val="1"/>
  <w:drawingGridHorizontalOrigin w:val="0"/>
  <w:drawingGridVerticalOrigin w:val="0"/>
  <w:characterSpacingControl w:val="compressPunctuation"/>
  <w:doNotValidateAgainstSchema/>
  <w:doNotDemarcateInvalidXml/>
  <w:compat>
    <w:noLeading/>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7CFF6580"/>
    <w:rsid w:val="98FDDC2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6">
    <w:name w:val="Default Paragraph Font"/>
    <w:uiPriority w:val="0"/>
  </w:style>
  <w:style w:type="table" w:default="1" w:styleId="5">
    <w:name w:val="Normal Table"/>
    <w:semiHidden/>
    <w:qFormat/>
    <w:uiPriority w:val="0"/>
    <w:tblPr>
      <w:tblStyle w:val="5"/>
      <w:tblCellMar>
        <w:top w:w="0" w:type="dxa"/>
        <w:left w:w="108" w:type="dxa"/>
        <w:bottom w:w="0" w:type="dxa"/>
        <w:right w:w="108" w:type="dxa"/>
      </w:tblCellMar>
    </w:tblPr>
  </w:style>
  <w:style w:type="paragraph" w:styleId="2">
    <w:name w:val="caption"/>
    <w:basedOn w:val="1"/>
    <w:uiPriority w:val="0"/>
    <w:pPr>
      <w:widowControl w:val="0"/>
      <w:suppressLineNumbers/>
      <w:suppressAutoHyphens/>
      <w:spacing w:before="120" w:after="120"/>
    </w:pPr>
    <w:rPr>
      <w:i/>
      <w:iCs/>
      <w:sz w:val="24"/>
      <w:szCs w:val="24"/>
    </w:rPr>
  </w:style>
  <w:style w:type="paragraph" w:styleId="3">
    <w:name w:val="Body Text"/>
    <w:basedOn w:val="1"/>
    <w:uiPriority w:val="0"/>
    <w:pPr>
      <w:spacing w:before="0" w:after="140" w:line="276" w:lineRule="auto"/>
    </w:pPr>
  </w:style>
  <w:style w:type="paragraph" w:styleId="4">
    <w:name w:val="List"/>
    <w:basedOn w:val="3"/>
    <w:uiPriority w:val="0"/>
  </w:style>
  <w:style w:type="character" w:customStyle="1" w:styleId="7">
    <w:name w:val="默认段落字体1"/>
    <w:uiPriority w:val="0"/>
  </w:style>
  <w:style w:type="paragraph" w:customStyle="1" w:styleId="8">
    <w:name w:val="Heading"/>
    <w:basedOn w:val="1"/>
    <w:next w:val="3"/>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9">
    <w:name w:val="Index"/>
    <w:basedOn w:val="1"/>
    <w:uiPriority w:val="0"/>
    <w:pPr>
      <w:widowControl w:val="0"/>
      <w:suppressLineNumbers/>
      <w:suppressAutoHyphens/>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Office_11.8.2.11961_F1E327BC-269C-435d-A152-05C5408002CA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2018-11-27T09:47:00Z</dcterms:created>
  <dc:creator>uos</dc:creator>
  <cp:lastModifiedBy>greatwall</cp:lastModifiedBy>
  <dcterms:modified xsi:type="dcterms:W3CDTF">2026-07-22T10:56:24Z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2052-11.8.2.11961</vt:lpwstr>
  </property>
  <property fmtid="{D5CDD505-2E9C-101B-9397-08002B2CF9AE}" pid="3" name="ICV">
    <vt:lpwstr>5AAE5DAB16B0A74A5831606A841F9AA2</vt:lpwstr>
  </property>
</Properties>
</file>