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60" w:lineRule="exact"/>
        <w:rPr>
          <w:rFonts w:hint="eastAsia" w:eastAsia="黑体"/>
          <w:sz w:val="32"/>
          <w:szCs w:val="32"/>
          <w:lang w:val="en"/>
        </w:rPr>
      </w:pPr>
      <w:r>
        <w:rPr>
          <w:rFonts w:hint="eastAsia" w:eastAsia="黑体"/>
          <w:sz w:val="32"/>
          <w:szCs w:val="32"/>
          <w:lang w:val="en"/>
        </w:rPr>
        <w:t>附件2</w:t>
      </w:r>
    </w:p>
    <w:p>
      <w:pPr>
        <w:pStyle w:val="2"/>
        <w:rPr>
          <w:lang w:val="en"/>
        </w:rPr>
      </w:pPr>
    </w:p>
    <w:p>
      <w:pPr>
        <w:jc w:val="center"/>
        <w:rPr>
          <w:rFonts w:ascii="华文中宋" w:hAnsi="华文中宋" w:eastAsia="华文中宋" w:cs="宋体"/>
          <w:b/>
          <w:kern w:val="0"/>
          <w:sz w:val="32"/>
          <w:szCs w:val="32"/>
          <w:lang w:val="en"/>
        </w:rPr>
      </w:pPr>
      <w:r>
        <w:rPr>
          <w:rFonts w:hint="eastAsia" w:ascii="华文中宋" w:hAnsi="华文中宋" w:eastAsia="华文中宋"/>
          <w:b/>
          <w:sz w:val="32"/>
          <w:szCs w:val="32"/>
          <w:lang w:val="en"/>
        </w:rPr>
        <w:t>评分表</w:t>
      </w:r>
    </w:p>
    <w:tbl>
      <w:tblPr>
        <w:tblStyle w:val="6"/>
        <w:tblW w:w="97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2"/>
        <w:gridCol w:w="1430"/>
        <w:gridCol w:w="6713"/>
        <w:gridCol w:w="8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5" w:hRule="atLeast"/>
          <w:tblHeader/>
          <w:jc w:val="center"/>
        </w:trPr>
        <w:tc>
          <w:tcPr>
            <w:tcW w:w="662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序号</w:t>
            </w:r>
          </w:p>
        </w:tc>
        <w:tc>
          <w:tcPr>
            <w:tcW w:w="1430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评分项目及权重</w:t>
            </w:r>
          </w:p>
        </w:tc>
        <w:tc>
          <w:tcPr>
            <w:tcW w:w="6713" w:type="dxa"/>
            <w:vAlign w:val="center"/>
          </w:tcPr>
          <w:p>
            <w:pPr>
              <w:pStyle w:val="4"/>
              <w:snapToGrid w:val="0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评分标准</w:t>
            </w:r>
          </w:p>
        </w:tc>
        <w:tc>
          <w:tcPr>
            <w:tcW w:w="896" w:type="dxa"/>
            <w:vAlign w:val="center"/>
          </w:tcPr>
          <w:p>
            <w:pPr>
              <w:pStyle w:val="4"/>
              <w:snapToGrid w:val="0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47" w:hRule="atLeast"/>
          <w:jc w:val="center"/>
        </w:trPr>
        <w:tc>
          <w:tcPr>
            <w:tcW w:w="662" w:type="dxa"/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  <w:lang w:val="e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"/>
              </w:rPr>
              <w:t>1</w:t>
            </w:r>
          </w:p>
        </w:tc>
        <w:tc>
          <w:tcPr>
            <w:tcW w:w="1430" w:type="dxa"/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  <w:lang w:val="e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"/>
              </w:rPr>
              <w:t>实施方案</w:t>
            </w:r>
          </w:p>
          <w:p>
            <w:pPr>
              <w:snapToGrid w:val="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  <w:lang w:val="e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"/>
              </w:rPr>
              <w:t>（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25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"/>
              </w:rPr>
              <w:t>分）</w:t>
            </w:r>
          </w:p>
        </w:tc>
        <w:tc>
          <w:tcPr>
            <w:tcW w:w="6713" w:type="dxa"/>
            <w:vAlign w:val="center"/>
          </w:tcPr>
          <w:p>
            <w:pPr>
              <w:snapToGrid w:val="0"/>
              <w:spacing w:line="240" w:lineRule="atLeast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"/>
              </w:rPr>
              <w:t>对项目要求分析准确，具体方案全面、详细合理；服务实施流程科学、可行，完全满足用户需求，得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25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"/>
              </w:rPr>
              <w:t>分；</w:t>
            </w:r>
          </w:p>
          <w:p>
            <w:pPr>
              <w:snapToGrid w:val="0"/>
              <w:spacing w:line="240" w:lineRule="atLeast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"/>
              </w:rPr>
              <w:t>对项目要求分析较准确，具体方案较全面、较合理；服务实施流程较可行，满足用户需求，得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"/>
              </w:rPr>
              <w:t>分；</w:t>
            </w:r>
          </w:p>
          <w:p>
            <w:pPr>
              <w:snapToGrid w:val="0"/>
              <w:spacing w:line="240" w:lineRule="atLeast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"/>
              </w:rPr>
              <w:t>对项目要求分析基本准确，具体方案基本全面、合理；服务实施流程基本可行，基本满足用户需求，得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15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"/>
              </w:rPr>
              <w:t>分；</w:t>
            </w:r>
          </w:p>
          <w:p>
            <w:pPr>
              <w:snapToGrid w:val="0"/>
              <w:spacing w:line="240" w:lineRule="atLeast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"/>
              </w:rPr>
              <w:t>对项目要求分析一般，具体方案不够全面、合理；服务实施流程有一定可行性，基本满足用户需求，得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"/>
              </w:rPr>
              <w:t>分；</w:t>
            </w:r>
          </w:p>
          <w:p>
            <w:pPr>
              <w:snapToGrid w:val="0"/>
              <w:spacing w:line="240" w:lineRule="atLeast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"/>
              </w:rPr>
              <w:t>对项目要求分析不准确，具体方案不合理；服务实施流程可行性低，无法满足用户需求或未提供方案的，得0分。</w:t>
            </w:r>
          </w:p>
        </w:tc>
        <w:tc>
          <w:tcPr>
            <w:tcW w:w="896" w:type="dxa"/>
            <w:vAlign w:val="center"/>
          </w:tcPr>
          <w:p>
            <w:pPr>
              <w:pStyle w:val="4"/>
              <w:snapToGrid w:val="0"/>
              <w:ind w:firstLine="48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76" w:hRule="atLeast"/>
          <w:jc w:val="center"/>
        </w:trPr>
        <w:tc>
          <w:tcPr>
            <w:tcW w:w="662" w:type="dxa"/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  <w:lang w:val="e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"/>
              </w:rPr>
              <w:t>2</w:t>
            </w:r>
          </w:p>
        </w:tc>
        <w:tc>
          <w:tcPr>
            <w:tcW w:w="1430" w:type="dxa"/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  <w:lang w:val="e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"/>
              </w:rPr>
              <w:t>应急保障措施（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"/>
              </w:rPr>
              <w:t>分）</w:t>
            </w:r>
          </w:p>
        </w:tc>
        <w:tc>
          <w:tcPr>
            <w:tcW w:w="6713" w:type="dxa"/>
            <w:vAlign w:val="center"/>
          </w:tcPr>
          <w:p>
            <w:pPr>
              <w:snapToGrid w:val="0"/>
              <w:spacing w:line="240" w:lineRule="atLeast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"/>
              </w:rPr>
              <w:t>针对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" w:eastAsia="zh-CN"/>
              </w:rPr>
              <w:t>办公设备维护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"/>
              </w:rPr>
              <w:t>提供相应的保障措施：</w:t>
            </w:r>
          </w:p>
          <w:p>
            <w:pPr>
              <w:snapToGrid w:val="0"/>
              <w:spacing w:line="240" w:lineRule="atLeast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"/>
              </w:rPr>
              <w:t>建立了完善的应急处理机制，提出详尽的故障解决方案，服务保障措施具体、详细，可行性高，得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"/>
              </w:rPr>
              <w:t>分；</w:t>
            </w:r>
          </w:p>
          <w:p>
            <w:pPr>
              <w:snapToGrid w:val="0"/>
              <w:spacing w:line="240" w:lineRule="atLeast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"/>
              </w:rPr>
              <w:t>建立了较为完善的应急处理机制，提出较为详尽的故障解决方案，服务保障措施比较具体、详细，可行性较高，得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15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"/>
              </w:rPr>
              <w:t>分；</w:t>
            </w:r>
          </w:p>
          <w:p>
            <w:pPr>
              <w:snapToGrid w:val="0"/>
              <w:spacing w:line="240" w:lineRule="atLeast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"/>
              </w:rPr>
              <w:t>建立了应急处理机制，提出故障解决方案，服务保障措施一般，基本可行，得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"/>
              </w:rPr>
              <w:t>分；</w:t>
            </w:r>
          </w:p>
          <w:p>
            <w:pPr>
              <w:snapToGrid w:val="0"/>
              <w:spacing w:line="240" w:lineRule="atLeast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"/>
              </w:rPr>
              <w:t>建立了应急处理机制，提出安全解决方案，服务保障措施不具体，可行性较低，得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"/>
              </w:rPr>
              <w:t>分；</w:t>
            </w:r>
          </w:p>
          <w:p>
            <w:pPr>
              <w:snapToGrid w:val="0"/>
              <w:spacing w:line="240" w:lineRule="atLeast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"/>
              </w:rPr>
              <w:t>未建立应急处理机制，未提出故障解决方案，无服务保障措施或措施不具体，可行性低，得0分。</w:t>
            </w:r>
          </w:p>
        </w:tc>
        <w:tc>
          <w:tcPr>
            <w:tcW w:w="896" w:type="dxa"/>
            <w:vAlign w:val="center"/>
          </w:tcPr>
          <w:p>
            <w:pPr>
              <w:pStyle w:val="4"/>
              <w:snapToGrid w:val="0"/>
              <w:ind w:firstLine="48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33" w:hRule="atLeast"/>
          <w:jc w:val="center"/>
        </w:trPr>
        <w:tc>
          <w:tcPr>
            <w:tcW w:w="662" w:type="dxa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"/>
              </w:rPr>
              <w:t>3</w:t>
            </w:r>
          </w:p>
        </w:tc>
        <w:tc>
          <w:tcPr>
            <w:tcW w:w="1430" w:type="dxa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"/>
              </w:rPr>
              <w:t>参与本项目工作人员情况（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"/>
              </w:rPr>
              <w:t>分）</w:t>
            </w:r>
          </w:p>
        </w:tc>
        <w:tc>
          <w:tcPr>
            <w:tcW w:w="6713" w:type="dxa"/>
            <w:vAlign w:val="center"/>
          </w:tcPr>
          <w:p>
            <w:pPr>
              <w:snapToGrid w:val="0"/>
              <w:spacing w:line="240" w:lineRule="atLeast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"/>
              </w:rPr>
              <w:t>（1）投标人为本项目配备的负责人1人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" w:eastAsia="zh-CN"/>
              </w:rPr>
              <w:t>：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"/>
              </w:rPr>
              <w:t>具有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" w:eastAsia="zh-CN"/>
              </w:rPr>
              <w:t>相关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"/>
              </w:rPr>
              <w:t>专业高级及以上职称的得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"/>
              </w:rPr>
              <w:t>分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" w:eastAsia="zh-CN"/>
              </w:rPr>
              <w:t>；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"/>
              </w:rPr>
              <w:t>具有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" w:eastAsia="zh-CN"/>
              </w:rPr>
              <w:t>相关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"/>
              </w:rPr>
              <w:t>专业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" w:eastAsia="zh-CN"/>
              </w:rPr>
              <w:t>中级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"/>
              </w:rPr>
              <w:t>职称的得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"/>
              </w:rPr>
              <w:t>分。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" w:eastAsia="zh-CN"/>
              </w:rPr>
              <w:t>本项最高得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6分。</w:t>
            </w:r>
          </w:p>
          <w:p>
            <w:pPr>
              <w:snapToGrid w:val="0"/>
              <w:spacing w:line="240" w:lineRule="atLeast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"/>
              </w:rPr>
              <w:t>（2）投标人为本项目配备的工作人员（不含项目负责人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" w:eastAsia="zh-CN"/>
              </w:rPr>
              <w:t>，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1人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"/>
              </w:rPr>
              <w:t>）具有电工作业证的得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"/>
              </w:rPr>
              <w:t>分。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" w:eastAsia="zh-CN"/>
              </w:rPr>
              <w:t>本项最高得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5分。</w:t>
            </w:r>
          </w:p>
          <w:p>
            <w:pPr>
              <w:snapToGrid w:val="0"/>
              <w:spacing w:line="240" w:lineRule="atLeast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"/>
              </w:rPr>
              <w:t>（3）投标人为本项目配备的工作人员（不含项目负责人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" w:eastAsia="zh-CN"/>
              </w:rPr>
              <w:t>，最多计算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3人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"/>
              </w:rPr>
              <w:t>）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" w:eastAsia="zh-CN"/>
              </w:rPr>
              <w:t>：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"/>
              </w:rPr>
              <w:t>具有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" w:eastAsia="zh-CN"/>
              </w:rPr>
              <w:t>相关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"/>
              </w:rPr>
              <w:t>专业中级及以上职称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" w:eastAsia="zh-CN"/>
              </w:rPr>
              <w:t>的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"/>
              </w:rPr>
              <w:t>，1人得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"/>
              </w:rPr>
              <w:t>分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" w:eastAsia="zh-CN"/>
              </w:rPr>
              <w:t>；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"/>
              </w:rPr>
              <w:t>具有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" w:eastAsia="zh-CN"/>
              </w:rPr>
              <w:t>相关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"/>
              </w:rPr>
              <w:t>专业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" w:eastAsia="zh-CN"/>
              </w:rPr>
              <w:t>初级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"/>
              </w:rPr>
              <w:t>职称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" w:eastAsia="zh-CN"/>
              </w:rPr>
              <w:t>的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"/>
              </w:rPr>
              <w:t>，1人得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"/>
              </w:rPr>
              <w:t>分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" w:eastAsia="zh-CN"/>
              </w:rPr>
              <w:t>；同一人提供多个职称证书的，只对其中一个最高职称进行打分。本项最高得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9分。</w:t>
            </w:r>
          </w:p>
          <w:p>
            <w:pPr>
              <w:snapToGrid w:val="0"/>
              <w:spacing w:line="240" w:lineRule="atLeast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  <w:lang w:val="en"/>
              </w:rPr>
              <w:t>注：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" w:eastAsia="zh-CN"/>
              </w:rPr>
              <w:t>上述提及的“相关专业”应包括但不限于计算机、网络工程、系统集成项目管理等与项目实施相关的专业；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"/>
              </w:rPr>
              <w:t>须提供上述人员相应证书复印件，最近3个月任意1个月在该供应商单位缴纳的社保证明复印件并加盖公章。</w:t>
            </w:r>
          </w:p>
        </w:tc>
        <w:tc>
          <w:tcPr>
            <w:tcW w:w="896" w:type="dxa"/>
            <w:vAlign w:val="top"/>
          </w:tcPr>
          <w:p>
            <w:pPr>
              <w:snapToGrid w:val="0"/>
              <w:spacing w:line="240" w:lineRule="atLeast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33" w:hRule="atLeast"/>
          <w:jc w:val="center"/>
        </w:trPr>
        <w:tc>
          <w:tcPr>
            <w:tcW w:w="662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  <w:t>4</w:t>
            </w:r>
          </w:p>
        </w:tc>
        <w:tc>
          <w:tcPr>
            <w:tcW w:w="1430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"/>
              </w:rPr>
              <w:t>投标人服务能力（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"/>
              </w:rPr>
              <w:t>分）</w:t>
            </w:r>
          </w:p>
        </w:tc>
        <w:tc>
          <w:tcPr>
            <w:tcW w:w="6713" w:type="dxa"/>
            <w:vAlign w:val="center"/>
          </w:tcPr>
          <w:p>
            <w:pPr>
              <w:snapToGrid w:val="0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"/>
              </w:rPr>
              <w:t>投标人获得信息系统安全技术（服务）相关证书、办公自动化设备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" w:eastAsia="zh-CN"/>
              </w:rPr>
              <w:t>相关品牌厂家授权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"/>
              </w:rPr>
              <w:t>，每提供一份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" w:eastAsia="zh-CN"/>
              </w:rPr>
              <w:t>证明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"/>
              </w:rPr>
              <w:t>得5分，最高得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"/>
              </w:rPr>
              <w:t>分。</w:t>
            </w:r>
          </w:p>
          <w:p>
            <w:pPr>
              <w:snapToGrid w:val="0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"/>
              </w:rPr>
              <w:t>注：须提供以上证明材料复印件，并加盖公章，不提供的不得分。</w:t>
            </w:r>
          </w:p>
        </w:tc>
        <w:tc>
          <w:tcPr>
            <w:tcW w:w="896" w:type="dxa"/>
            <w:vAlign w:val="top"/>
          </w:tcPr>
          <w:p>
            <w:pPr>
              <w:snapToGrid w:val="0"/>
              <w:spacing w:line="240" w:lineRule="atLeast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16" w:hRule="atLeast"/>
          <w:jc w:val="center"/>
        </w:trPr>
        <w:tc>
          <w:tcPr>
            <w:tcW w:w="662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430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"/>
              </w:rPr>
              <w:t>同类项目业绩（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"/>
              </w:rPr>
              <w:t>分）</w:t>
            </w:r>
          </w:p>
        </w:tc>
        <w:tc>
          <w:tcPr>
            <w:tcW w:w="6713" w:type="dxa"/>
            <w:vAlign w:val="center"/>
          </w:tcPr>
          <w:p>
            <w:pPr>
              <w:numPr>
                <w:ilvl w:val="0"/>
                <w:numId w:val="1"/>
              </w:numPr>
              <w:snapToGrid w:val="0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"/>
              </w:rPr>
              <w:t>投标人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5年内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"/>
              </w:rPr>
              <w:t>承接过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eastAsia="zh-CN"/>
              </w:rPr>
              <w:t>办公自动化设备维护项目的，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"/>
              </w:rPr>
              <w:t>每提供一份业绩合同得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"/>
              </w:rPr>
              <w:t>分，最高得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"/>
              </w:rPr>
              <w:t>分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；</w:t>
            </w:r>
          </w:p>
          <w:p>
            <w:pPr>
              <w:snapToGrid w:val="0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"/>
              </w:rPr>
            </w:pPr>
          </w:p>
          <w:p>
            <w:pPr>
              <w:snapToGrid w:val="0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"/>
              </w:rPr>
              <w:t>注：提供加盖公章的合同关键信息（含签订合同双方的单位名称、合同项目名称、服务内容与含签订合同双方的落款盖章、签订日期的关键页）复印件作为得分依据。</w:t>
            </w:r>
          </w:p>
        </w:tc>
        <w:tc>
          <w:tcPr>
            <w:tcW w:w="896" w:type="dxa"/>
            <w:vAlign w:val="center"/>
          </w:tcPr>
          <w:p>
            <w:pPr>
              <w:pStyle w:val="4"/>
              <w:snapToGrid w:val="0"/>
              <w:ind w:firstLine="480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34" w:hRule="atLeast"/>
          <w:jc w:val="center"/>
        </w:trPr>
        <w:tc>
          <w:tcPr>
            <w:tcW w:w="662" w:type="dxa"/>
            <w:vAlign w:val="center"/>
          </w:tcPr>
          <w:p>
            <w:pPr>
              <w:snapToGrid w:val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430" w:type="dxa"/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  <w:lang w:val="e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"/>
              </w:rPr>
              <w:t>价格评分</w:t>
            </w:r>
          </w:p>
          <w:p>
            <w:pPr>
              <w:snapToGrid w:val="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  <w:lang w:val="e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"/>
              </w:rPr>
              <w:t>（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15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"/>
              </w:rPr>
              <w:t>分）</w:t>
            </w:r>
          </w:p>
        </w:tc>
        <w:tc>
          <w:tcPr>
            <w:tcW w:w="6713" w:type="dxa"/>
            <w:vAlign w:val="center"/>
          </w:tcPr>
          <w:p>
            <w:pPr>
              <w:pStyle w:val="2"/>
              <w:snapToGrid w:val="0"/>
              <w:spacing w:line="240" w:lineRule="auto"/>
              <w:ind w:firstLine="0" w:firstLineChars="0"/>
              <w:jc w:val="left"/>
              <w:rPr>
                <w:rFonts w:hint="default" w:ascii="仿宋_GB2312" w:hAnsi="宋体" w:eastAsia="仿宋_GB2312" w:cs="宋体"/>
                <w:snapToGrid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napToGrid/>
                <w:szCs w:val="24"/>
                <w:lang w:val="en-US"/>
              </w:rPr>
              <w:t>满足</w:t>
            </w:r>
            <w:r>
              <w:rPr>
                <w:rFonts w:hint="eastAsia" w:ascii="仿宋_GB2312" w:hAnsi="宋体" w:eastAsia="仿宋_GB2312" w:cs="宋体"/>
                <w:snapToGrid/>
                <w:szCs w:val="24"/>
                <w:lang w:val="en-US" w:eastAsia="zh-CN"/>
              </w:rPr>
              <w:t>招标</w:t>
            </w:r>
            <w:r>
              <w:rPr>
                <w:rFonts w:hint="eastAsia" w:ascii="仿宋_GB2312" w:hAnsi="宋体" w:eastAsia="仿宋_GB2312" w:cs="宋体"/>
                <w:snapToGrid/>
                <w:szCs w:val="24"/>
                <w:lang w:val="en-US"/>
              </w:rPr>
              <w:t>文件要求且价格</w:t>
            </w:r>
            <w:r>
              <w:rPr>
                <w:rFonts w:hint="eastAsia" w:ascii="仿宋_GB2312" w:hAnsi="宋体" w:eastAsia="仿宋_GB2312" w:cs="宋体"/>
                <w:snapToGrid/>
                <w:szCs w:val="24"/>
                <w:lang w:val="en-US" w:eastAsia="zh-CN"/>
              </w:rPr>
              <w:t>最低的投标价为基准价，</w:t>
            </w:r>
            <w:r>
              <w:rPr>
                <w:rFonts w:hint="eastAsia" w:ascii="仿宋_GB2312" w:hAnsi="宋体" w:eastAsia="仿宋_GB2312" w:cs="宋体"/>
                <w:snapToGrid/>
                <w:szCs w:val="24"/>
                <w:lang w:val="en-US"/>
              </w:rPr>
              <w:t>其价格分为满分</w:t>
            </w:r>
            <w:r>
              <w:rPr>
                <w:rFonts w:hint="eastAsia" w:ascii="仿宋_GB2312" w:hAnsi="宋体" w:eastAsia="仿宋_GB2312" w:cs="宋体"/>
                <w:snapToGrid/>
                <w:szCs w:val="24"/>
                <w:lang w:val="en-US" w:eastAsia="zh-CN"/>
              </w:rPr>
              <w:t>。</w:t>
            </w:r>
            <w:r>
              <w:rPr>
                <w:rFonts w:hint="eastAsia" w:ascii="仿宋_GB2312" w:hAnsi="宋体" w:eastAsia="仿宋_GB2312" w:cs="宋体"/>
                <w:snapToGrid/>
                <w:szCs w:val="24"/>
                <w:lang w:val="en-US"/>
              </w:rPr>
              <w:t>其他</w:t>
            </w:r>
            <w:r>
              <w:rPr>
                <w:rFonts w:hint="eastAsia" w:ascii="仿宋_GB2312" w:hAnsi="宋体" w:eastAsia="仿宋_GB2312" w:cs="宋体"/>
                <w:snapToGrid/>
                <w:szCs w:val="24"/>
                <w:lang w:val="en-US" w:eastAsia="zh-CN"/>
              </w:rPr>
              <w:t>投标人</w:t>
            </w:r>
            <w:r>
              <w:rPr>
                <w:rFonts w:hint="eastAsia" w:ascii="仿宋_GB2312" w:hAnsi="宋体" w:eastAsia="仿宋_GB2312" w:cs="宋体"/>
                <w:snapToGrid/>
                <w:szCs w:val="24"/>
                <w:lang w:val="en-US"/>
              </w:rPr>
              <w:t>的价格分统一按照下列公式计算：</w:t>
            </w:r>
            <w:r>
              <w:rPr>
                <w:rFonts w:hint="eastAsia" w:ascii="仿宋_GB2312" w:hAnsi="宋体" w:eastAsia="仿宋_GB2312" w:cs="宋体"/>
                <w:snapToGrid/>
                <w:szCs w:val="24"/>
                <w:lang w:val="en-US" w:eastAsia="zh-CN"/>
              </w:rPr>
              <w:t>价格</w:t>
            </w:r>
            <w:r>
              <w:rPr>
                <w:rFonts w:hint="eastAsia" w:ascii="仿宋_GB2312" w:hAnsi="宋体" w:eastAsia="仿宋_GB2312" w:cs="宋体"/>
                <w:snapToGrid/>
                <w:szCs w:val="24"/>
                <w:lang w:val="en-US"/>
              </w:rPr>
              <w:t>分=（基准价/投标报价）×</w:t>
            </w:r>
            <w:r>
              <w:rPr>
                <w:rFonts w:hint="eastAsia" w:ascii="仿宋_GB2312" w:hAnsi="宋体" w:eastAsia="仿宋_GB2312" w:cs="宋体"/>
                <w:snapToGrid/>
                <w:szCs w:val="24"/>
                <w:lang w:val="en-US" w:eastAsia="zh-CN"/>
              </w:rPr>
              <w:t>价格权重</w:t>
            </w:r>
            <w:r>
              <w:rPr>
                <w:rFonts w:hint="eastAsia" w:ascii="仿宋_GB2312" w:hAnsi="宋体" w:eastAsia="仿宋_GB2312" w:cs="宋体"/>
                <w:snapToGrid/>
                <w:szCs w:val="24"/>
                <w:lang w:val="en-US"/>
              </w:rPr>
              <w:t>×</w:t>
            </w:r>
            <w:r>
              <w:rPr>
                <w:rFonts w:hint="eastAsia" w:ascii="仿宋_GB2312" w:hAnsi="宋体" w:eastAsia="仿宋_GB2312" w:cs="宋体"/>
                <w:snapToGrid/>
                <w:szCs w:val="24"/>
                <w:lang w:val="en-US" w:eastAsia="zh-CN"/>
              </w:rPr>
              <w:t>100</w:t>
            </w:r>
          </w:p>
          <w:p>
            <w:pPr>
              <w:pStyle w:val="2"/>
              <w:snapToGrid w:val="0"/>
              <w:spacing w:line="240" w:lineRule="auto"/>
              <w:ind w:firstLine="0" w:firstLineChars="0"/>
              <w:jc w:val="left"/>
              <w:rPr>
                <w:rFonts w:hint="eastAsia" w:ascii="仿宋_GB2312" w:hAnsi="宋体" w:eastAsia="仿宋_GB2312" w:cs="宋体"/>
                <w:snapToGrid/>
                <w:szCs w:val="24"/>
                <w:lang w:val="en" w:eastAsia="zh-CN"/>
              </w:rPr>
            </w:pPr>
            <w:r>
              <w:rPr>
                <w:rFonts w:hint="eastAsia" w:ascii="仿宋_GB2312" w:hAnsi="宋体" w:eastAsia="仿宋_GB2312" w:cs="宋体"/>
                <w:snapToGrid/>
                <w:szCs w:val="24"/>
                <w:lang w:val="en-US" w:eastAsia="zh-CN"/>
              </w:rPr>
              <w:t>[</w:t>
            </w:r>
            <w:r>
              <w:rPr>
                <w:rFonts w:hint="eastAsia" w:ascii="仿宋_GB2312" w:hAnsi="宋体" w:eastAsia="仿宋_GB2312" w:cs="宋体"/>
                <w:snapToGrid/>
                <w:szCs w:val="24"/>
                <w:lang w:val="en-US"/>
              </w:rPr>
              <w:t>对符合规定的小型和微型企业（监狱企业、残疾人福利单位视同小型、微型企业）报价给予10%的价格扣除。</w:t>
            </w:r>
            <w:r>
              <w:rPr>
                <w:rFonts w:hint="eastAsia" w:ascii="仿宋_GB2312" w:hAnsi="宋体" w:eastAsia="仿宋_GB2312" w:cs="宋体"/>
                <w:snapToGrid/>
                <w:szCs w:val="24"/>
                <w:lang w:val="en-US" w:eastAsia="zh-CN"/>
              </w:rPr>
              <w:t>]</w:t>
            </w:r>
          </w:p>
        </w:tc>
        <w:tc>
          <w:tcPr>
            <w:tcW w:w="896" w:type="dxa"/>
            <w:vAlign w:val="center"/>
          </w:tcPr>
          <w:p>
            <w:pPr>
              <w:pStyle w:val="2"/>
              <w:snapToGrid w:val="0"/>
              <w:spacing w:line="240" w:lineRule="auto"/>
              <w:ind w:firstLine="480"/>
              <w:jc w:val="center"/>
              <w:rPr>
                <w:rFonts w:ascii="仿宋" w:hAnsi="仿宋" w:eastAsia="仿宋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6" w:hRule="atLeast"/>
          <w:jc w:val="center"/>
        </w:trPr>
        <w:tc>
          <w:tcPr>
            <w:tcW w:w="2092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  <w:lang w:val="e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"/>
              </w:rPr>
              <w:t>综合得分</w:t>
            </w:r>
          </w:p>
        </w:tc>
        <w:tc>
          <w:tcPr>
            <w:tcW w:w="6713" w:type="dxa"/>
            <w:vAlign w:val="center"/>
          </w:tcPr>
          <w:p>
            <w:pPr>
              <w:pStyle w:val="4"/>
              <w:spacing w:line="48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  <w:lang w:val="e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"/>
              </w:rPr>
              <w:t>——</w:t>
            </w:r>
          </w:p>
        </w:tc>
        <w:tc>
          <w:tcPr>
            <w:tcW w:w="896" w:type="dxa"/>
            <w:vAlign w:val="center"/>
          </w:tcPr>
          <w:p>
            <w:pPr>
              <w:pStyle w:val="2"/>
              <w:snapToGrid w:val="0"/>
              <w:spacing w:line="240" w:lineRule="auto"/>
              <w:ind w:firstLine="480"/>
              <w:jc w:val="center"/>
              <w:rPr>
                <w:rFonts w:ascii="仿宋" w:hAnsi="仿宋" w:eastAsia="仿宋"/>
                <w:szCs w:val="24"/>
              </w:rPr>
            </w:pPr>
          </w:p>
        </w:tc>
      </w:tr>
    </w:tbl>
    <w:p>
      <w:pPr>
        <w:pStyle w:val="3"/>
      </w:pPr>
      <w:r>
        <w:rPr>
          <w:rFonts w:hint="eastAsia" w:ascii="宋体" w:hAnsi="宋体"/>
          <w:b/>
          <w:sz w:val="28"/>
        </w:rPr>
        <w:t>注：请投标人在投标文件中标注以上评分项目证明资料对应的页码。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F398F93"/>
    <w:multiLevelType w:val="singleLevel"/>
    <w:tmpl w:val="7F398F93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ExMGJkZDQ5NDNiZmVjZTdkYjAzYjk5MDFiZjE2ZDAifQ=="/>
  </w:docVars>
  <w:rsids>
    <w:rsidRoot w:val="66BE2F77"/>
    <w:rsid w:val="66BE2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spacing w:line="360" w:lineRule="auto"/>
      <w:ind w:firstLine="200" w:firstLineChars="200"/>
    </w:pPr>
    <w:rPr>
      <w:rFonts w:ascii="Times New Roman" w:hAnsi="Times New Roman"/>
      <w:snapToGrid w:val="0"/>
      <w:kern w:val="0"/>
      <w:sz w:val="24"/>
      <w:szCs w:val="20"/>
      <w:lang w:val="zh-CN"/>
    </w:rPr>
  </w:style>
  <w:style w:type="paragraph" w:styleId="3">
    <w:name w:val="Body Text"/>
    <w:basedOn w:val="1"/>
    <w:unhideWhenUsed/>
    <w:qFormat/>
    <w:uiPriority w:val="99"/>
    <w:pPr>
      <w:spacing w:after="120"/>
    </w:pPr>
  </w:style>
  <w:style w:type="paragraph" w:styleId="4">
    <w:name w:val="Plain Text"/>
    <w:basedOn w:val="1"/>
    <w:qFormat/>
    <w:uiPriority w:val="0"/>
    <w:rPr>
      <w:rFonts w:ascii="宋体" w:hAnsi="Courier New" w:eastAsia="宋体" w:cs="Times New Roman"/>
    </w:r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2026-07-23T10:01:00Z</dcterms:created>
  <dc:creator>江晓峰</dc:creator>
  <cp:lastModifiedBy>江晓峰</cp:lastModifiedBy>
  <dcterms:modified xsi:type="dcterms:W3CDTF">2026-07-23T10:03:06Z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DF6AF1E455E64F02BA0D7F1A182B1A33_11</vt:lpwstr>
  </property>
</Properties>
</file>