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283118">
      <w:pPr>
        <w:rPr>
          <w:rFonts w:hint="default" w:ascii="Times New Roman" w:hAnsi="Times New Roman" w:eastAsia="仿宋" w:cs="Times New Roman"/>
          <w:color w:val="auto"/>
          <w:sz w:val="32"/>
          <w:szCs w:val="32"/>
        </w:rPr>
      </w:pPr>
      <w:bookmarkStart w:id="0" w:name="heading_24"/>
      <w:r>
        <w:rPr>
          <w:rFonts w:hint="default" w:ascii="Times New Roman" w:hAnsi="Times New Roman" w:eastAsia="黑体" w:cs="Times New Roman"/>
          <w:color w:val="auto"/>
          <w:sz w:val="32"/>
          <w:szCs w:val="32"/>
        </w:rPr>
        <w:t>附件</w:t>
      </w:r>
      <w:r>
        <w:rPr>
          <w:rFonts w:hint="default" w:ascii="Times New Roman" w:hAnsi="Times New Roman" w:eastAsia="黑体" w:cs="Times New Roman"/>
          <w:color w:val="auto"/>
          <w:sz w:val="32"/>
          <w:szCs w:val="32"/>
          <w:lang w:val="en-US" w:eastAsia="zh-CN"/>
        </w:rPr>
        <w:t>2</w:t>
      </w:r>
    </w:p>
    <w:p w14:paraId="48545FED">
      <w:pPr>
        <w:jc w:val="center"/>
        <w:rPr>
          <w:rFonts w:hint="eastAsia" w:ascii="方正小标宋简体" w:hAnsi="方正小标宋简体" w:eastAsia="方正小标宋简体" w:cs="方正小标宋简体"/>
          <w:bCs/>
          <w:color w:val="auto"/>
          <w:sz w:val="36"/>
          <w:szCs w:val="36"/>
          <w:lang w:eastAsia="zh-CN"/>
        </w:rPr>
      </w:pPr>
      <w:r>
        <w:rPr>
          <w:rFonts w:hint="eastAsia" w:ascii="方正小标宋简体" w:hAnsi="方正小标宋简体" w:eastAsia="方正小标宋简体" w:cs="方正小标宋简体"/>
          <w:b w:val="0"/>
          <w:bCs/>
          <w:color w:val="auto"/>
          <w:spacing w:val="0"/>
          <w:sz w:val="36"/>
          <w:szCs w:val="36"/>
          <w:highlight w:val="none"/>
          <w:lang w:val="en-US" w:eastAsia="zh-CN"/>
        </w:rPr>
        <w:t>蓬江区饮用水水源地视频监控服务项目</w:t>
      </w:r>
      <w:r>
        <w:rPr>
          <w:rFonts w:hint="eastAsia" w:ascii="方正小标宋简体" w:hAnsi="方正小标宋简体" w:eastAsia="方正小标宋简体" w:cs="方正小标宋简体"/>
          <w:bCs/>
          <w:color w:val="auto"/>
          <w:sz w:val="36"/>
          <w:szCs w:val="36"/>
        </w:rPr>
        <w:t>综合评分</w:t>
      </w:r>
      <w:r>
        <w:rPr>
          <w:rFonts w:hint="eastAsia" w:ascii="方正小标宋简体" w:hAnsi="方正小标宋简体" w:eastAsia="方正小标宋简体" w:cs="方正小标宋简体"/>
          <w:bCs/>
          <w:color w:val="auto"/>
          <w:sz w:val="36"/>
          <w:szCs w:val="36"/>
          <w:lang w:eastAsia="zh-CN"/>
        </w:rPr>
        <w:t>表</w:t>
      </w:r>
    </w:p>
    <w:tbl>
      <w:tblPr>
        <w:tblStyle w:val="15"/>
        <w:tblW w:w="146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350"/>
        <w:gridCol w:w="1233"/>
        <w:gridCol w:w="827"/>
        <w:gridCol w:w="6878"/>
        <w:gridCol w:w="1444"/>
        <w:gridCol w:w="1312"/>
        <w:gridCol w:w="1561"/>
      </w:tblGrid>
      <w:tr w14:paraId="6F012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350" w:type="dxa"/>
            <w:vMerge w:val="restart"/>
            <w:tcBorders>
              <w:tl2br w:val="nil"/>
              <w:tr2bl w:val="nil"/>
            </w:tcBorders>
            <w:tcMar>
              <w:top w:w="60" w:type="dxa"/>
              <w:left w:w="120" w:type="dxa"/>
              <w:bottom w:w="30" w:type="dxa"/>
              <w:right w:w="120" w:type="dxa"/>
            </w:tcMar>
            <w:vAlign w:val="center"/>
          </w:tcPr>
          <w:p w14:paraId="40C52E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分类</w:t>
            </w:r>
          </w:p>
        </w:tc>
        <w:tc>
          <w:tcPr>
            <w:tcW w:w="1233" w:type="dxa"/>
            <w:vMerge w:val="restart"/>
            <w:tcBorders>
              <w:tl2br w:val="nil"/>
              <w:tr2bl w:val="nil"/>
            </w:tcBorders>
            <w:tcMar>
              <w:top w:w="60" w:type="dxa"/>
              <w:left w:w="120" w:type="dxa"/>
              <w:bottom w:w="30" w:type="dxa"/>
              <w:right w:w="120" w:type="dxa"/>
            </w:tcMar>
            <w:vAlign w:val="center"/>
          </w:tcPr>
          <w:p w14:paraId="60ED690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评审标准</w:t>
            </w:r>
          </w:p>
        </w:tc>
        <w:tc>
          <w:tcPr>
            <w:tcW w:w="827" w:type="dxa"/>
            <w:vMerge w:val="restart"/>
            <w:tcBorders>
              <w:tl2br w:val="nil"/>
              <w:tr2bl w:val="nil"/>
            </w:tcBorders>
            <w:tcMar>
              <w:top w:w="60" w:type="dxa"/>
              <w:left w:w="120" w:type="dxa"/>
              <w:bottom w:w="30" w:type="dxa"/>
              <w:right w:w="120" w:type="dxa"/>
            </w:tcMar>
            <w:vAlign w:val="center"/>
          </w:tcPr>
          <w:p w14:paraId="78024CC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分值</w:t>
            </w:r>
          </w:p>
        </w:tc>
        <w:tc>
          <w:tcPr>
            <w:tcW w:w="6878" w:type="dxa"/>
            <w:vMerge w:val="restart"/>
            <w:tcBorders>
              <w:tl2br w:val="nil"/>
              <w:tr2bl w:val="nil"/>
            </w:tcBorders>
            <w:tcMar>
              <w:top w:w="60" w:type="dxa"/>
              <w:left w:w="120" w:type="dxa"/>
              <w:bottom w:w="30" w:type="dxa"/>
              <w:right w:w="120" w:type="dxa"/>
            </w:tcMar>
            <w:vAlign w:val="center"/>
          </w:tcPr>
          <w:p w14:paraId="0875D25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 w:eastAsia="仿宋_GB2312" w:cs="Times New Roman"/>
                <w:b/>
                <w:bCs/>
                <w:color w:val="auto"/>
                <w:sz w:val="24"/>
                <w:szCs w:val="24"/>
                <w:lang w:val="en-US" w:eastAsia="zh-CN"/>
              </w:rPr>
              <w:t>标评因素</w:t>
            </w:r>
          </w:p>
        </w:tc>
        <w:tc>
          <w:tcPr>
            <w:tcW w:w="4317" w:type="dxa"/>
            <w:gridSpan w:val="3"/>
            <w:tcBorders>
              <w:tl2br w:val="nil"/>
              <w:tr2bl w:val="nil"/>
            </w:tcBorders>
            <w:tcMar>
              <w:top w:w="60" w:type="dxa"/>
              <w:left w:w="120" w:type="dxa"/>
              <w:bottom w:w="30" w:type="dxa"/>
              <w:right w:w="120" w:type="dxa"/>
            </w:tcMar>
            <w:vAlign w:val="center"/>
          </w:tcPr>
          <w:p w14:paraId="44C92AAC">
            <w:pPr>
              <w:pStyle w:val="9"/>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color w:val="auto"/>
                <w:sz w:val="24"/>
                <w:szCs w:val="24"/>
                <w:highlight w:val="none"/>
              </w:rPr>
            </w:pPr>
            <w:r>
              <w:rPr>
                <w:rFonts w:hint="eastAsia" w:ascii="仿宋_GB2312" w:hAnsi="仿宋" w:eastAsia="仿宋_GB2312" w:cs="Times New Roman"/>
                <w:b/>
                <w:bCs/>
                <w:color w:val="auto"/>
                <w:sz w:val="24"/>
                <w:szCs w:val="24"/>
                <w:lang w:val="en-US" w:eastAsia="zh-CN"/>
              </w:rPr>
              <w:t>评分</w:t>
            </w:r>
          </w:p>
        </w:tc>
      </w:tr>
      <w:tr w14:paraId="020FE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650" w:hRule="atLeast"/>
          <w:jc w:val="center"/>
        </w:trPr>
        <w:tc>
          <w:tcPr>
            <w:tcW w:w="1350" w:type="dxa"/>
            <w:vMerge w:val="continue"/>
            <w:tcBorders>
              <w:tl2br w:val="nil"/>
              <w:tr2bl w:val="nil"/>
            </w:tcBorders>
            <w:tcMar>
              <w:top w:w="60" w:type="dxa"/>
              <w:left w:w="120" w:type="dxa"/>
              <w:bottom w:w="30" w:type="dxa"/>
              <w:right w:w="120" w:type="dxa"/>
            </w:tcMar>
            <w:vAlign w:val="center"/>
          </w:tcPr>
          <w:p w14:paraId="5E59B1A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vMerge w:val="continue"/>
            <w:tcBorders>
              <w:tl2br w:val="nil"/>
              <w:tr2bl w:val="nil"/>
            </w:tcBorders>
            <w:tcMar>
              <w:top w:w="60" w:type="dxa"/>
              <w:left w:w="120" w:type="dxa"/>
              <w:bottom w:w="30" w:type="dxa"/>
              <w:right w:w="120" w:type="dxa"/>
            </w:tcMar>
            <w:vAlign w:val="center"/>
          </w:tcPr>
          <w:p w14:paraId="72DC0E9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827" w:type="dxa"/>
            <w:vMerge w:val="continue"/>
            <w:tcBorders>
              <w:tl2br w:val="nil"/>
              <w:tr2bl w:val="nil"/>
            </w:tcBorders>
            <w:tcMar>
              <w:top w:w="60" w:type="dxa"/>
              <w:left w:w="120" w:type="dxa"/>
              <w:bottom w:w="30" w:type="dxa"/>
              <w:right w:w="120" w:type="dxa"/>
            </w:tcMar>
            <w:vAlign w:val="center"/>
          </w:tcPr>
          <w:p w14:paraId="5E855F9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6878" w:type="dxa"/>
            <w:vMerge w:val="continue"/>
            <w:tcBorders>
              <w:tl2br w:val="nil"/>
              <w:tr2bl w:val="nil"/>
            </w:tcBorders>
            <w:tcMar>
              <w:top w:w="60" w:type="dxa"/>
              <w:left w:w="120" w:type="dxa"/>
              <w:bottom w:w="30" w:type="dxa"/>
              <w:right w:w="120" w:type="dxa"/>
            </w:tcMar>
            <w:vAlign w:val="center"/>
          </w:tcPr>
          <w:p w14:paraId="32CF4A03">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444" w:type="dxa"/>
            <w:tcBorders>
              <w:tl2br w:val="nil"/>
              <w:tr2bl w:val="nil"/>
            </w:tcBorders>
            <w:tcMar>
              <w:top w:w="60" w:type="dxa"/>
              <w:left w:w="120" w:type="dxa"/>
              <w:bottom w:w="30" w:type="dxa"/>
              <w:right w:w="120" w:type="dxa"/>
            </w:tcMar>
            <w:vAlign w:val="center"/>
          </w:tcPr>
          <w:p w14:paraId="7474A841">
            <w:pPr>
              <w:autoSpaceDE w:val="0"/>
              <w:autoSpaceDN w:val="0"/>
              <w:adjustRightInd w:val="0"/>
              <w:snapToGrid w:val="0"/>
              <w:spacing w:line="300" w:lineRule="exact"/>
              <w:ind w:left="-78" w:leftChars="-37" w:right="-73" w:rightChars="-35"/>
              <w:jc w:val="center"/>
              <w:rPr>
                <w:rFonts w:hint="eastAsia" w:ascii="黑体" w:hAnsi="黑体" w:eastAsia="黑体"/>
                <w:color w:val="auto"/>
                <w:kern w:val="0"/>
                <w:sz w:val="21"/>
                <w:szCs w:val="21"/>
              </w:rPr>
            </w:pPr>
            <w:r>
              <w:rPr>
                <w:rFonts w:hint="eastAsia" w:ascii="黑体" w:hAnsi="黑体" w:eastAsia="黑体"/>
                <w:color w:val="auto"/>
                <w:kern w:val="0"/>
                <w:sz w:val="21"/>
                <w:szCs w:val="21"/>
              </w:rPr>
              <w:t>供应商1</w:t>
            </w:r>
          </w:p>
          <w:p w14:paraId="54150AEC">
            <w:pPr>
              <w:pStyle w:val="9"/>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color w:val="auto"/>
                <w:sz w:val="24"/>
                <w:szCs w:val="24"/>
                <w:highlight w:val="none"/>
              </w:rPr>
            </w:pPr>
            <w:r>
              <w:rPr>
                <w:rFonts w:hint="eastAsia" w:ascii="黑体" w:hAnsi="黑体" w:eastAsia="黑体"/>
                <w:color w:val="auto"/>
                <w:kern w:val="0"/>
                <w:sz w:val="21"/>
                <w:szCs w:val="21"/>
              </w:rPr>
              <w:t>得分（分）</w:t>
            </w:r>
          </w:p>
        </w:tc>
        <w:tc>
          <w:tcPr>
            <w:tcW w:w="1312" w:type="dxa"/>
            <w:tcBorders>
              <w:tl2br w:val="nil"/>
              <w:tr2bl w:val="nil"/>
            </w:tcBorders>
            <w:tcMar>
              <w:top w:w="60" w:type="dxa"/>
              <w:left w:w="120" w:type="dxa"/>
              <w:bottom w:w="30" w:type="dxa"/>
              <w:right w:w="120" w:type="dxa"/>
            </w:tcMar>
            <w:vAlign w:val="center"/>
          </w:tcPr>
          <w:p w14:paraId="76478B91">
            <w:pPr>
              <w:autoSpaceDE w:val="0"/>
              <w:autoSpaceDN w:val="0"/>
              <w:adjustRightInd w:val="0"/>
              <w:snapToGrid w:val="0"/>
              <w:spacing w:line="300" w:lineRule="exact"/>
              <w:ind w:left="-78" w:leftChars="-37" w:right="-73" w:rightChars="-35"/>
              <w:jc w:val="center"/>
              <w:rPr>
                <w:rFonts w:hint="eastAsia" w:ascii="黑体" w:hAnsi="黑体" w:eastAsia="黑体"/>
                <w:color w:val="auto"/>
                <w:kern w:val="0"/>
                <w:sz w:val="21"/>
                <w:szCs w:val="21"/>
                <w:lang w:eastAsia="zh-CN"/>
              </w:rPr>
            </w:pPr>
            <w:r>
              <w:rPr>
                <w:rFonts w:hint="eastAsia" w:ascii="黑体" w:hAnsi="黑体" w:eastAsia="黑体"/>
                <w:color w:val="auto"/>
                <w:kern w:val="0"/>
                <w:sz w:val="21"/>
                <w:szCs w:val="21"/>
              </w:rPr>
              <w:t>供应商</w:t>
            </w:r>
            <w:r>
              <w:rPr>
                <w:rFonts w:hint="eastAsia" w:ascii="黑体" w:hAnsi="黑体" w:eastAsia="黑体"/>
                <w:color w:val="auto"/>
                <w:kern w:val="0"/>
                <w:sz w:val="21"/>
                <w:szCs w:val="21"/>
                <w:lang w:val="en-US" w:eastAsia="zh-CN"/>
              </w:rPr>
              <w:t>2</w:t>
            </w:r>
          </w:p>
          <w:p w14:paraId="4B0A3C6E">
            <w:pPr>
              <w:pStyle w:val="9"/>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color w:val="auto"/>
                <w:sz w:val="24"/>
                <w:szCs w:val="24"/>
                <w:highlight w:val="none"/>
              </w:rPr>
            </w:pPr>
            <w:r>
              <w:rPr>
                <w:rFonts w:hint="eastAsia" w:ascii="黑体" w:hAnsi="黑体" w:eastAsia="黑体"/>
                <w:color w:val="auto"/>
                <w:kern w:val="0"/>
                <w:sz w:val="21"/>
                <w:szCs w:val="21"/>
              </w:rPr>
              <w:t>得分（分）</w:t>
            </w:r>
          </w:p>
        </w:tc>
        <w:tc>
          <w:tcPr>
            <w:tcW w:w="1561" w:type="dxa"/>
            <w:tcBorders>
              <w:tl2br w:val="nil"/>
              <w:tr2bl w:val="nil"/>
            </w:tcBorders>
            <w:tcMar>
              <w:top w:w="60" w:type="dxa"/>
              <w:left w:w="120" w:type="dxa"/>
              <w:bottom w:w="30" w:type="dxa"/>
              <w:right w:w="120" w:type="dxa"/>
            </w:tcMar>
            <w:vAlign w:val="center"/>
          </w:tcPr>
          <w:p w14:paraId="6788618F">
            <w:pPr>
              <w:autoSpaceDE w:val="0"/>
              <w:autoSpaceDN w:val="0"/>
              <w:adjustRightInd w:val="0"/>
              <w:snapToGrid w:val="0"/>
              <w:spacing w:line="300" w:lineRule="exact"/>
              <w:ind w:left="-78" w:leftChars="-37" w:right="-73" w:rightChars="-35"/>
              <w:jc w:val="center"/>
              <w:rPr>
                <w:rFonts w:hint="eastAsia" w:ascii="黑体" w:hAnsi="黑体" w:eastAsia="黑体"/>
                <w:color w:val="auto"/>
                <w:kern w:val="0"/>
                <w:sz w:val="21"/>
                <w:szCs w:val="21"/>
                <w:lang w:eastAsia="zh-CN"/>
              </w:rPr>
            </w:pPr>
            <w:r>
              <w:rPr>
                <w:rFonts w:hint="eastAsia" w:ascii="黑体" w:hAnsi="黑体" w:eastAsia="黑体"/>
                <w:color w:val="auto"/>
                <w:kern w:val="0"/>
                <w:sz w:val="21"/>
                <w:szCs w:val="21"/>
              </w:rPr>
              <w:t>供应商</w:t>
            </w:r>
            <w:r>
              <w:rPr>
                <w:rFonts w:hint="eastAsia" w:ascii="黑体" w:hAnsi="黑体" w:eastAsia="黑体"/>
                <w:color w:val="auto"/>
                <w:kern w:val="0"/>
                <w:sz w:val="21"/>
                <w:szCs w:val="21"/>
                <w:lang w:val="en-US" w:eastAsia="zh-CN"/>
              </w:rPr>
              <w:t>3</w:t>
            </w:r>
          </w:p>
          <w:p w14:paraId="60CE2130">
            <w:pPr>
              <w:pStyle w:val="9"/>
              <w:keepNext w:val="0"/>
              <w:keepLines w:val="0"/>
              <w:pageBreakBefore w:val="0"/>
              <w:widowControl w:val="0"/>
              <w:kinsoku/>
              <w:wordWrap/>
              <w:overflowPunct/>
              <w:topLinePunct w:val="0"/>
              <w:autoSpaceDE/>
              <w:autoSpaceDN/>
              <w:bidi w:val="0"/>
              <w:spacing w:line="240" w:lineRule="atLeast"/>
              <w:jc w:val="center"/>
              <w:textAlignment w:val="auto"/>
              <w:rPr>
                <w:rFonts w:hint="eastAsia" w:ascii="仿宋_GB2312" w:hAnsi="仿宋_GB2312" w:eastAsia="仿宋_GB2312" w:cs="仿宋_GB2312"/>
                <w:color w:val="auto"/>
                <w:sz w:val="24"/>
                <w:szCs w:val="24"/>
                <w:highlight w:val="none"/>
              </w:rPr>
            </w:pPr>
            <w:r>
              <w:rPr>
                <w:rFonts w:hint="eastAsia" w:ascii="黑体" w:hAnsi="黑体" w:eastAsia="黑体"/>
                <w:color w:val="auto"/>
                <w:kern w:val="0"/>
                <w:sz w:val="21"/>
                <w:szCs w:val="21"/>
              </w:rPr>
              <w:t>得分（分）</w:t>
            </w:r>
          </w:p>
        </w:tc>
      </w:tr>
      <w:tr w14:paraId="59CA6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823" w:hRule="atLeast"/>
          <w:jc w:val="center"/>
        </w:trPr>
        <w:tc>
          <w:tcPr>
            <w:tcW w:w="1350" w:type="dxa"/>
            <w:vMerge w:val="restart"/>
            <w:tcBorders>
              <w:tl2br w:val="nil"/>
              <w:tr2bl w:val="nil"/>
            </w:tcBorders>
            <w:tcMar>
              <w:top w:w="60" w:type="dxa"/>
              <w:left w:w="120" w:type="dxa"/>
              <w:bottom w:w="30" w:type="dxa"/>
              <w:right w:w="120" w:type="dxa"/>
            </w:tcMar>
            <w:vAlign w:val="center"/>
          </w:tcPr>
          <w:p w14:paraId="4EF0796D">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价格分（</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分）</w:t>
            </w:r>
          </w:p>
        </w:tc>
        <w:tc>
          <w:tcPr>
            <w:tcW w:w="1233" w:type="dxa"/>
            <w:tcBorders>
              <w:tl2br w:val="nil"/>
              <w:tr2bl w:val="nil"/>
            </w:tcBorders>
            <w:tcMar>
              <w:top w:w="60" w:type="dxa"/>
              <w:left w:w="120" w:type="dxa"/>
              <w:bottom w:w="30" w:type="dxa"/>
              <w:right w:w="120" w:type="dxa"/>
            </w:tcMar>
            <w:vAlign w:val="center"/>
          </w:tcPr>
          <w:p w14:paraId="500DA2C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报价得分</w:t>
            </w:r>
          </w:p>
        </w:tc>
        <w:tc>
          <w:tcPr>
            <w:tcW w:w="827" w:type="dxa"/>
            <w:tcBorders>
              <w:tl2br w:val="nil"/>
              <w:tr2bl w:val="nil"/>
            </w:tcBorders>
            <w:tcMar>
              <w:top w:w="60" w:type="dxa"/>
              <w:left w:w="120" w:type="dxa"/>
              <w:bottom w:w="30" w:type="dxa"/>
              <w:right w:w="120" w:type="dxa"/>
            </w:tcMar>
            <w:vAlign w:val="center"/>
          </w:tcPr>
          <w:p w14:paraId="1B4CA021">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20</w:t>
            </w:r>
          </w:p>
        </w:tc>
        <w:tc>
          <w:tcPr>
            <w:tcW w:w="6878" w:type="dxa"/>
            <w:tcBorders>
              <w:tl2br w:val="nil"/>
              <w:tr2bl w:val="nil"/>
            </w:tcBorders>
            <w:tcMar>
              <w:top w:w="60" w:type="dxa"/>
              <w:left w:w="120" w:type="dxa"/>
              <w:bottom w:w="30" w:type="dxa"/>
              <w:right w:w="120" w:type="dxa"/>
            </w:tcMar>
            <w:vAlign w:val="center"/>
          </w:tcPr>
          <w:p w14:paraId="386852AC">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 w:eastAsia="仿宋_GB2312" w:cs="Times New Roman"/>
                <w:color w:val="auto"/>
                <w:sz w:val="24"/>
                <w:szCs w:val="24"/>
              </w:rPr>
              <w:t>采用低价优先法计算，即满足采购需求且报价最低的为基准价，该项价格得分为满分。其他供应商的价格得分统一按照下列公式计算：供应商价格得分</w:t>
            </w:r>
            <w:r>
              <w:rPr>
                <w:rFonts w:hint="eastAsia" w:ascii="仿宋_GB2312" w:hAnsi="仿宋" w:eastAsia="仿宋_GB2312" w:cs="Times New Roman"/>
                <w:color w:val="auto"/>
                <w:sz w:val="24"/>
                <w:szCs w:val="24"/>
                <w:lang w:val="en-US" w:eastAsia="zh-CN"/>
              </w:rPr>
              <w:t>=</w:t>
            </w:r>
            <w:bookmarkStart w:id="1" w:name="_GoBack"/>
            <w:bookmarkEnd w:id="1"/>
            <w:r>
              <w:rPr>
                <w:rFonts w:hint="eastAsia" w:ascii="仿宋_GB2312" w:hAnsi="仿宋" w:eastAsia="仿宋_GB2312" w:cs="Times New Roman"/>
                <w:color w:val="auto"/>
                <w:sz w:val="24"/>
                <w:szCs w:val="24"/>
              </w:rPr>
              <w:t>(基准价／报价)×</w:t>
            </w:r>
            <w:r>
              <w:rPr>
                <w:rFonts w:hint="eastAsia" w:ascii="仿宋_GB2312" w:hAnsi="仿宋" w:eastAsia="仿宋_GB2312" w:cs="Times New Roman"/>
                <w:color w:val="auto"/>
                <w:sz w:val="24"/>
                <w:szCs w:val="24"/>
                <w:lang w:val="en-US" w:eastAsia="zh-CN"/>
              </w:rPr>
              <w:t>20</w:t>
            </w:r>
            <w:r>
              <w:rPr>
                <w:rFonts w:hint="eastAsia" w:ascii="仿宋_GB2312" w:hAnsi="仿宋" w:eastAsia="仿宋_GB2312" w:cs="Times New Roman"/>
                <w:color w:val="auto"/>
                <w:sz w:val="24"/>
                <w:szCs w:val="24"/>
              </w:rPr>
              <w:t>，价格得分四舍五入后保留小数点后两位。</w:t>
            </w:r>
            <w:r>
              <w:rPr>
                <w:rFonts w:hint="eastAsia" w:ascii="仿宋_GB2312" w:hAnsi="仿宋_GB2312" w:eastAsia="仿宋_GB2312" w:cs="仿宋_GB2312"/>
                <w:color w:val="auto"/>
                <w:sz w:val="24"/>
                <w:szCs w:val="24"/>
                <w:highlight w:val="none"/>
              </w:rPr>
              <w:t>最低报价不是中标的唯一依据。</w:t>
            </w:r>
          </w:p>
        </w:tc>
        <w:tc>
          <w:tcPr>
            <w:tcW w:w="1444" w:type="dxa"/>
            <w:tcBorders>
              <w:tl2br w:val="nil"/>
              <w:tr2bl w:val="nil"/>
            </w:tcBorders>
            <w:tcMar>
              <w:top w:w="60" w:type="dxa"/>
              <w:left w:w="120" w:type="dxa"/>
              <w:bottom w:w="30" w:type="dxa"/>
              <w:right w:w="120" w:type="dxa"/>
            </w:tcMar>
            <w:vAlign w:val="center"/>
          </w:tcPr>
          <w:p w14:paraId="0ED0CAAB">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312" w:type="dxa"/>
            <w:tcBorders>
              <w:tl2br w:val="nil"/>
              <w:tr2bl w:val="nil"/>
            </w:tcBorders>
            <w:tcMar>
              <w:top w:w="60" w:type="dxa"/>
              <w:left w:w="120" w:type="dxa"/>
              <w:bottom w:w="30" w:type="dxa"/>
              <w:right w:w="120" w:type="dxa"/>
            </w:tcMar>
            <w:vAlign w:val="center"/>
          </w:tcPr>
          <w:p w14:paraId="574B536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561" w:type="dxa"/>
            <w:tcBorders>
              <w:tl2br w:val="nil"/>
              <w:tr2bl w:val="nil"/>
            </w:tcBorders>
            <w:tcMar>
              <w:top w:w="60" w:type="dxa"/>
              <w:left w:w="120" w:type="dxa"/>
              <w:bottom w:w="30" w:type="dxa"/>
              <w:right w:w="120" w:type="dxa"/>
            </w:tcMar>
            <w:vAlign w:val="center"/>
          </w:tcPr>
          <w:p w14:paraId="5F2F9D2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r>
      <w:tr w14:paraId="0A4E2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350" w:type="dxa"/>
            <w:vMerge w:val="continue"/>
            <w:tcBorders>
              <w:tl2br w:val="nil"/>
              <w:tr2bl w:val="nil"/>
            </w:tcBorders>
            <w:tcMar>
              <w:top w:w="60" w:type="dxa"/>
              <w:left w:w="120" w:type="dxa"/>
              <w:bottom w:w="30" w:type="dxa"/>
              <w:right w:w="120" w:type="dxa"/>
            </w:tcMar>
            <w:vAlign w:val="center"/>
          </w:tcPr>
          <w:p w14:paraId="6BFF7AA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tl2br w:val="nil"/>
              <w:tr2bl w:val="nil"/>
            </w:tcBorders>
            <w:tcMar>
              <w:top w:w="60" w:type="dxa"/>
              <w:left w:w="120" w:type="dxa"/>
              <w:bottom w:w="30" w:type="dxa"/>
              <w:right w:w="120" w:type="dxa"/>
            </w:tcMar>
            <w:vAlign w:val="center"/>
          </w:tcPr>
          <w:p w14:paraId="4D69F028">
            <w:pPr>
              <w:pStyle w:val="9"/>
              <w:spacing w:line="240" w:lineRule="auto"/>
              <w:jc w:val="center"/>
              <w:rPr>
                <w:rFonts w:hint="eastAsia" w:ascii="仿宋_GB2312" w:hAnsi="仿宋_GB2312" w:eastAsia="仿宋_GB2312" w:cs="仿宋_GB2312"/>
                <w:color w:val="auto"/>
                <w:sz w:val="24"/>
                <w:szCs w:val="24"/>
                <w:highlight w:val="none"/>
              </w:rPr>
            </w:pPr>
            <w:r>
              <w:rPr>
                <w:rFonts w:hint="eastAsia" w:ascii="仿宋_GB2312" w:hAnsi="仿宋" w:eastAsia="仿宋_GB2312" w:cs="Times New Roman"/>
                <w:color w:val="auto"/>
                <w:sz w:val="24"/>
                <w:szCs w:val="24"/>
                <w:lang w:eastAsia="zh-CN"/>
              </w:rPr>
              <w:t>报价材料得分</w:t>
            </w:r>
          </w:p>
        </w:tc>
        <w:tc>
          <w:tcPr>
            <w:tcW w:w="827" w:type="dxa"/>
            <w:tcBorders>
              <w:tl2br w:val="nil"/>
              <w:tr2bl w:val="nil"/>
            </w:tcBorders>
            <w:tcMar>
              <w:top w:w="60" w:type="dxa"/>
              <w:left w:w="120" w:type="dxa"/>
              <w:bottom w:w="30" w:type="dxa"/>
              <w:right w:w="120" w:type="dxa"/>
            </w:tcMar>
            <w:vAlign w:val="center"/>
          </w:tcPr>
          <w:p w14:paraId="5ECCFC2B">
            <w:pPr>
              <w:pStyle w:val="9"/>
              <w:spacing w:line="240" w:lineRule="auto"/>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 w:eastAsia="仿宋_GB2312" w:cs="Times New Roman"/>
                <w:color w:val="auto"/>
                <w:sz w:val="24"/>
                <w:szCs w:val="24"/>
                <w:lang w:val="en-US" w:eastAsia="zh-CN"/>
              </w:rPr>
              <w:t>10</w:t>
            </w:r>
          </w:p>
        </w:tc>
        <w:tc>
          <w:tcPr>
            <w:tcW w:w="6878" w:type="dxa"/>
            <w:tcBorders>
              <w:tl2br w:val="nil"/>
              <w:tr2bl w:val="nil"/>
            </w:tcBorders>
            <w:tcMar>
              <w:top w:w="60" w:type="dxa"/>
              <w:left w:w="120" w:type="dxa"/>
              <w:bottom w:w="30" w:type="dxa"/>
              <w:right w:w="120" w:type="dxa"/>
            </w:tcMar>
            <w:vAlign w:val="center"/>
          </w:tcPr>
          <w:p w14:paraId="167836E7">
            <w:pPr>
              <w:bidi w:val="0"/>
              <w:rPr>
                <w:rFonts w:hint="eastAsia" w:ascii="仿宋_GB2312" w:hAnsi="仿宋_GB2312" w:eastAsia="仿宋_GB2312" w:cs="仿宋_GB2312"/>
                <w:color w:val="auto"/>
                <w:sz w:val="24"/>
                <w:szCs w:val="24"/>
                <w:highlight w:val="none"/>
                <w:lang w:val="en-US" w:eastAsia="zh-CN"/>
              </w:rPr>
            </w:pPr>
            <w:r>
              <w:rPr>
                <w:rFonts w:hint="eastAsia" w:ascii="仿宋_GB2312" w:hAnsi="仿宋" w:eastAsia="仿宋_GB2312" w:cs="Times New Roman"/>
                <w:color w:val="auto"/>
                <w:sz w:val="24"/>
                <w:szCs w:val="24"/>
                <w:highlight w:val="none"/>
                <w:lang w:val="en-US" w:eastAsia="zh-CN"/>
              </w:rPr>
              <w:t xml:space="preserve"> </w:t>
            </w:r>
            <w:r>
              <w:rPr>
                <w:rFonts w:hint="eastAsia" w:ascii="仿宋_GB2312" w:hAnsi="仿宋" w:eastAsia="仿宋_GB2312" w:cs="Times New Roman"/>
                <w:color w:val="auto"/>
                <w:sz w:val="24"/>
                <w:szCs w:val="24"/>
                <w:highlight w:val="none"/>
                <w:lang w:eastAsia="zh-CN"/>
              </w:rPr>
              <w:t>报价材料应含：</w:t>
            </w:r>
            <w:r>
              <w:rPr>
                <w:rFonts w:hint="eastAsia" w:ascii="仿宋_GB2312" w:hAnsi="仿宋_GB2312" w:eastAsia="仿宋_GB2312" w:cs="仿宋_GB2312"/>
                <w:color w:val="auto"/>
                <w:sz w:val="24"/>
                <w:szCs w:val="24"/>
                <w:highlight w:val="none"/>
                <w:lang w:val="en-US" w:eastAsia="zh-CN"/>
              </w:rPr>
              <w:t>（一）报价函。报价为全包价，即包含高位视频监控服务、AI算法服务、人员培训、服务期运维（一年）、税费及其他相关费用等全部费用；（二）法定代表人身份证复印件、企业法人代表授权书及受托人身份证复印件；（三）《营业执照》及真实性承诺文件的扫描件；属于特许经营的，还须提供特许经营许可文件的扫描件；（四）评审方法要求的证书、资质文件、授权文件及方案文件（需提供盖章扫描件）；（五）未被列入“信用中国”“记录失信被执行人或重大税收违法案件当事人名单或政府采购严重违法失信行为”记录名单的截图；</w:t>
            </w:r>
            <w:r>
              <w:rPr>
                <w:rFonts w:hint="eastAsia" w:ascii="仿宋_GB2312" w:hAnsi="仿宋" w:eastAsia="仿宋_GB2312" w:cs="Times New Roman"/>
                <w:color w:val="auto"/>
                <w:sz w:val="24"/>
                <w:szCs w:val="24"/>
                <w:highlight w:val="none"/>
                <w:lang w:val="en-US" w:eastAsia="zh-CN"/>
              </w:rPr>
              <w:t>（六）相关资质（资格）或业绩证明材料；（七）以上资料复印件需加盖公章。</w:t>
            </w:r>
            <w:r>
              <w:rPr>
                <w:rFonts w:hint="eastAsia" w:ascii="仿宋_GB2312" w:hAnsi="仿宋" w:eastAsia="仿宋_GB2312" w:cs="Times New Roman"/>
                <w:color w:val="auto"/>
                <w:sz w:val="24"/>
                <w:szCs w:val="24"/>
                <w:highlight w:val="none"/>
                <w:lang w:eastAsia="zh-CN"/>
              </w:rPr>
              <w:t>缺一项扣</w:t>
            </w:r>
            <w:r>
              <w:rPr>
                <w:rFonts w:hint="eastAsia" w:ascii="仿宋_GB2312" w:hAnsi="仿宋" w:eastAsia="仿宋_GB2312" w:cs="Times New Roman"/>
                <w:color w:val="auto"/>
                <w:sz w:val="24"/>
                <w:szCs w:val="24"/>
                <w:highlight w:val="none"/>
                <w:lang w:val="en-US" w:eastAsia="zh-CN"/>
              </w:rPr>
              <w:t>1.5分。</w:t>
            </w:r>
          </w:p>
        </w:tc>
        <w:tc>
          <w:tcPr>
            <w:tcW w:w="1444" w:type="dxa"/>
            <w:tcBorders>
              <w:tl2br w:val="nil"/>
              <w:tr2bl w:val="nil"/>
            </w:tcBorders>
            <w:tcMar>
              <w:top w:w="60" w:type="dxa"/>
              <w:left w:w="120" w:type="dxa"/>
              <w:bottom w:w="30" w:type="dxa"/>
              <w:right w:w="120" w:type="dxa"/>
            </w:tcMar>
            <w:vAlign w:val="center"/>
          </w:tcPr>
          <w:p w14:paraId="7A96C1F2">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312" w:type="dxa"/>
            <w:tcBorders>
              <w:tl2br w:val="nil"/>
              <w:tr2bl w:val="nil"/>
            </w:tcBorders>
            <w:tcMar>
              <w:top w:w="60" w:type="dxa"/>
              <w:left w:w="120" w:type="dxa"/>
              <w:bottom w:w="30" w:type="dxa"/>
              <w:right w:w="120" w:type="dxa"/>
            </w:tcMar>
            <w:vAlign w:val="center"/>
          </w:tcPr>
          <w:p w14:paraId="057754E4">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561" w:type="dxa"/>
            <w:tcBorders>
              <w:tl2br w:val="nil"/>
              <w:tr2bl w:val="nil"/>
            </w:tcBorders>
            <w:tcMar>
              <w:top w:w="60" w:type="dxa"/>
              <w:left w:w="120" w:type="dxa"/>
              <w:bottom w:w="30" w:type="dxa"/>
              <w:right w:w="120" w:type="dxa"/>
            </w:tcMar>
            <w:vAlign w:val="center"/>
          </w:tcPr>
          <w:p w14:paraId="700F127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r>
      <w:tr w14:paraId="47976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43" w:hRule="atLeast"/>
          <w:jc w:val="center"/>
        </w:trPr>
        <w:tc>
          <w:tcPr>
            <w:tcW w:w="1350" w:type="dxa"/>
            <w:vMerge w:val="restart"/>
            <w:tcBorders>
              <w:tl2br w:val="nil"/>
              <w:tr2bl w:val="nil"/>
            </w:tcBorders>
            <w:tcMar>
              <w:top w:w="60" w:type="dxa"/>
              <w:left w:w="120" w:type="dxa"/>
              <w:bottom w:w="30" w:type="dxa"/>
              <w:right w:w="120" w:type="dxa"/>
            </w:tcMar>
            <w:vAlign w:val="center"/>
          </w:tcPr>
          <w:p w14:paraId="4575027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商务分</w:t>
            </w:r>
          </w:p>
          <w:p w14:paraId="7D2773AE">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分）</w:t>
            </w:r>
          </w:p>
        </w:tc>
        <w:tc>
          <w:tcPr>
            <w:tcW w:w="1233" w:type="dxa"/>
            <w:tcBorders>
              <w:tl2br w:val="nil"/>
              <w:tr2bl w:val="nil"/>
            </w:tcBorders>
            <w:tcMar>
              <w:top w:w="60" w:type="dxa"/>
              <w:left w:w="120" w:type="dxa"/>
              <w:bottom w:w="30" w:type="dxa"/>
              <w:right w:w="120" w:type="dxa"/>
            </w:tcMar>
            <w:vAlign w:val="center"/>
          </w:tcPr>
          <w:p w14:paraId="1E26468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供应商体系认证</w:t>
            </w:r>
          </w:p>
        </w:tc>
        <w:tc>
          <w:tcPr>
            <w:tcW w:w="827" w:type="dxa"/>
            <w:tcBorders>
              <w:tl2br w:val="nil"/>
              <w:tr2bl w:val="nil"/>
            </w:tcBorders>
            <w:tcMar>
              <w:top w:w="60" w:type="dxa"/>
              <w:left w:w="120" w:type="dxa"/>
              <w:bottom w:w="30" w:type="dxa"/>
              <w:right w:w="120" w:type="dxa"/>
            </w:tcMar>
            <w:vAlign w:val="center"/>
          </w:tcPr>
          <w:p w14:paraId="367DF9C4">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8"/>
                <w:szCs w:val="28"/>
                <w:highlight w:val="none"/>
                <w:lang w:val="en-US" w:eastAsia="zh-CN"/>
              </w:rPr>
            </w:pPr>
            <w:r>
              <w:rPr>
                <w:rFonts w:hint="eastAsia" w:ascii="仿宋_GB2312" w:hAnsi="仿宋_GB2312" w:eastAsia="仿宋_GB2312" w:cs="仿宋_GB2312"/>
                <w:color w:val="auto"/>
                <w:sz w:val="28"/>
                <w:szCs w:val="28"/>
                <w:highlight w:val="none"/>
                <w:lang w:val="en-US" w:eastAsia="zh-CN"/>
              </w:rPr>
              <w:t>3</w:t>
            </w:r>
          </w:p>
        </w:tc>
        <w:tc>
          <w:tcPr>
            <w:tcW w:w="6878" w:type="dxa"/>
            <w:tcBorders>
              <w:tl2br w:val="nil"/>
              <w:tr2bl w:val="nil"/>
            </w:tcBorders>
            <w:tcMar>
              <w:top w:w="60" w:type="dxa"/>
              <w:left w:w="120" w:type="dxa"/>
              <w:bottom w:w="30" w:type="dxa"/>
              <w:right w:w="120" w:type="dxa"/>
            </w:tcMar>
            <w:vAlign w:val="center"/>
          </w:tcPr>
          <w:p w14:paraId="29B5013E">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仿宋_GB2312" w:hAnsi="仿宋_GB2312" w:eastAsia="仿宋_GB2312" w:cs="仿宋_GB2312"/>
                <w:color w:val="auto"/>
                <w:sz w:val="24"/>
                <w:szCs w:val="24"/>
                <w:highlight w:val="none"/>
                <w:lang w:eastAsia="zh-CN"/>
              </w:rPr>
            </w:pPr>
            <w:r>
              <w:rPr>
                <w:rFonts w:hint="default" w:ascii="仿宋_GB2312" w:hAnsi="仿宋_GB2312" w:eastAsia="仿宋_GB2312" w:cs="仿宋_GB2312"/>
                <w:color w:val="auto"/>
                <w:sz w:val="24"/>
                <w:szCs w:val="24"/>
                <w:highlight w:val="none"/>
              </w:rPr>
              <w:t>供应商体系认证：供应商</w:t>
            </w:r>
            <w:r>
              <w:rPr>
                <w:rFonts w:hint="default" w:ascii="仿宋_GB2312" w:hAnsi="仿宋_GB2312" w:eastAsia="仿宋_GB2312" w:cs="仿宋_GB2312"/>
                <w:color w:val="auto"/>
                <w:sz w:val="24"/>
                <w:szCs w:val="24"/>
                <w:highlight w:val="none"/>
                <w:lang w:val="en-US" w:eastAsia="zh-CN"/>
              </w:rPr>
              <w:t>需同时</w:t>
            </w:r>
            <w:r>
              <w:rPr>
                <w:rFonts w:hint="default" w:ascii="仿宋_GB2312" w:hAnsi="仿宋_GB2312" w:eastAsia="仿宋_GB2312" w:cs="仿宋_GB2312"/>
                <w:color w:val="auto"/>
                <w:sz w:val="24"/>
                <w:szCs w:val="24"/>
                <w:highlight w:val="none"/>
              </w:rPr>
              <w:t>具备</w:t>
            </w:r>
            <w:r>
              <w:rPr>
                <w:rFonts w:hint="default" w:ascii="仿宋_GB2312" w:hAnsi="仿宋_GB2312" w:eastAsia="仿宋_GB2312" w:cs="仿宋_GB2312"/>
                <w:color w:val="auto"/>
                <w:sz w:val="24"/>
                <w:szCs w:val="24"/>
                <w:highlight w:val="none"/>
                <w:lang w:eastAsia="zh-CN"/>
              </w:rPr>
              <w:t>：</w:t>
            </w:r>
          </w:p>
          <w:p w14:paraId="1DF6DD18">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①</w:t>
            </w:r>
            <w:r>
              <w:rPr>
                <w:rFonts w:hint="default" w:ascii="仿宋_GB2312" w:hAnsi="仿宋_GB2312" w:eastAsia="仿宋_GB2312" w:cs="仿宋_GB2312"/>
                <w:color w:val="auto"/>
                <w:sz w:val="24"/>
                <w:szCs w:val="24"/>
                <w:highlight w:val="none"/>
              </w:rPr>
              <w:t>IS</w:t>
            </w:r>
            <w:r>
              <w:rPr>
                <w:rFonts w:hint="eastAsia" w:ascii="仿宋_GB2312" w:hAnsi="仿宋_GB2312" w:eastAsia="仿宋_GB2312" w:cs="仿宋_GB2312"/>
                <w:color w:val="auto"/>
                <w:sz w:val="24"/>
                <w:szCs w:val="24"/>
                <w:highlight w:val="none"/>
                <w:lang w:val="en-US" w:eastAsia="zh-CN"/>
              </w:rPr>
              <w:t>O</w:t>
            </w:r>
            <w:r>
              <w:rPr>
                <w:rFonts w:hint="default" w:ascii="仿宋_GB2312" w:hAnsi="仿宋_GB2312" w:eastAsia="仿宋_GB2312" w:cs="仿宋_GB2312"/>
                <w:color w:val="auto"/>
                <w:sz w:val="24"/>
                <w:szCs w:val="24"/>
                <w:highlight w:val="none"/>
              </w:rPr>
              <w:t>14001环境管理体系认证证书</w:t>
            </w:r>
            <w:r>
              <w:rPr>
                <w:rFonts w:hint="default" w:ascii="仿宋_GB2312" w:hAnsi="仿宋_GB2312" w:eastAsia="仿宋_GB2312" w:cs="仿宋_GB2312"/>
                <w:color w:val="auto"/>
                <w:sz w:val="24"/>
                <w:szCs w:val="24"/>
                <w:highlight w:val="none"/>
                <w:lang w:eastAsia="zh-CN"/>
              </w:rPr>
              <w:t>；</w:t>
            </w:r>
          </w:p>
          <w:p w14:paraId="799E6EC6">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②</w:t>
            </w:r>
            <w:r>
              <w:rPr>
                <w:rFonts w:hint="default" w:ascii="仿宋_GB2312" w:hAnsi="仿宋_GB2312" w:eastAsia="仿宋_GB2312" w:cs="仿宋_GB2312"/>
                <w:color w:val="auto"/>
                <w:sz w:val="24"/>
                <w:szCs w:val="24"/>
                <w:highlight w:val="none"/>
                <w:lang w:eastAsia="zh-CN"/>
              </w:rPr>
              <w:t>IS</w:t>
            </w:r>
            <w:r>
              <w:rPr>
                <w:rFonts w:hint="eastAsia" w:ascii="仿宋_GB2312" w:hAnsi="仿宋_GB2312" w:eastAsia="仿宋_GB2312" w:cs="仿宋_GB2312"/>
                <w:color w:val="auto"/>
                <w:sz w:val="24"/>
                <w:szCs w:val="24"/>
                <w:highlight w:val="none"/>
                <w:lang w:val="en-US" w:eastAsia="zh-CN"/>
              </w:rPr>
              <w:t>O</w:t>
            </w:r>
            <w:r>
              <w:rPr>
                <w:rFonts w:hint="default" w:ascii="仿宋_GB2312" w:hAnsi="仿宋_GB2312" w:eastAsia="仿宋_GB2312" w:cs="仿宋_GB2312"/>
                <w:color w:val="auto"/>
                <w:sz w:val="24"/>
                <w:szCs w:val="24"/>
                <w:highlight w:val="none"/>
                <w:lang w:eastAsia="zh-CN"/>
              </w:rPr>
              <w:t>20000信息技术服务管理体系认证证书；</w:t>
            </w:r>
          </w:p>
          <w:p w14:paraId="2E73E36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③</w:t>
            </w:r>
            <w:r>
              <w:rPr>
                <w:rFonts w:hint="default" w:ascii="仿宋_GB2312" w:hAnsi="仿宋_GB2312" w:eastAsia="仿宋_GB2312" w:cs="仿宋_GB2312"/>
                <w:color w:val="auto"/>
                <w:sz w:val="24"/>
                <w:szCs w:val="24"/>
                <w:highlight w:val="none"/>
                <w:lang w:eastAsia="zh-CN"/>
              </w:rPr>
              <w:t>IS</w:t>
            </w:r>
            <w:r>
              <w:rPr>
                <w:rFonts w:hint="eastAsia" w:ascii="仿宋_GB2312" w:hAnsi="仿宋_GB2312" w:eastAsia="仿宋_GB2312" w:cs="仿宋_GB2312"/>
                <w:color w:val="auto"/>
                <w:sz w:val="24"/>
                <w:szCs w:val="24"/>
                <w:highlight w:val="none"/>
                <w:lang w:val="en-US" w:eastAsia="zh-CN"/>
              </w:rPr>
              <w:t>O</w:t>
            </w:r>
            <w:r>
              <w:rPr>
                <w:rFonts w:hint="default" w:ascii="仿宋_GB2312" w:hAnsi="仿宋_GB2312" w:eastAsia="仿宋_GB2312" w:cs="仿宋_GB2312"/>
                <w:color w:val="auto"/>
                <w:sz w:val="24"/>
                <w:szCs w:val="24"/>
                <w:highlight w:val="none"/>
                <w:lang w:eastAsia="zh-CN"/>
              </w:rPr>
              <w:t>27001信息安全管理体系认证证书。</w:t>
            </w:r>
          </w:p>
          <w:p w14:paraId="5064A71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default" w:ascii="仿宋_GB2312" w:hAnsi="仿宋_GB2312" w:eastAsia="仿宋_GB2312" w:cs="仿宋_GB2312"/>
                <w:color w:val="auto"/>
                <w:sz w:val="24"/>
                <w:szCs w:val="24"/>
                <w:highlight w:val="none"/>
              </w:rPr>
            </w:pPr>
            <w:r>
              <w:rPr>
                <w:rFonts w:hint="default" w:ascii="仿宋_GB2312" w:hAnsi="仿宋_GB2312" w:eastAsia="仿宋_GB2312" w:cs="仿宋_GB2312"/>
                <w:color w:val="auto"/>
                <w:sz w:val="24"/>
                <w:szCs w:val="24"/>
                <w:highlight w:val="none"/>
                <w:lang w:val="en-US" w:eastAsia="zh-CN"/>
              </w:rPr>
              <w:t>每项得1分，本项最高得</w:t>
            </w:r>
            <w:r>
              <w:rPr>
                <w:rFonts w:hint="eastAsia" w:ascii="仿宋_GB2312" w:hAnsi="仿宋_GB2312" w:eastAsia="仿宋_GB2312" w:cs="仿宋_GB2312"/>
                <w:color w:val="auto"/>
                <w:sz w:val="24"/>
                <w:szCs w:val="24"/>
                <w:highlight w:val="none"/>
                <w:lang w:val="en-US" w:eastAsia="zh-CN"/>
              </w:rPr>
              <w:t>3</w:t>
            </w:r>
            <w:r>
              <w:rPr>
                <w:rFonts w:hint="default" w:ascii="仿宋_GB2312" w:hAnsi="仿宋_GB2312" w:eastAsia="仿宋_GB2312" w:cs="仿宋_GB2312"/>
                <w:color w:val="auto"/>
                <w:sz w:val="24"/>
                <w:szCs w:val="24"/>
                <w:highlight w:val="none"/>
              </w:rPr>
              <w:t>分。</w:t>
            </w:r>
          </w:p>
          <w:p w14:paraId="76476A9B">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rPr>
            </w:pPr>
            <w:r>
              <w:rPr>
                <w:rFonts w:hint="default" w:ascii="仿宋_GB2312" w:hAnsi="仿宋_GB2312" w:eastAsia="仿宋_GB2312" w:cs="仿宋_GB2312"/>
                <w:color w:val="auto"/>
                <w:sz w:val="24"/>
                <w:szCs w:val="24"/>
                <w:highlight w:val="none"/>
              </w:rPr>
              <w:t>注：需提供有效证书复印件及全国认证认可信息公共服务平台查询截图，证书状态为“有效”，</w:t>
            </w:r>
            <w:r>
              <w:rPr>
                <w:rFonts w:hint="default" w:ascii="仿宋_GB2312" w:hAnsi="仿宋_GB2312" w:eastAsia="仿宋_GB2312" w:cs="仿宋_GB2312"/>
                <w:color w:val="auto"/>
                <w:sz w:val="24"/>
                <w:szCs w:val="24"/>
                <w:highlight w:val="none"/>
                <w:lang w:val="en-US" w:eastAsia="zh-CN"/>
              </w:rPr>
              <w:t>无提供不得分。</w:t>
            </w:r>
          </w:p>
        </w:tc>
        <w:tc>
          <w:tcPr>
            <w:tcW w:w="1444" w:type="dxa"/>
            <w:tcBorders>
              <w:tl2br w:val="nil"/>
              <w:tr2bl w:val="nil"/>
            </w:tcBorders>
            <w:tcMar>
              <w:top w:w="60" w:type="dxa"/>
              <w:left w:w="120" w:type="dxa"/>
              <w:bottom w:w="30" w:type="dxa"/>
              <w:right w:w="120" w:type="dxa"/>
            </w:tcMar>
            <w:vAlign w:val="center"/>
          </w:tcPr>
          <w:p w14:paraId="14F67B2C">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312" w:type="dxa"/>
            <w:tcBorders>
              <w:tl2br w:val="nil"/>
              <w:tr2bl w:val="nil"/>
            </w:tcBorders>
            <w:tcMar>
              <w:top w:w="60" w:type="dxa"/>
              <w:left w:w="120" w:type="dxa"/>
              <w:bottom w:w="30" w:type="dxa"/>
              <w:right w:w="120" w:type="dxa"/>
            </w:tcMar>
            <w:vAlign w:val="center"/>
          </w:tcPr>
          <w:p w14:paraId="7EFC098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561" w:type="dxa"/>
            <w:tcBorders>
              <w:tl2br w:val="nil"/>
              <w:tr2bl w:val="nil"/>
            </w:tcBorders>
            <w:tcMar>
              <w:top w:w="60" w:type="dxa"/>
              <w:left w:w="120" w:type="dxa"/>
              <w:bottom w:w="30" w:type="dxa"/>
              <w:right w:w="120" w:type="dxa"/>
            </w:tcMar>
            <w:vAlign w:val="center"/>
          </w:tcPr>
          <w:p w14:paraId="3918CE04">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r>
      <w:tr w14:paraId="7F3F1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800" w:hRule="atLeast"/>
          <w:jc w:val="center"/>
        </w:trPr>
        <w:tc>
          <w:tcPr>
            <w:tcW w:w="1350" w:type="dxa"/>
            <w:vMerge w:val="continue"/>
            <w:tcBorders>
              <w:tl2br w:val="nil"/>
              <w:tr2bl w:val="nil"/>
            </w:tcBorders>
            <w:tcMar>
              <w:top w:w="60" w:type="dxa"/>
              <w:left w:w="120" w:type="dxa"/>
              <w:bottom w:w="30" w:type="dxa"/>
              <w:right w:w="120" w:type="dxa"/>
            </w:tcMar>
            <w:vAlign w:val="center"/>
          </w:tcPr>
          <w:p w14:paraId="6842E3F8">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tl2br w:val="nil"/>
              <w:tr2bl w:val="nil"/>
            </w:tcBorders>
            <w:tcMar>
              <w:top w:w="60" w:type="dxa"/>
              <w:left w:w="120" w:type="dxa"/>
              <w:bottom w:w="30" w:type="dxa"/>
              <w:right w:w="120" w:type="dxa"/>
            </w:tcMar>
            <w:vAlign w:val="center"/>
          </w:tcPr>
          <w:p w14:paraId="5E860B76">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项目团队人员配置</w:t>
            </w:r>
          </w:p>
        </w:tc>
        <w:tc>
          <w:tcPr>
            <w:tcW w:w="827" w:type="dxa"/>
            <w:tcBorders>
              <w:tl2br w:val="nil"/>
              <w:tr2bl w:val="nil"/>
            </w:tcBorders>
            <w:tcMar>
              <w:top w:w="60" w:type="dxa"/>
              <w:left w:w="120" w:type="dxa"/>
              <w:bottom w:w="30" w:type="dxa"/>
              <w:right w:w="120" w:type="dxa"/>
            </w:tcMar>
            <w:vAlign w:val="center"/>
          </w:tcPr>
          <w:p w14:paraId="2994AA33">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8"/>
                <w:szCs w:val="28"/>
                <w:highlight w:val="none"/>
                <w:lang w:val="en-US" w:eastAsia="zh-CN"/>
              </w:rPr>
              <w:t>8</w:t>
            </w:r>
          </w:p>
        </w:tc>
        <w:tc>
          <w:tcPr>
            <w:tcW w:w="6878" w:type="dxa"/>
            <w:tcBorders>
              <w:tl2br w:val="nil"/>
              <w:tr2bl w:val="nil"/>
            </w:tcBorders>
            <w:tcMar>
              <w:top w:w="60" w:type="dxa"/>
              <w:left w:w="120" w:type="dxa"/>
              <w:bottom w:w="30" w:type="dxa"/>
              <w:right w:w="120" w:type="dxa"/>
            </w:tcMar>
            <w:vAlign w:val="center"/>
          </w:tcPr>
          <w:p w14:paraId="04CFEC8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项目团队人员配置：</w:t>
            </w:r>
          </w:p>
          <w:p w14:paraId="2004B3D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1）供应商</w:t>
            </w:r>
            <w:r>
              <w:rPr>
                <w:rFonts w:hint="eastAsia" w:ascii="仿宋_GB2312" w:hAnsi="仿宋_GB2312" w:eastAsia="仿宋_GB2312" w:cs="仿宋_GB2312"/>
                <w:color w:val="auto"/>
                <w:sz w:val="24"/>
                <w:szCs w:val="24"/>
                <w:highlight w:val="none"/>
              </w:rPr>
              <w:t>拟派的项目负责人</w:t>
            </w:r>
            <w:r>
              <w:rPr>
                <w:rFonts w:hint="eastAsia" w:ascii="仿宋_GB2312" w:hAnsi="仿宋_GB2312" w:eastAsia="仿宋_GB2312" w:cs="仿宋_GB2312"/>
                <w:color w:val="auto"/>
                <w:sz w:val="24"/>
                <w:szCs w:val="24"/>
                <w:highlight w:val="none"/>
                <w:lang w:val="en-US" w:eastAsia="zh-CN"/>
              </w:rPr>
              <w:t>1人</w:t>
            </w:r>
            <w:r>
              <w:rPr>
                <w:rFonts w:hint="eastAsia" w:ascii="仿宋_GB2312" w:hAnsi="仿宋_GB2312" w:eastAsia="仿宋_GB2312" w:cs="仿宋_GB2312"/>
                <w:color w:val="auto"/>
                <w:sz w:val="24"/>
                <w:szCs w:val="24"/>
                <w:highlight w:val="none"/>
                <w:lang w:eastAsia="zh-CN"/>
              </w:rPr>
              <w:t>，</w:t>
            </w:r>
            <w:r>
              <w:rPr>
                <w:rFonts w:hint="eastAsia" w:ascii="仿宋_GB2312" w:hAnsi="仿宋" w:eastAsia="仿宋_GB2312" w:cs="Times New Roman"/>
                <w:color w:val="auto"/>
                <w:sz w:val="24"/>
                <w:szCs w:val="24"/>
                <w:highlight w:val="none"/>
              </w:rPr>
              <w:t>具有环境、通信、电子、信息等相关专业</w:t>
            </w:r>
            <w:r>
              <w:rPr>
                <w:rFonts w:hint="eastAsia" w:ascii="仿宋_GB2312" w:hAnsi="仿宋" w:eastAsia="仿宋_GB2312" w:cs="Times New Roman"/>
                <w:color w:val="auto"/>
                <w:sz w:val="24"/>
                <w:szCs w:val="24"/>
                <w:highlight w:val="none"/>
                <w:lang w:val="en-US" w:eastAsia="zh-CN"/>
              </w:rPr>
              <w:t>高级</w:t>
            </w:r>
            <w:r>
              <w:rPr>
                <w:rFonts w:hint="eastAsia" w:ascii="仿宋_GB2312" w:hAnsi="仿宋" w:eastAsia="仿宋_GB2312" w:cs="Times New Roman"/>
                <w:color w:val="auto"/>
                <w:sz w:val="24"/>
                <w:szCs w:val="24"/>
                <w:highlight w:val="none"/>
              </w:rPr>
              <w:t>职称的（人社部</w:t>
            </w:r>
            <w:r>
              <w:rPr>
                <w:rFonts w:hint="eastAsia" w:ascii="仿宋_GB2312" w:hAnsi="仿宋" w:eastAsia="仿宋_GB2312" w:cs="Times New Roman"/>
                <w:color w:val="auto"/>
                <w:sz w:val="24"/>
                <w:szCs w:val="24"/>
                <w:highlight w:val="none"/>
                <w:lang w:val="en-US" w:eastAsia="zh-CN"/>
              </w:rPr>
              <w:t>或</w:t>
            </w:r>
            <w:r>
              <w:rPr>
                <w:rFonts w:hint="eastAsia" w:ascii="仿宋_GB2312" w:hAnsi="仿宋" w:eastAsia="仿宋_GB2312" w:cs="Times New Roman"/>
                <w:color w:val="auto"/>
                <w:sz w:val="24"/>
                <w:szCs w:val="24"/>
                <w:highlight w:val="none"/>
              </w:rPr>
              <w:t>工信部颁发</w:t>
            </w:r>
            <w:r>
              <w:rPr>
                <w:rFonts w:hint="eastAsia" w:ascii="仿宋_GB2312" w:hAnsi="仿宋" w:eastAsia="仿宋_GB2312" w:cs="Times New Roman"/>
                <w:color w:val="auto"/>
                <w:sz w:val="24"/>
                <w:szCs w:val="24"/>
                <w:highlight w:val="none"/>
                <w:lang w:eastAsia="zh-CN"/>
              </w:rPr>
              <w:t>，</w:t>
            </w:r>
            <w:r>
              <w:rPr>
                <w:rFonts w:hint="eastAsia" w:ascii="仿宋_GB2312" w:hAnsi="仿宋" w:eastAsia="仿宋_GB2312" w:cs="Times New Roman"/>
                <w:color w:val="auto"/>
                <w:sz w:val="24"/>
                <w:szCs w:val="24"/>
                <w:highlight w:val="none"/>
              </w:rPr>
              <w:t>须提供相关证书扫描件</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本小项可得4分；</w:t>
            </w:r>
          </w:p>
          <w:p w14:paraId="521727E4">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2）针对</w:t>
            </w:r>
            <w:r>
              <w:rPr>
                <w:rFonts w:hint="eastAsia" w:ascii="仿宋_GB2312" w:hAnsi="仿宋_GB2312" w:eastAsia="仿宋_GB2312" w:cs="仿宋_GB2312"/>
                <w:color w:val="auto"/>
                <w:sz w:val="24"/>
                <w:szCs w:val="24"/>
                <w:highlight w:val="none"/>
              </w:rPr>
              <w:t>饮用水水源地</w:t>
            </w:r>
            <w:r>
              <w:rPr>
                <w:rFonts w:hint="eastAsia" w:ascii="仿宋_GB2312" w:hAnsi="仿宋_GB2312" w:eastAsia="仿宋_GB2312" w:cs="仿宋_GB2312"/>
                <w:color w:val="auto"/>
                <w:sz w:val="24"/>
                <w:szCs w:val="24"/>
                <w:highlight w:val="none"/>
                <w:lang w:val="en-US" w:eastAsia="zh-CN"/>
              </w:rPr>
              <w:t>视频</w:t>
            </w:r>
            <w:r>
              <w:rPr>
                <w:rFonts w:hint="eastAsia" w:ascii="仿宋_GB2312" w:hAnsi="仿宋_GB2312" w:eastAsia="仿宋_GB2312" w:cs="仿宋_GB2312"/>
                <w:color w:val="auto"/>
                <w:sz w:val="24"/>
                <w:szCs w:val="24"/>
                <w:highlight w:val="none"/>
              </w:rPr>
              <w:t>监控</w:t>
            </w:r>
            <w:r>
              <w:rPr>
                <w:rFonts w:hint="eastAsia" w:ascii="仿宋_GB2312" w:hAnsi="仿宋_GB2312" w:eastAsia="仿宋_GB2312" w:cs="仿宋_GB2312"/>
                <w:color w:val="auto"/>
                <w:sz w:val="24"/>
                <w:szCs w:val="24"/>
                <w:highlight w:val="none"/>
                <w:lang w:val="en-US" w:eastAsia="zh-CN"/>
              </w:rPr>
              <w:t>服务方面</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技术团队中具有同类项目工作经验的，</w:t>
            </w:r>
            <w:r>
              <w:rPr>
                <w:rFonts w:hint="eastAsia" w:ascii="仿宋_GB2312" w:hAnsi="仿宋_GB2312" w:eastAsia="仿宋_GB2312" w:cs="仿宋_GB2312"/>
                <w:color w:val="auto"/>
                <w:sz w:val="24"/>
                <w:szCs w:val="24"/>
                <w:highlight w:val="none"/>
              </w:rPr>
              <w:t>须提供相关证明材料（如项目验收报告中体现负责人信息的页面、</w:t>
            </w:r>
            <w:r>
              <w:rPr>
                <w:rFonts w:hint="eastAsia" w:ascii="仿宋_GB2312" w:hAnsi="仿宋_GB2312" w:eastAsia="仿宋_GB2312" w:cs="仿宋_GB2312"/>
                <w:color w:val="auto"/>
                <w:sz w:val="24"/>
                <w:szCs w:val="24"/>
                <w:highlight w:val="none"/>
                <w:lang w:val="en-US" w:eastAsia="zh-CN"/>
              </w:rPr>
              <w:t>合同项目负责人、</w:t>
            </w:r>
            <w:r>
              <w:rPr>
                <w:rFonts w:hint="eastAsia" w:ascii="仿宋_GB2312" w:hAnsi="仿宋_GB2312" w:eastAsia="仿宋_GB2312" w:cs="仿宋_GB2312"/>
                <w:color w:val="auto"/>
                <w:sz w:val="24"/>
                <w:szCs w:val="24"/>
                <w:highlight w:val="none"/>
              </w:rPr>
              <w:t>业主证明等）</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本小项可得4分；</w:t>
            </w:r>
          </w:p>
          <w:p w14:paraId="4A6391E2">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注：1）同一人不重复计分；2）须同时提供由供应商统一</w:t>
            </w:r>
            <w:r>
              <w:rPr>
                <w:rFonts w:hint="eastAsia" w:ascii="仿宋_GB2312" w:hAnsi="仿宋_GB2312" w:eastAsia="仿宋_GB2312" w:cs="仿宋_GB2312"/>
                <w:color w:val="auto"/>
                <w:sz w:val="24"/>
                <w:szCs w:val="24"/>
                <w:highlight w:val="none"/>
              </w:rPr>
              <w:t>缴纳社会保险的证明资料扫描（提供报名截止日前三个月内任意一个月），否则不得分。</w:t>
            </w:r>
          </w:p>
        </w:tc>
        <w:tc>
          <w:tcPr>
            <w:tcW w:w="1444" w:type="dxa"/>
            <w:tcBorders>
              <w:tl2br w:val="nil"/>
              <w:tr2bl w:val="nil"/>
            </w:tcBorders>
            <w:tcMar>
              <w:top w:w="60" w:type="dxa"/>
              <w:left w:w="120" w:type="dxa"/>
              <w:bottom w:w="30" w:type="dxa"/>
              <w:right w:w="120" w:type="dxa"/>
            </w:tcMar>
            <w:vAlign w:val="center"/>
          </w:tcPr>
          <w:p w14:paraId="41C5CA0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p>
        </w:tc>
        <w:tc>
          <w:tcPr>
            <w:tcW w:w="1312" w:type="dxa"/>
            <w:tcBorders>
              <w:tl2br w:val="nil"/>
              <w:tr2bl w:val="nil"/>
            </w:tcBorders>
            <w:tcMar>
              <w:top w:w="60" w:type="dxa"/>
              <w:left w:w="120" w:type="dxa"/>
              <w:bottom w:w="30" w:type="dxa"/>
              <w:right w:w="120" w:type="dxa"/>
            </w:tcMar>
            <w:vAlign w:val="center"/>
          </w:tcPr>
          <w:p w14:paraId="2F6FEFD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p>
        </w:tc>
        <w:tc>
          <w:tcPr>
            <w:tcW w:w="1561" w:type="dxa"/>
            <w:tcBorders>
              <w:tl2br w:val="nil"/>
              <w:tr2bl w:val="nil"/>
            </w:tcBorders>
            <w:tcMar>
              <w:top w:w="60" w:type="dxa"/>
              <w:left w:w="120" w:type="dxa"/>
              <w:bottom w:w="30" w:type="dxa"/>
              <w:right w:w="120" w:type="dxa"/>
            </w:tcMar>
            <w:vAlign w:val="center"/>
          </w:tcPr>
          <w:p w14:paraId="672AEA81">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p>
        </w:tc>
      </w:tr>
      <w:tr w14:paraId="181F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24" w:hRule="atLeast"/>
          <w:jc w:val="center"/>
        </w:trPr>
        <w:tc>
          <w:tcPr>
            <w:tcW w:w="1350" w:type="dxa"/>
            <w:vMerge w:val="continue"/>
            <w:tcBorders>
              <w:tl2br w:val="nil"/>
              <w:tr2bl w:val="nil"/>
            </w:tcBorders>
            <w:tcMar>
              <w:top w:w="60" w:type="dxa"/>
              <w:left w:w="120" w:type="dxa"/>
              <w:bottom w:w="30" w:type="dxa"/>
              <w:right w:w="120" w:type="dxa"/>
            </w:tcMar>
            <w:vAlign w:val="center"/>
          </w:tcPr>
          <w:p w14:paraId="033BAC8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tl2br w:val="nil"/>
              <w:tr2bl w:val="nil"/>
            </w:tcBorders>
            <w:shd w:val="clear" w:color="auto" w:fill="auto"/>
            <w:tcMar>
              <w:top w:w="60" w:type="dxa"/>
              <w:left w:w="120" w:type="dxa"/>
              <w:bottom w:w="30" w:type="dxa"/>
              <w:right w:w="120" w:type="dxa"/>
            </w:tcMar>
            <w:vAlign w:val="center"/>
          </w:tcPr>
          <w:p w14:paraId="07004BD1">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rPr>
              <w:t>供应商业绩情况</w:t>
            </w:r>
          </w:p>
        </w:tc>
        <w:tc>
          <w:tcPr>
            <w:tcW w:w="827" w:type="dxa"/>
            <w:tcBorders>
              <w:tl2br w:val="nil"/>
              <w:tr2bl w:val="nil"/>
            </w:tcBorders>
            <w:shd w:val="clear" w:color="auto" w:fill="auto"/>
            <w:tcMar>
              <w:top w:w="60" w:type="dxa"/>
              <w:left w:w="120" w:type="dxa"/>
              <w:bottom w:w="30" w:type="dxa"/>
              <w:right w:w="120" w:type="dxa"/>
            </w:tcMar>
            <w:vAlign w:val="center"/>
          </w:tcPr>
          <w:p w14:paraId="364C5CDC">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9</w:t>
            </w:r>
          </w:p>
        </w:tc>
        <w:tc>
          <w:tcPr>
            <w:tcW w:w="6878" w:type="dxa"/>
            <w:tcBorders>
              <w:tl2br w:val="nil"/>
              <w:tr2bl w:val="nil"/>
            </w:tcBorders>
            <w:shd w:val="clear" w:color="auto" w:fill="auto"/>
            <w:tcMar>
              <w:top w:w="60" w:type="dxa"/>
              <w:left w:w="120" w:type="dxa"/>
              <w:bottom w:w="30" w:type="dxa"/>
              <w:right w:w="120" w:type="dxa"/>
            </w:tcMar>
            <w:vAlign w:val="center"/>
          </w:tcPr>
          <w:p w14:paraId="6AA39D2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供应商业绩情况：供应商202</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月1日（以合同签订时间为准）至今完成</w:t>
            </w:r>
            <w:r>
              <w:rPr>
                <w:rFonts w:hint="eastAsia" w:ascii="仿宋_GB2312" w:hAnsi="仿宋_GB2312" w:eastAsia="仿宋_GB2312" w:cs="仿宋_GB2312"/>
                <w:color w:val="auto"/>
                <w:sz w:val="24"/>
                <w:szCs w:val="24"/>
                <w:highlight w:val="none"/>
                <w:lang w:val="en-US" w:eastAsia="zh-CN"/>
              </w:rPr>
              <w:t>以下相似类型项目业绩情况：</w:t>
            </w:r>
          </w:p>
          <w:p w14:paraId="48915629">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①饮用水水源地保护；</w:t>
            </w:r>
          </w:p>
          <w:p w14:paraId="2A41E21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②全域感知</w:t>
            </w:r>
            <w:r>
              <w:rPr>
                <w:rFonts w:hint="eastAsia" w:ascii="仿宋_GB2312" w:hAnsi="仿宋_GB2312" w:eastAsia="仿宋_GB2312" w:cs="仿宋_GB2312"/>
                <w:color w:val="auto"/>
                <w:sz w:val="24"/>
                <w:szCs w:val="24"/>
                <w:highlight w:val="none"/>
                <w:lang w:eastAsia="zh-CN"/>
              </w:rPr>
              <w:t>；</w:t>
            </w:r>
          </w:p>
          <w:p w14:paraId="56160A1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③环保监控类。</w:t>
            </w:r>
          </w:p>
          <w:p w14:paraId="3046847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每提供</w:t>
            </w:r>
            <w:r>
              <w:rPr>
                <w:rFonts w:hint="eastAsia" w:ascii="仿宋_GB2312" w:hAnsi="仿宋_GB2312" w:eastAsia="仿宋_GB2312" w:cs="仿宋_GB2312"/>
                <w:color w:val="auto"/>
                <w:sz w:val="24"/>
                <w:szCs w:val="24"/>
                <w:highlight w:val="none"/>
                <w:lang w:val="en-US" w:eastAsia="zh-CN"/>
              </w:rPr>
              <w:t>一种类型案例得3</w:t>
            </w:r>
            <w:r>
              <w:rPr>
                <w:rFonts w:hint="eastAsia" w:ascii="仿宋_GB2312" w:hAnsi="仿宋_GB2312" w:eastAsia="仿宋_GB2312" w:cs="仿宋_GB2312"/>
                <w:color w:val="auto"/>
                <w:sz w:val="24"/>
                <w:szCs w:val="24"/>
                <w:highlight w:val="none"/>
              </w:rPr>
              <w:t>分</w:t>
            </w:r>
            <w:r>
              <w:rPr>
                <w:rFonts w:hint="eastAsia" w:ascii="仿宋_GB2312" w:hAnsi="仿宋_GB2312" w:eastAsia="仿宋_GB2312" w:cs="仿宋_GB2312"/>
                <w:color w:val="auto"/>
                <w:sz w:val="24"/>
                <w:szCs w:val="24"/>
                <w:highlight w:val="none"/>
                <w:lang w:val="en-US" w:eastAsia="zh-CN"/>
              </w:rPr>
              <w:t>，本项</w:t>
            </w:r>
            <w:r>
              <w:rPr>
                <w:rFonts w:hint="eastAsia" w:ascii="仿宋_GB2312" w:hAnsi="仿宋_GB2312" w:eastAsia="仿宋_GB2312" w:cs="仿宋_GB2312"/>
                <w:color w:val="auto"/>
                <w:sz w:val="24"/>
                <w:szCs w:val="24"/>
                <w:highlight w:val="none"/>
              </w:rPr>
              <w:t>最高得</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分。</w:t>
            </w:r>
          </w:p>
          <w:p w14:paraId="411B99C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注：</w:t>
            </w:r>
            <w:r>
              <w:rPr>
                <w:rFonts w:hint="eastAsia" w:ascii="仿宋_GB2312" w:hAnsi="仿宋_GB2312" w:eastAsia="仿宋_GB2312" w:cs="仿宋_GB2312"/>
                <w:color w:val="auto"/>
                <w:sz w:val="24"/>
                <w:szCs w:val="24"/>
                <w:highlight w:val="none"/>
                <w:lang w:val="en-US" w:eastAsia="zh-CN"/>
              </w:rPr>
              <w:t>1）同类型案例不重复计分；2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需提供合同关键页复印件（加盖公章），缺少材料视为无效业绩</w:t>
            </w:r>
            <w:r>
              <w:rPr>
                <w:rFonts w:hint="eastAsia" w:ascii="仿宋_GB2312" w:hAnsi="仿宋_GB2312" w:eastAsia="仿宋_GB2312" w:cs="仿宋_GB2312"/>
                <w:color w:val="auto"/>
                <w:sz w:val="24"/>
                <w:szCs w:val="24"/>
                <w:highlight w:val="none"/>
                <w:lang w:eastAsia="zh-CN"/>
              </w:rPr>
              <w:t>；</w:t>
            </w:r>
          </w:p>
        </w:tc>
        <w:tc>
          <w:tcPr>
            <w:tcW w:w="1444" w:type="dxa"/>
            <w:tcBorders>
              <w:tl2br w:val="nil"/>
              <w:tr2bl w:val="nil"/>
            </w:tcBorders>
            <w:shd w:val="clear" w:color="auto" w:fill="auto"/>
            <w:tcMar>
              <w:top w:w="60" w:type="dxa"/>
              <w:left w:w="120" w:type="dxa"/>
              <w:bottom w:w="30" w:type="dxa"/>
              <w:right w:w="120" w:type="dxa"/>
            </w:tcMar>
            <w:vAlign w:val="center"/>
          </w:tcPr>
          <w:p w14:paraId="1EABC454">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p>
        </w:tc>
        <w:tc>
          <w:tcPr>
            <w:tcW w:w="1312" w:type="dxa"/>
            <w:tcBorders>
              <w:tl2br w:val="nil"/>
              <w:tr2bl w:val="nil"/>
            </w:tcBorders>
            <w:shd w:val="clear" w:color="auto" w:fill="auto"/>
            <w:tcMar>
              <w:top w:w="60" w:type="dxa"/>
              <w:left w:w="120" w:type="dxa"/>
              <w:bottom w:w="30" w:type="dxa"/>
              <w:right w:w="120" w:type="dxa"/>
            </w:tcMar>
            <w:vAlign w:val="center"/>
          </w:tcPr>
          <w:p w14:paraId="343FA61C">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p>
        </w:tc>
        <w:tc>
          <w:tcPr>
            <w:tcW w:w="1561" w:type="dxa"/>
            <w:tcBorders>
              <w:tl2br w:val="nil"/>
              <w:tr2bl w:val="nil"/>
            </w:tcBorders>
            <w:shd w:val="clear" w:color="auto" w:fill="auto"/>
            <w:tcMar>
              <w:top w:w="60" w:type="dxa"/>
              <w:left w:w="120" w:type="dxa"/>
              <w:bottom w:w="30" w:type="dxa"/>
              <w:right w:w="120" w:type="dxa"/>
            </w:tcMar>
            <w:vAlign w:val="center"/>
          </w:tcPr>
          <w:p w14:paraId="51694F4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rPr>
            </w:pPr>
          </w:p>
        </w:tc>
      </w:tr>
      <w:tr w14:paraId="1685E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224" w:hRule="atLeast"/>
          <w:jc w:val="center"/>
        </w:trPr>
        <w:tc>
          <w:tcPr>
            <w:tcW w:w="1350" w:type="dxa"/>
            <w:vMerge w:val="continue"/>
            <w:tcBorders>
              <w:bottom w:val="single" w:color="auto" w:sz="4" w:space="0"/>
              <w:tl2br w:val="nil"/>
              <w:tr2bl w:val="nil"/>
            </w:tcBorders>
            <w:tcMar>
              <w:top w:w="60" w:type="dxa"/>
              <w:left w:w="120" w:type="dxa"/>
              <w:bottom w:w="30" w:type="dxa"/>
              <w:right w:w="120" w:type="dxa"/>
            </w:tcMar>
            <w:vAlign w:val="center"/>
          </w:tcPr>
          <w:p w14:paraId="7F0E9845">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bottom w:val="single" w:color="auto" w:sz="4" w:space="0"/>
              <w:tl2br w:val="nil"/>
              <w:tr2bl w:val="nil"/>
            </w:tcBorders>
            <w:shd w:val="clear" w:color="auto" w:fill="auto"/>
            <w:tcMar>
              <w:top w:w="60" w:type="dxa"/>
              <w:left w:w="120" w:type="dxa"/>
              <w:bottom w:w="30" w:type="dxa"/>
              <w:right w:w="120" w:type="dxa"/>
            </w:tcMar>
            <w:vAlign w:val="center"/>
          </w:tcPr>
          <w:p w14:paraId="70C3549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rPr>
              <w:t>视频监控高点点位</w:t>
            </w:r>
          </w:p>
        </w:tc>
        <w:tc>
          <w:tcPr>
            <w:tcW w:w="827" w:type="dxa"/>
            <w:tcBorders>
              <w:bottom w:val="single" w:color="auto" w:sz="4" w:space="0"/>
              <w:tl2br w:val="nil"/>
              <w:tr2bl w:val="nil"/>
            </w:tcBorders>
            <w:shd w:val="clear" w:color="auto" w:fill="auto"/>
            <w:tcMar>
              <w:top w:w="60" w:type="dxa"/>
              <w:left w:w="120" w:type="dxa"/>
              <w:bottom w:w="30" w:type="dxa"/>
              <w:right w:w="120" w:type="dxa"/>
            </w:tcMar>
            <w:vAlign w:val="center"/>
          </w:tcPr>
          <w:p w14:paraId="0E02231E">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10</w:t>
            </w:r>
          </w:p>
        </w:tc>
        <w:tc>
          <w:tcPr>
            <w:tcW w:w="6878" w:type="dxa"/>
            <w:tcBorders>
              <w:bottom w:val="single" w:color="auto" w:sz="4" w:space="0"/>
              <w:tl2br w:val="nil"/>
              <w:tr2bl w:val="nil"/>
            </w:tcBorders>
            <w:shd w:val="clear" w:color="auto" w:fill="auto"/>
            <w:tcMar>
              <w:top w:w="60" w:type="dxa"/>
              <w:left w:w="120" w:type="dxa"/>
              <w:bottom w:w="30" w:type="dxa"/>
              <w:right w:w="120" w:type="dxa"/>
            </w:tcMar>
            <w:vAlign w:val="center"/>
          </w:tcPr>
          <w:p w14:paraId="7AD3AE9F">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供应商提供项目明确范围内可用于本项目前端系统挂载的监控高点及分布图，要求高点位置距江边的直线距离控制在150米以内，且摄像机挂高高度不低于25米，提供符合上述条件点位满6个的得10分；每少提供1个点位减2分，共计少于3个点位本项不得分。</w:t>
            </w:r>
          </w:p>
          <w:p w14:paraId="4E05425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注：供应商须提供证明材料，包括：①设备标注挂高高度的设计图纸（挂高高度是指点位最高点至地面的高度差，可包含山体、建筑物等）；②监控高点相关所有权或业主授权、租赁本项目使用的证明材料；③高点距岸边直线距离符合本项目要求，同时附上高点分布图。未提供以上证明材料或证明材料不符的，该点位不得分。</w:t>
            </w:r>
          </w:p>
        </w:tc>
        <w:tc>
          <w:tcPr>
            <w:tcW w:w="1444" w:type="dxa"/>
            <w:tcBorders>
              <w:bottom w:val="single" w:color="auto" w:sz="4" w:space="0"/>
              <w:tl2br w:val="nil"/>
              <w:tr2bl w:val="nil"/>
            </w:tcBorders>
            <w:shd w:val="clear" w:color="auto" w:fill="auto"/>
            <w:tcMar>
              <w:top w:w="60" w:type="dxa"/>
              <w:left w:w="120" w:type="dxa"/>
              <w:bottom w:w="30" w:type="dxa"/>
              <w:right w:w="120" w:type="dxa"/>
            </w:tcMar>
            <w:vAlign w:val="center"/>
          </w:tcPr>
          <w:p w14:paraId="439B953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p>
        </w:tc>
        <w:tc>
          <w:tcPr>
            <w:tcW w:w="1312" w:type="dxa"/>
            <w:tcBorders>
              <w:bottom w:val="single" w:color="auto" w:sz="4" w:space="0"/>
              <w:tl2br w:val="nil"/>
              <w:tr2bl w:val="nil"/>
            </w:tcBorders>
            <w:shd w:val="clear" w:color="auto" w:fill="auto"/>
            <w:tcMar>
              <w:top w:w="60" w:type="dxa"/>
              <w:left w:w="120" w:type="dxa"/>
              <w:bottom w:w="30" w:type="dxa"/>
              <w:right w:w="120" w:type="dxa"/>
            </w:tcMar>
            <w:vAlign w:val="center"/>
          </w:tcPr>
          <w:p w14:paraId="06DCAA3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p>
        </w:tc>
        <w:tc>
          <w:tcPr>
            <w:tcW w:w="1561" w:type="dxa"/>
            <w:tcBorders>
              <w:bottom w:val="single" w:color="auto" w:sz="4" w:space="0"/>
              <w:tl2br w:val="nil"/>
              <w:tr2bl w:val="nil"/>
            </w:tcBorders>
            <w:shd w:val="clear" w:color="auto" w:fill="auto"/>
            <w:tcMar>
              <w:top w:w="60" w:type="dxa"/>
              <w:left w:w="120" w:type="dxa"/>
              <w:bottom w:w="30" w:type="dxa"/>
              <w:right w:w="120" w:type="dxa"/>
            </w:tcMar>
            <w:vAlign w:val="center"/>
          </w:tcPr>
          <w:p w14:paraId="0DDAF79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p>
        </w:tc>
      </w:tr>
      <w:tr w14:paraId="7850A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350" w:type="dxa"/>
            <w:vMerge w:val="restart"/>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1DEECCB4">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技术分(</w:t>
            </w:r>
          </w:p>
          <w:p w14:paraId="7A1A559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40分)</w:t>
            </w:r>
          </w:p>
        </w:tc>
        <w:tc>
          <w:tcPr>
            <w:tcW w:w="1233" w:type="dxa"/>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64823EA9">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rPr>
              <w:t>项目实施方案</w:t>
            </w:r>
          </w:p>
        </w:tc>
        <w:tc>
          <w:tcPr>
            <w:tcW w:w="827" w:type="dxa"/>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277E4356">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15</w:t>
            </w:r>
          </w:p>
        </w:tc>
        <w:tc>
          <w:tcPr>
            <w:tcW w:w="6878" w:type="dxa"/>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7340FD5F">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项目实施方案：根据供应商提供的设备部署、系统部署、进度计划进行评审。</w:t>
            </w:r>
          </w:p>
          <w:p w14:paraId="75047941">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1）方案完整覆盖全部三项核心内容，各项部署均明确具体作业流程、操作规范与验收校验标准，进度计划细致、内容详实，得15分；</w:t>
            </w:r>
          </w:p>
          <w:p w14:paraId="4E9B0ED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2）方案覆盖全部三项核心内容，无重大缺项；各项部署具备基本执行逻辑与流程框架，进度计划有明确阶段划分，具备实施基础，得10分；</w:t>
            </w:r>
          </w:p>
          <w:p w14:paraId="49288ED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3）方案仅覆盖部分核心内容，或仅给出框架性描述，缺少具体作业流程、校验标准与明确进度节点，内容不足以支撑项目落地，得5分；</w:t>
            </w:r>
          </w:p>
          <w:p w14:paraId="4825053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4）未提供实施方案或内容缺项漏项，不得分。</w:t>
            </w:r>
          </w:p>
        </w:tc>
        <w:tc>
          <w:tcPr>
            <w:tcW w:w="1444" w:type="dxa"/>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66FC65DD">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p>
        </w:tc>
        <w:tc>
          <w:tcPr>
            <w:tcW w:w="1312" w:type="dxa"/>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3BBAFB1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p>
        </w:tc>
        <w:tc>
          <w:tcPr>
            <w:tcW w:w="1561" w:type="dxa"/>
            <w:tcBorders>
              <w:top w:val="single" w:color="auto" w:sz="4" w:space="0"/>
              <w:left w:val="single" w:color="auto" w:sz="4" w:space="0"/>
              <w:bottom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76542CF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p>
        </w:tc>
      </w:tr>
      <w:tr w14:paraId="47834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350" w:type="dxa"/>
            <w:vMerge w:val="continue"/>
            <w:tcBorders>
              <w:left w:val="single" w:color="auto" w:sz="4" w:space="0"/>
              <w:right w:val="single" w:color="auto" w:sz="4" w:space="0"/>
              <w:tl2br w:val="nil"/>
              <w:tr2bl w:val="nil"/>
            </w:tcBorders>
            <w:tcMar>
              <w:top w:w="60" w:type="dxa"/>
              <w:left w:w="120" w:type="dxa"/>
              <w:bottom w:w="30" w:type="dxa"/>
              <w:right w:w="120" w:type="dxa"/>
            </w:tcMar>
            <w:vAlign w:val="center"/>
          </w:tcPr>
          <w:p w14:paraId="73AC239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578A0C87">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技术</w:t>
            </w:r>
            <w:r>
              <w:rPr>
                <w:rFonts w:hint="eastAsia" w:ascii="仿宋_GB2312" w:hAnsi="仿宋_GB2312" w:eastAsia="仿宋_GB2312" w:cs="仿宋_GB2312"/>
                <w:color w:val="auto"/>
                <w:sz w:val="24"/>
                <w:szCs w:val="24"/>
                <w:highlight w:val="none"/>
              </w:rPr>
              <w:t>创新及优势</w:t>
            </w:r>
          </w:p>
        </w:tc>
        <w:tc>
          <w:tcPr>
            <w:tcW w:w="827"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064D51B7">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5</w:t>
            </w:r>
          </w:p>
        </w:tc>
        <w:tc>
          <w:tcPr>
            <w:tcW w:w="6878" w:type="dxa"/>
            <w:tcBorders>
              <w:left w:val="single" w:color="auto" w:sz="4" w:space="0"/>
              <w:tl2br w:val="nil"/>
              <w:tr2bl w:val="nil"/>
            </w:tcBorders>
            <w:shd w:val="clear" w:color="auto" w:fill="auto"/>
            <w:tcMar>
              <w:top w:w="60" w:type="dxa"/>
              <w:left w:w="120" w:type="dxa"/>
              <w:bottom w:w="30" w:type="dxa"/>
              <w:right w:w="120" w:type="dxa"/>
            </w:tcMar>
            <w:vAlign w:val="center"/>
          </w:tcPr>
          <w:p w14:paraId="6854259A">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技术创新及优势：供应商提供的技术方案具备高点监控、AI算法优化、系统功能等创新优势，结合项目实际需求，表现突出得5分；具备基本创新优势得3分；无创新优势得0分。</w:t>
            </w:r>
          </w:p>
        </w:tc>
        <w:tc>
          <w:tcPr>
            <w:tcW w:w="1444" w:type="dxa"/>
            <w:tcBorders>
              <w:left w:val="single" w:color="auto" w:sz="4" w:space="0"/>
              <w:tl2br w:val="nil"/>
              <w:tr2bl w:val="nil"/>
            </w:tcBorders>
            <w:shd w:val="clear" w:color="auto" w:fill="auto"/>
            <w:tcMar>
              <w:top w:w="60" w:type="dxa"/>
              <w:left w:w="120" w:type="dxa"/>
              <w:bottom w:w="30" w:type="dxa"/>
              <w:right w:w="120" w:type="dxa"/>
            </w:tcMar>
            <w:vAlign w:val="center"/>
          </w:tcPr>
          <w:p w14:paraId="07A7BF1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312" w:type="dxa"/>
            <w:tcBorders>
              <w:left w:val="single" w:color="auto" w:sz="4" w:space="0"/>
              <w:tl2br w:val="nil"/>
              <w:tr2bl w:val="nil"/>
            </w:tcBorders>
            <w:shd w:val="clear" w:color="auto" w:fill="auto"/>
            <w:tcMar>
              <w:top w:w="60" w:type="dxa"/>
              <w:left w:w="120" w:type="dxa"/>
              <w:bottom w:w="30" w:type="dxa"/>
              <w:right w:w="120" w:type="dxa"/>
            </w:tcMar>
            <w:vAlign w:val="center"/>
          </w:tcPr>
          <w:p w14:paraId="7BE0A14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561" w:type="dxa"/>
            <w:tcBorders>
              <w:left w:val="single" w:color="auto" w:sz="4" w:space="0"/>
              <w:tl2br w:val="nil"/>
              <w:tr2bl w:val="nil"/>
            </w:tcBorders>
            <w:shd w:val="clear" w:color="auto" w:fill="auto"/>
            <w:tcMar>
              <w:top w:w="60" w:type="dxa"/>
              <w:left w:w="120" w:type="dxa"/>
              <w:bottom w:w="30" w:type="dxa"/>
              <w:right w:w="120" w:type="dxa"/>
            </w:tcMar>
            <w:vAlign w:val="center"/>
          </w:tcPr>
          <w:p w14:paraId="72E33C89">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r>
      <w:tr w14:paraId="20373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90" w:hRule="atLeast"/>
          <w:jc w:val="center"/>
        </w:trPr>
        <w:tc>
          <w:tcPr>
            <w:tcW w:w="1350" w:type="dxa"/>
            <w:vMerge w:val="continue"/>
            <w:tcBorders>
              <w:left w:val="single" w:color="auto" w:sz="4" w:space="0"/>
              <w:right w:val="single" w:color="auto" w:sz="4" w:space="0"/>
              <w:tl2br w:val="nil"/>
              <w:tr2bl w:val="nil"/>
            </w:tcBorders>
            <w:tcMar>
              <w:top w:w="60" w:type="dxa"/>
              <w:left w:w="120" w:type="dxa"/>
              <w:bottom w:w="30" w:type="dxa"/>
              <w:right w:w="120" w:type="dxa"/>
            </w:tcMar>
            <w:vAlign w:val="center"/>
          </w:tcPr>
          <w:p w14:paraId="268AC89B">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7B274F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运维保障措施</w:t>
            </w:r>
          </w:p>
        </w:tc>
        <w:tc>
          <w:tcPr>
            <w:tcW w:w="827"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66A2D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5</w:t>
            </w:r>
          </w:p>
        </w:tc>
        <w:tc>
          <w:tcPr>
            <w:tcW w:w="6878" w:type="dxa"/>
            <w:tcBorders>
              <w:left w:val="single" w:color="auto" w:sz="4" w:space="0"/>
              <w:tl2br w:val="nil"/>
              <w:tr2bl w:val="nil"/>
            </w:tcBorders>
            <w:shd w:val="clear" w:color="auto" w:fill="auto"/>
            <w:tcMar>
              <w:top w:w="60" w:type="dxa"/>
              <w:left w:w="120" w:type="dxa"/>
              <w:bottom w:w="30" w:type="dxa"/>
              <w:right w:w="120" w:type="dxa"/>
            </w:tcMar>
            <w:vAlign w:val="center"/>
          </w:tcPr>
          <w:p w14:paraId="7FF3CB3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考核对本项目制定的运维保障方案进行综合评分，提供完善到位的运维保障措施方案：</w:t>
            </w:r>
          </w:p>
          <w:p w14:paraId="67E6E0B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1）方案完全符合、内容具体细致，得5分；</w:t>
            </w:r>
          </w:p>
          <w:p w14:paraId="540F347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2）方案基本符合、内容较具体，得3分；</w:t>
            </w:r>
          </w:p>
          <w:p w14:paraId="7369A51B">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3）方案不太符合、内容不够具体，均不得分。</w:t>
            </w:r>
          </w:p>
        </w:tc>
        <w:tc>
          <w:tcPr>
            <w:tcW w:w="1444" w:type="dxa"/>
            <w:tcBorders>
              <w:left w:val="single" w:color="auto" w:sz="4" w:space="0"/>
              <w:tl2br w:val="nil"/>
              <w:tr2bl w:val="nil"/>
            </w:tcBorders>
            <w:shd w:val="clear" w:color="auto" w:fill="auto"/>
            <w:tcMar>
              <w:top w:w="60" w:type="dxa"/>
              <w:left w:w="120" w:type="dxa"/>
              <w:bottom w:w="30" w:type="dxa"/>
              <w:right w:w="120" w:type="dxa"/>
            </w:tcMar>
            <w:vAlign w:val="center"/>
          </w:tcPr>
          <w:p w14:paraId="7D91D43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312" w:type="dxa"/>
            <w:tcBorders>
              <w:left w:val="single" w:color="auto" w:sz="4" w:space="0"/>
              <w:tl2br w:val="nil"/>
              <w:tr2bl w:val="nil"/>
            </w:tcBorders>
            <w:shd w:val="clear" w:color="auto" w:fill="auto"/>
            <w:tcMar>
              <w:top w:w="60" w:type="dxa"/>
              <w:left w:w="120" w:type="dxa"/>
              <w:bottom w:w="30" w:type="dxa"/>
              <w:right w:w="120" w:type="dxa"/>
            </w:tcMar>
            <w:vAlign w:val="center"/>
          </w:tcPr>
          <w:p w14:paraId="54D29E1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561" w:type="dxa"/>
            <w:tcBorders>
              <w:left w:val="single" w:color="auto" w:sz="4" w:space="0"/>
              <w:tl2br w:val="nil"/>
              <w:tr2bl w:val="nil"/>
            </w:tcBorders>
            <w:shd w:val="clear" w:color="auto" w:fill="auto"/>
            <w:tcMar>
              <w:top w:w="60" w:type="dxa"/>
              <w:left w:w="120" w:type="dxa"/>
              <w:bottom w:w="30" w:type="dxa"/>
              <w:right w:w="120" w:type="dxa"/>
            </w:tcMar>
            <w:vAlign w:val="center"/>
          </w:tcPr>
          <w:p w14:paraId="66C194F6">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r>
      <w:tr w14:paraId="7E139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1434" w:hRule="atLeast"/>
          <w:jc w:val="center"/>
        </w:trPr>
        <w:tc>
          <w:tcPr>
            <w:tcW w:w="1350" w:type="dxa"/>
            <w:vMerge w:val="continue"/>
            <w:tcBorders>
              <w:left w:val="single" w:color="auto" w:sz="4" w:space="0"/>
              <w:right w:val="single" w:color="auto" w:sz="4" w:space="0"/>
              <w:tl2br w:val="nil"/>
              <w:tr2bl w:val="nil"/>
            </w:tcBorders>
            <w:tcMar>
              <w:top w:w="60" w:type="dxa"/>
              <w:left w:w="120" w:type="dxa"/>
              <w:bottom w:w="30" w:type="dxa"/>
              <w:right w:w="120" w:type="dxa"/>
            </w:tcMar>
            <w:vAlign w:val="center"/>
          </w:tcPr>
          <w:p w14:paraId="7F93C47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020567AA">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应急预案及措施</w:t>
            </w:r>
          </w:p>
        </w:tc>
        <w:tc>
          <w:tcPr>
            <w:tcW w:w="827"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0A6C7BBA">
            <w:pPr>
              <w:keepNext w:val="0"/>
              <w:keepLines w:val="0"/>
              <w:pageBreakBefore w:val="0"/>
              <w:shd w:val="clear" w:color="auto" w:fill="FFFFFF"/>
              <w:kinsoku/>
              <w:wordWrap/>
              <w:overflowPunct/>
              <w:topLinePunct w:val="0"/>
              <w:autoSpaceDE/>
              <w:autoSpaceDN/>
              <w:bidi w:val="0"/>
              <w:adjustRightInd/>
              <w:snapToGrid/>
              <w:spacing w:before="156" w:beforeLines="50" w:beforeAutospacing="0" w:afterAutospacing="0" w:line="240" w:lineRule="auto"/>
              <w:ind w:left="0" w:leftChars="0" w:right="0" w:rightChars="0"/>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SA"/>
              </w:rPr>
              <w:t>5</w:t>
            </w:r>
          </w:p>
        </w:tc>
        <w:tc>
          <w:tcPr>
            <w:tcW w:w="6878" w:type="dxa"/>
            <w:tcBorders>
              <w:left w:val="single" w:color="auto" w:sz="4" w:space="0"/>
              <w:tl2br w:val="nil"/>
              <w:tr2bl w:val="nil"/>
            </w:tcBorders>
            <w:shd w:val="clear" w:color="auto" w:fill="auto"/>
            <w:tcMar>
              <w:top w:w="60" w:type="dxa"/>
              <w:left w:w="120" w:type="dxa"/>
              <w:bottom w:w="30" w:type="dxa"/>
              <w:right w:w="120" w:type="dxa"/>
            </w:tcMar>
            <w:vAlign w:val="center"/>
          </w:tcPr>
          <w:p w14:paraId="25F577D2">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根据供应商提供的针对突发事件，做到事前预判，事后能保障快速、高效的应急方案进行评审:应急方案覆盖完整、要素齐备、可落地执行，得5分；应急方案覆盖较完整、要素较齐备、具备执行基础，得3分；应急方案覆盖不够完整、要素不够齐备、可执行性不足，得2分；应急方案不具备可执行性或无提供售后服务方案，均不得分。</w:t>
            </w:r>
          </w:p>
        </w:tc>
        <w:tc>
          <w:tcPr>
            <w:tcW w:w="1444" w:type="dxa"/>
            <w:tcBorders>
              <w:left w:val="single" w:color="auto" w:sz="4" w:space="0"/>
              <w:tl2br w:val="nil"/>
              <w:tr2bl w:val="nil"/>
            </w:tcBorders>
            <w:shd w:val="clear" w:color="auto" w:fill="auto"/>
            <w:tcMar>
              <w:top w:w="60" w:type="dxa"/>
              <w:left w:w="120" w:type="dxa"/>
              <w:bottom w:w="30" w:type="dxa"/>
              <w:right w:w="120" w:type="dxa"/>
            </w:tcMar>
            <w:vAlign w:val="center"/>
          </w:tcPr>
          <w:p w14:paraId="6CB75D3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p>
        </w:tc>
        <w:tc>
          <w:tcPr>
            <w:tcW w:w="1312" w:type="dxa"/>
            <w:tcBorders>
              <w:left w:val="single" w:color="auto" w:sz="4" w:space="0"/>
              <w:tl2br w:val="nil"/>
              <w:tr2bl w:val="nil"/>
            </w:tcBorders>
            <w:shd w:val="clear" w:color="auto" w:fill="auto"/>
            <w:tcMar>
              <w:top w:w="60" w:type="dxa"/>
              <w:left w:w="120" w:type="dxa"/>
              <w:bottom w:w="30" w:type="dxa"/>
              <w:right w:w="120" w:type="dxa"/>
            </w:tcMar>
            <w:vAlign w:val="center"/>
          </w:tcPr>
          <w:p w14:paraId="76A80E1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p>
        </w:tc>
        <w:tc>
          <w:tcPr>
            <w:tcW w:w="1561" w:type="dxa"/>
            <w:tcBorders>
              <w:left w:val="single" w:color="auto" w:sz="4" w:space="0"/>
              <w:tl2br w:val="nil"/>
              <w:tr2bl w:val="nil"/>
            </w:tcBorders>
            <w:shd w:val="clear" w:color="auto" w:fill="auto"/>
            <w:tcMar>
              <w:top w:w="60" w:type="dxa"/>
              <w:left w:w="120" w:type="dxa"/>
              <w:bottom w:w="30" w:type="dxa"/>
              <w:right w:w="120" w:type="dxa"/>
            </w:tcMar>
            <w:vAlign w:val="center"/>
          </w:tcPr>
          <w:p w14:paraId="22704335">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kern w:val="0"/>
                <w:sz w:val="24"/>
                <w:szCs w:val="24"/>
                <w:highlight w:val="none"/>
                <w:lang w:val="en-US" w:eastAsia="zh-CN" w:bidi="ar-SA"/>
              </w:rPr>
            </w:pPr>
          </w:p>
        </w:tc>
      </w:tr>
      <w:tr w14:paraId="4265B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rHeight w:val="787" w:hRule="atLeast"/>
          <w:jc w:val="center"/>
        </w:trPr>
        <w:tc>
          <w:tcPr>
            <w:tcW w:w="1350" w:type="dxa"/>
            <w:vMerge w:val="continue"/>
            <w:tcBorders>
              <w:left w:val="single" w:color="auto" w:sz="4" w:space="0"/>
              <w:right w:val="single" w:color="auto" w:sz="4" w:space="0"/>
              <w:tl2br w:val="nil"/>
              <w:tr2bl w:val="nil"/>
            </w:tcBorders>
            <w:tcMar>
              <w:top w:w="60" w:type="dxa"/>
              <w:left w:w="120" w:type="dxa"/>
              <w:bottom w:w="30" w:type="dxa"/>
              <w:right w:w="120" w:type="dxa"/>
            </w:tcMar>
            <w:vAlign w:val="center"/>
          </w:tcPr>
          <w:p w14:paraId="1E55A4E0">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rPr>
            </w:pPr>
          </w:p>
        </w:tc>
        <w:tc>
          <w:tcPr>
            <w:tcW w:w="1233" w:type="dxa"/>
            <w:tcBorders>
              <w:left w:val="single" w:color="auto" w:sz="4" w:space="0"/>
              <w:right w:val="single" w:color="auto" w:sz="4" w:space="0"/>
              <w:tl2br w:val="nil"/>
              <w:tr2bl w:val="nil"/>
            </w:tcBorders>
            <w:shd w:val="clear" w:color="auto" w:fill="auto"/>
            <w:tcMar>
              <w:top w:w="60" w:type="dxa"/>
              <w:left w:w="120" w:type="dxa"/>
              <w:bottom w:w="30" w:type="dxa"/>
              <w:right w:w="120" w:type="dxa"/>
            </w:tcMar>
            <w:vAlign w:val="center"/>
          </w:tcPr>
          <w:p w14:paraId="4BC3FB02">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技术参数偏离情况</w:t>
            </w:r>
          </w:p>
        </w:tc>
        <w:tc>
          <w:tcPr>
            <w:tcW w:w="827" w:type="dxa"/>
            <w:tcBorders>
              <w:left w:val="single" w:color="auto" w:sz="4" w:space="0"/>
              <w:tl2br w:val="nil"/>
              <w:tr2bl w:val="nil"/>
            </w:tcBorders>
            <w:shd w:val="clear" w:color="auto" w:fill="auto"/>
            <w:tcMar>
              <w:top w:w="60" w:type="dxa"/>
              <w:left w:w="120" w:type="dxa"/>
              <w:bottom w:w="30" w:type="dxa"/>
              <w:right w:w="120" w:type="dxa"/>
            </w:tcMar>
            <w:vAlign w:val="center"/>
          </w:tcPr>
          <w:p w14:paraId="0D12616A">
            <w:pPr>
              <w:keepNext w:val="0"/>
              <w:keepLines w:val="0"/>
              <w:pageBreakBefore w:val="0"/>
              <w:kinsoku/>
              <w:wordWrap/>
              <w:overflowPunct/>
              <w:topLinePunct w:val="0"/>
              <w:autoSpaceDE/>
              <w:autoSpaceDN/>
              <w:bidi w:val="0"/>
              <w:adjustRightInd/>
              <w:snapToGrid/>
              <w:spacing w:line="240" w:lineRule="auto"/>
              <w:jc w:val="center"/>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10</w:t>
            </w:r>
          </w:p>
        </w:tc>
        <w:tc>
          <w:tcPr>
            <w:tcW w:w="6878" w:type="dxa"/>
            <w:tcBorders>
              <w:tl2br w:val="nil"/>
              <w:tr2bl w:val="nil"/>
            </w:tcBorders>
            <w:shd w:val="clear" w:color="auto" w:fill="auto"/>
            <w:tcMar>
              <w:top w:w="60" w:type="dxa"/>
              <w:left w:w="120" w:type="dxa"/>
              <w:bottom w:w="30" w:type="dxa"/>
              <w:right w:w="120" w:type="dxa"/>
            </w:tcMar>
            <w:vAlign w:val="center"/>
          </w:tcPr>
          <w:p w14:paraId="5BD501A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对公告中要求的各项产品的技术</w:t>
            </w:r>
          </w:p>
          <w:p w14:paraId="67364B70">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参数的响应程度:完全满足最高得</w:t>
            </w:r>
            <w:r>
              <w:rPr>
                <w:rFonts w:hint="eastAsia" w:ascii="仿宋_GB2312" w:hAnsi="仿宋_GB2312" w:eastAsia="仿宋_GB2312" w:cs="仿宋_GB2312"/>
                <w:color w:val="auto"/>
                <w:sz w:val="24"/>
                <w:szCs w:val="24"/>
                <w:highlight w:val="none"/>
                <w:lang w:val="en-US" w:eastAsia="zh-CN"/>
              </w:rPr>
              <w:t>10</w:t>
            </w:r>
            <w:r>
              <w:rPr>
                <w:rFonts w:hint="eastAsia" w:ascii="仿宋_GB2312" w:hAnsi="仿宋_GB2312" w:eastAsia="仿宋_GB2312" w:cs="仿宋_GB2312"/>
                <w:color w:val="auto"/>
                <w:sz w:val="24"/>
                <w:szCs w:val="24"/>
                <w:highlight w:val="none"/>
              </w:rPr>
              <w:t>分，重要技术参数(</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标注)每一项负偏离扣</w:t>
            </w:r>
            <w:r>
              <w:rPr>
                <w:rFonts w:hint="eastAsia" w:ascii="仿宋_GB2312" w:hAnsi="仿宋_GB2312" w:eastAsia="仿宋_GB2312" w:cs="仿宋_GB2312"/>
                <w:color w:val="auto"/>
                <w:sz w:val="24"/>
                <w:szCs w:val="24"/>
                <w:highlight w:val="none"/>
                <w:lang w:val="en-US" w:eastAsia="zh-CN"/>
              </w:rPr>
              <w:t>1.5</w:t>
            </w:r>
            <w:r>
              <w:rPr>
                <w:rFonts w:hint="eastAsia" w:ascii="仿宋_GB2312" w:hAnsi="仿宋_GB2312" w:eastAsia="仿宋_GB2312" w:cs="仿宋_GB2312"/>
                <w:color w:val="auto"/>
                <w:sz w:val="24"/>
                <w:szCs w:val="24"/>
                <w:highlight w:val="none"/>
              </w:rPr>
              <w:t>分;其</w:t>
            </w:r>
            <w:r>
              <w:rPr>
                <w:rFonts w:hint="eastAsia" w:ascii="仿宋_GB2312" w:hAnsi="仿宋_GB2312" w:eastAsia="仿宋_GB2312" w:cs="仿宋_GB2312"/>
                <w:color w:val="auto"/>
                <w:sz w:val="24"/>
                <w:szCs w:val="24"/>
                <w:highlight w:val="none"/>
                <w:lang w:eastAsia="zh-CN"/>
              </w:rPr>
              <w:t>他</w:t>
            </w:r>
            <w:r>
              <w:rPr>
                <w:rFonts w:hint="eastAsia" w:ascii="仿宋_GB2312" w:hAnsi="仿宋_GB2312" w:eastAsia="仿宋_GB2312" w:cs="仿宋_GB2312"/>
                <w:color w:val="auto"/>
                <w:sz w:val="24"/>
                <w:szCs w:val="24"/>
                <w:highlight w:val="none"/>
              </w:rPr>
              <w:t>技术指标每一项负偏离扣</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分。</w:t>
            </w:r>
          </w:p>
          <w:p w14:paraId="0D82E15E">
            <w:pPr>
              <w:keepNext w:val="0"/>
              <w:keepLines w:val="0"/>
              <w:pageBreakBefore w:val="0"/>
              <w:kinsoku/>
              <w:wordWrap/>
              <w:overflowPunct/>
              <w:topLinePunct w:val="0"/>
              <w:autoSpaceDE/>
              <w:autoSpaceDN/>
              <w:bidi w:val="0"/>
              <w:adjustRightInd/>
              <w:snapToGrid/>
              <w:spacing w:line="240" w:lineRule="auto"/>
              <w:textAlignment w:val="auto"/>
              <w:rPr>
                <w:color w:val="auto"/>
                <w:sz w:val="24"/>
                <w:szCs w:val="24"/>
              </w:rPr>
            </w:pPr>
            <w:r>
              <w:rPr>
                <w:rFonts w:hint="eastAsia" w:ascii="仿宋_GB2312" w:hAnsi="仿宋_GB2312" w:eastAsia="仿宋_GB2312" w:cs="仿宋_GB2312"/>
                <w:color w:val="auto"/>
                <w:sz w:val="24"/>
                <w:szCs w:val="24"/>
                <w:highlight w:val="none"/>
              </w:rPr>
              <w:t>注:重要技术参数(</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highlight w:val="none"/>
              </w:rPr>
              <w:t>标注)须提供技术响应偏离表及佐</w:t>
            </w:r>
          </w:p>
          <w:p w14:paraId="1602C2F1">
            <w:pPr>
              <w:keepNext w:val="0"/>
              <w:keepLines w:val="0"/>
              <w:pageBreakBefore w:val="0"/>
              <w:kinsoku/>
              <w:wordWrap/>
              <w:overflowPunct/>
              <w:topLinePunct w:val="0"/>
              <w:autoSpaceDE/>
              <w:autoSpaceDN/>
              <w:bidi w:val="0"/>
              <w:adjustRightInd/>
              <w:snapToGrid/>
              <w:spacing w:line="240" w:lineRule="auto"/>
              <w:jc w:val="left"/>
              <w:textAlignment w:val="auto"/>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证材料并加盖公章</w:t>
            </w:r>
            <w:r>
              <w:rPr>
                <w:rFonts w:hint="eastAsia" w:ascii="仿宋_GB2312" w:hAnsi="仿宋_GB2312" w:eastAsia="仿宋_GB2312" w:cs="仿宋_GB2312"/>
                <w:color w:val="auto"/>
                <w:sz w:val="24"/>
                <w:szCs w:val="24"/>
                <w:highlight w:val="none"/>
                <w:lang w:val="en-US" w:eastAsia="zh-CN"/>
              </w:rPr>
              <w:t>；其他技术指标须提供承诺函，</w:t>
            </w:r>
            <w:r>
              <w:rPr>
                <w:rFonts w:hint="eastAsia" w:ascii="仿宋_GB2312" w:hAnsi="仿宋_GB2312" w:eastAsia="仿宋_GB2312" w:cs="仿宋_GB2312"/>
                <w:color w:val="auto"/>
                <w:sz w:val="24"/>
                <w:szCs w:val="24"/>
                <w:highlight w:val="none"/>
              </w:rPr>
              <w:t>否则不得</w:t>
            </w:r>
            <w:r>
              <w:rPr>
                <w:rFonts w:hint="eastAsia" w:ascii="仿宋_GB2312" w:hAnsi="仿宋_GB2312" w:eastAsia="仿宋_GB2312" w:cs="仿宋_GB2312"/>
                <w:color w:val="auto"/>
                <w:sz w:val="24"/>
                <w:szCs w:val="24"/>
                <w:highlight w:val="none"/>
                <w:lang w:val="en-US" w:eastAsia="zh-CN"/>
              </w:rPr>
              <w:t>分。</w:t>
            </w:r>
          </w:p>
        </w:tc>
        <w:tc>
          <w:tcPr>
            <w:tcW w:w="1444" w:type="dxa"/>
            <w:tcBorders>
              <w:tl2br w:val="nil"/>
              <w:tr2bl w:val="nil"/>
            </w:tcBorders>
            <w:shd w:val="clear" w:color="auto" w:fill="auto"/>
            <w:tcMar>
              <w:top w:w="60" w:type="dxa"/>
              <w:left w:w="120" w:type="dxa"/>
              <w:bottom w:w="30" w:type="dxa"/>
              <w:right w:w="120" w:type="dxa"/>
            </w:tcMar>
            <w:vAlign w:val="center"/>
          </w:tcPr>
          <w:p w14:paraId="6A69741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312" w:type="dxa"/>
            <w:tcBorders>
              <w:tl2br w:val="nil"/>
              <w:tr2bl w:val="nil"/>
            </w:tcBorders>
            <w:shd w:val="clear" w:color="auto" w:fill="auto"/>
            <w:tcMar>
              <w:top w:w="60" w:type="dxa"/>
              <w:left w:w="120" w:type="dxa"/>
              <w:bottom w:w="30" w:type="dxa"/>
              <w:right w:w="120" w:type="dxa"/>
            </w:tcMar>
            <w:vAlign w:val="center"/>
          </w:tcPr>
          <w:p w14:paraId="4BC0F008">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c>
          <w:tcPr>
            <w:tcW w:w="1561" w:type="dxa"/>
            <w:tcBorders>
              <w:tl2br w:val="nil"/>
              <w:tr2bl w:val="nil"/>
            </w:tcBorders>
            <w:shd w:val="clear" w:color="auto" w:fill="auto"/>
            <w:tcMar>
              <w:top w:w="60" w:type="dxa"/>
              <w:left w:w="120" w:type="dxa"/>
              <w:bottom w:w="30" w:type="dxa"/>
              <w:right w:w="120" w:type="dxa"/>
            </w:tcMar>
            <w:vAlign w:val="center"/>
          </w:tcPr>
          <w:p w14:paraId="19E48F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仿宋_GB2312" w:hAnsi="仿宋_GB2312" w:eastAsia="仿宋_GB2312" w:cs="仿宋_GB2312"/>
                <w:color w:val="auto"/>
                <w:sz w:val="24"/>
                <w:szCs w:val="24"/>
                <w:highlight w:val="none"/>
              </w:rPr>
            </w:pPr>
          </w:p>
        </w:tc>
      </w:tr>
      <w:bookmarkEnd w:id="0"/>
    </w:tbl>
    <w:p w14:paraId="0C098302">
      <w:pPr>
        <w:spacing w:line="576" w:lineRule="exact"/>
        <w:jc w:val="left"/>
        <w:outlineLvl w:val="0"/>
        <w:rPr>
          <w:rFonts w:hint="eastAsia" w:ascii="仿宋_GB2312" w:hAnsi="仿宋_GB2312" w:eastAsia="仿宋_GB2312" w:cs="仿宋_GB2312"/>
          <w:b/>
          <w:bCs w:val="0"/>
          <w:color w:val="auto"/>
          <w:sz w:val="32"/>
          <w:szCs w:val="32"/>
          <w:highlight w:val="none"/>
        </w:rPr>
      </w:pPr>
    </w:p>
    <w:sectPr>
      <w:footerReference r:id="rId3" w:type="default"/>
      <w:pgSz w:w="16840" w:h="11905" w:orient="landscape"/>
      <w:pgMar w:top="1800" w:right="1440" w:bottom="1800" w:left="144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细黑">
    <w:altName w:val="微软雅黑"/>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长城仿宋">
    <w:altName w:val="黑体"/>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93437F">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58CDF">
                          <w:pPr>
                            <w:pStyle w:val="10"/>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0A58CDF">
                    <w:pPr>
                      <w:pStyle w:val="10"/>
                    </w:pPr>
                    <w:r>
                      <w:t xml:space="preserve">第 </w:t>
                    </w:r>
                    <w:r>
                      <w:fldChar w:fldCharType="begin"/>
                    </w:r>
                    <w:r>
                      <w:instrText xml:space="preserve"> PAGE  \* MERGEFORMAT </w:instrText>
                    </w:r>
                    <w:r>
                      <w:fldChar w:fldCharType="separate"/>
                    </w:r>
                    <w:r>
                      <w:t>一</w:t>
                    </w:r>
                    <w:r>
                      <w:fldChar w:fldCharType="end"/>
                    </w:r>
                    <w:r>
                      <w:t xml:space="preserve"> 页 共 </w:t>
                    </w:r>
                    <w:r>
                      <w:fldChar w:fldCharType="begin"/>
                    </w:r>
                    <w:r>
                      <w:instrText xml:space="preserve"> NUMPAGES  \* MERGEFORMAT </w:instrText>
                    </w:r>
                    <w:r>
                      <w:fldChar w:fldCharType="separate"/>
                    </w:r>
                    <w:r>
                      <w:t>15</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NotDisplayPageBoundaries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4A6"/>
    <w:rsid w:val="00200924"/>
    <w:rsid w:val="003759D9"/>
    <w:rsid w:val="0040270C"/>
    <w:rsid w:val="00547BFA"/>
    <w:rsid w:val="006B1C6C"/>
    <w:rsid w:val="008D64A6"/>
    <w:rsid w:val="00ED7F0E"/>
    <w:rsid w:val="027B14DF"/>
    <w:rsid w:val="031B69DE"/>
    <w:rsid w:val="031E276F"/>
    <w:rsid w:val="040066E7"/>
    <w:rsid w:val="05655296"/>
    <w:rsid w:val="05B818DB"/>
    <w:rsid w:val="06733D9B"/>
    <w:rsid w:val="073F0362"/>
    <w:rsid w:val="07EC5C4D"/>
    <w:rsid w:val="081422F9"/>
    <w:rsid w:val="08CF045B"/>
    <w:rsid w:val="0A0310F8"/>
    <w:rsid w:val="0A4C5E14"/>
    <w:rsid w:val="0B9D4CB5"/>
    <w:rsid w:val="0CA04153"/>
    <w:rsid w:val="0CCB2C6D"/>
    <w:rsid w:val="0D0D220B"/>
    <w:rsid w:val="0D927FE1"/>
    <w:rsid w:val="0E0E083C"/>
    <w:rsid w:val="0E63024A"/>
    <w:rsid w:val="0F9B0CA3"/>
    <w:rsid w:val="0FFC13A2"/>
    <w:rsid w:val="10485988"/>
    <w:rsid w:val="105C2769"/>
    <w:rsid w:val="109A64A3"/>
    <w:rsid w:val="10D62DB9"/>
    <w:rsid w:val="11072A94"/>
    <w:rsid w:val="111F4E09"/>
    <w:rsid w:val="11387B08"/>
    <w:rsid w:val="117702AA"/>
    <w:rsid w:val="14B340D6"/>
    <w:rsid w:val="16BE55A9"/>
    <w:rsid w:val="17002B64"/>
    <w:rsid w:val="19566367"/>
    <w:rsid w:val="19DF1646"/>
    <w:rsid w:val="1A880997"/>
    <w:rsid w:val="1AE856E5"/>
    <w:rsid w:val="1AFE6942"/>
    <w:rsid w:val="1B913076"/>
    <w:rsid w:val="1CDC4F69"/>
    <w:rsid w:val="1D774AFE"/>
    <w:rsid w:val="1E024F05"/>
    <w:rsid w:val="1E557BF4"/>
    <w:rsid w:val="215A2D3D"/>
    <w:rsid w:val="22135137"/>
    <w:rsid w:val="23934993"/>
    <w:rsid w:val="23D26F32"/>
    <w:rsid w:val="271F6BE8"/>
    <w:rsid w:val="2752465E"/>
    <w:rsid w:val="275B5C87"/>
    <w:rsid w:val="279938C3"/>
    <w:rsid w:val="27F2725B"/>
    <w:rsid w:val="28735A1E"/>
    <w:rsid w:val="295025B8"/>
    <w:rsid w:val="2A781EB5"/>
    <w:rsid w:val="2AAF2861"/>
    <w:rsid w:val="2B342515"/>
    <w:rsid w:val="2DA42713"/>
    <w:rsid w:val="2DFB77AB"/>
    <w:rsid w:val="2E0275E2"/>
    <w:rsid w:val="2FA303F6"/>
    <w:rsid w:val="321E3342"/>
    <w:rsid w:val="32F6606D"/>
    <w:rsid w:val="35642BCD"/>
    <w:rsid w:val="35FA5E74"/>
    <w:rsid w:val="36485B1A"/>
    <w:rsid w:val="36F8293C"/>
    <w:rsid w:val="37656B45"/>
    <w:rsid w:val="377910BF"/>
    <w:rsid w:val="378B6CA8"/>
    <w:rsid w:val="387252A1"/>
    <w:rsid w:val="387D10D1"/>
    <w:rsid w:val="38D81FC4"/>
    <w:rsid w:val="3910242B"/>
    <w:rsid w:val="3BF83FBA"/>
    <w:rsid w:val="3BFB27BF"/>
    <w:rsid w:val="3CBD54D5"/>
    <w:rsid w:val="3F3B3785"/>
    <w:rsid w:val="3FB07F0A"/>
    <w:rsid w:val="3FCA0843"/>
    <w:rsid w:val="3FCC443E"/>
    <w:rsid w:val="424C70E9"/>
    <w:rsid w:val="43241587"/>
    <w:rsid w:val="43CF6B92"/>
    <w:rsid w:val="451F1453"/>
    <w:rsid w:val="46C95820"/>
    <w:rsid w:val="46DB6EAC"/>
    <w:rsid w:val="4804200A"/>
    <w:rsid w:val="48994F34"/>
    <w:rsid w:val="493F3E72"/>
    <w:rsid w:val="49986AE1"/>
    <w:rsid w:val="4A8634AA"/>
    <w:rsid w:val="4B1D6435"/>
    <w:rsid w:val="4BBA48F9"/>
    <w:rsid w:val="4C172322"/>
    <w:rsid w:val="4C747EA3"/>
    <w:rsid w:val="4CB450FC"/>
    <w:rsid w:val="4D6466F5"/>
    <w:rsid w:val="4E850579"/>
    <w:rsid w:val="4ED41007"/>
    <w:rsid w:val="51316717"/>
    <w:rsid w:val="519A431D"/>
    <w:rsid w:val="521C11F4"/>
    <w:rsid w:val="522A1956"/>
    <w:rsid w:val="541A6CDE"/>
    <w:rsid w:val="541B174F"/>
    <w:rsid w:val="545E3D46"/>
    <w:rsid w:val="54601FFB"/>
    <w:rsid w:val="54D122D2"/>
    <w:rsid w:val="55796F62"/>
    <w:rsid w:val="56CC5D2E"/>
    <w:rsid w:val="5891370A"/>
    <w:rsid w:val="58FC284C"/>
    <w:rsid w:val="594F5B82"/>
    <w:rsid w:val="59D03731"/>
    <w:rsid w:val="5B8A5421"/>
    <w:rsid w:val="5B9E26E1"/>
    <w:rsid w:val="5C7D24A8"/>
    <w:rsid w:val="5D600B2F"/>
    <w:rsid w:val="5DD4323B"/>
    <w:rsid w:val="5E1D1423"/>
    <w:rsid w:val="5EB1764F"/>
    <w:rsid w:val="5FAB3BB8"/>
    <w:rsid w:val="5FFAB976"/>
    <w:rsid w:val="5FFE36C4"/>
    <w:rsid w:val="602816AC"/>
    <w:rsid w:val="60643652"/>
    <w:rsid w:val="60DD09F9"/>
    <w:rsid w:val="62321FA2"/>
    <w:rsid w:val="6311467A"/>
    <w:rsid w:val="636726D3"/>
    <w:rsid w:val="651D2E62"/>
    <w:rsid w:val="65BC052B"/>
    <w:rsid w:val="66022479"/>
    <w:rsid w:val="667F38ED"/>
    <w:rsid w:val="67BB1663"/>
    <w:rsid w:val="69AB6F79"/>
    <w:rsid w:val="6BCA673A"/>
    <w:rsid w:val="6D0643EC"/>
    <w:rsid w:val="6E1C52A5"/>
    <w:rsid w:val="6E6944F7"/>
    <w:rsid w:val="6EC027FE"/>
    <w:rsid w:val="6ED00F45"/>
    <w:rsid w:val="6EE07E80"/>
    <w:rsid w:val="6F9DC21E"/>
    <w:rsid w:val="708D34F0"/>
    <w:rsid w:val="720741AA"/>
    <w:rsid w:val="72C52B2A"/>
    <w:rsid w:val="72D1172F"/>
    <w:rsid w:val="73FC25AD"/>
    <w:rsid w:val="753D4533"/>
    <w:rsid w:val="760335C9"/>
    <w:rsid w:val="76631ACF"/>
    <w:rsid w:val="798304F2"/>
    <w:rsid w:val="7BC4727D"/>
    <w:rsid w:val="7BD812D2"/>
    <w:rsid w:val="7D717D97"/>
    <w:rsid w:val="7F1E6E78"/>
    <w:rsid w:val="7FB53B43"/>
    <w:rsid w:val="7FC70774"/>
    <w:rsid w:val="7FE4232D"/>
    <w:rsid w:val="7FEBACE2"/>
    <w:rsid w:val="BAF2DE38"/>
    <w:rsid w:val="BBFF635B"/>
    <w:rsid w:val="F6FB90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after="260" w:line="413" w:lineRule="auto"/>
      <w:outlineLvl w:val="2"/>
    </w:pPr>
    <w:rPr>
      <w:b/>
      <w:sz w:val="32"/>
    </w:rPr>
  </w:style>
  <w:style w:type="paragraph" w:styleId="5">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spacing w:after="160" w:line="259" w:lineRule="auto"/>
      <w:ind w:firstLine="200" w:firstLineChars="200"/>
    </w:pPr>
    <w:rPr>
      <w:rFonts w:ascii="Calibri" w:hAnsi="Calibri" w:eastAsia="宋体"/>
      <w:szCs w:val="24"/>
    </w:rPr>
  </w:style>
  <w:style w:type="paragraph" w:styleId="7">
    <w:name w:val="annotation text"/>
    <w:basedOn w:val="1"/>
    <w:qFormat/>
    <w:uiPriority w:val="0"/>
    <w:pPr>
      <w:jc w:val="left"/>
    </w:pPr>
  </w:style>
  <w:style w:type="paragraph" w:styleId="8">
    <w:name w:val="Body Text Indent"/>
    <w:basedOn w:val="1"/>
    <w:unhideWhenUsed/>
    <w:qFormat/>
    <w:uiPriority w:val="99"/>
    <w:pPr>
      <w:spacing w:after="120"/>
      <w:ind w:left="420" w:leftChars="200"/>
    </w:pPr>
  </w:style>
  <w:style w:type="paragraph" w:styleId="9">
    <w:name w:val="Plain Text"/>
    <w:basedOn w:val="1"/>
    <w:qFormat/>
    <w:uiPriority w:val="0"/>
    <w:rPr>
      <w:rFonts w:ascii="宋体" w:hAnsi="Courier New" w:eastAsia="宋体"/>
      <w:sz w:val="21"/>
    </w:rPr>
  </w:style>
  <w:style w:type="paragraph" w:styleId="10">
    <w:name w:val="footer"/>
    <w:basedOn w:val="1"/>
    <w:link w:val="24"/>
    <w:qFormat/>
    <w:uiPriority w:val="0"/>
    <w:pPr>
      <w:tabs>
        <w:tab w:val="center" w:pos="4153"/>
        <w:tab w:val="right" w:pos="8306"/>
      </w:tabs>
      <w:snapToGrid w:val="0"/>
      <w:jc w:val="left"/>
    </w:pPr>
    <w:rPr>
      <w:sz w:val="18"/>
      <w:szCs w:val="18"/>
    </w:rPr>
  </w:style>
  <w:style w:type="paragraph" w:styleId="11">
    <w:name w:val="header"/>
    <w:basedOn w:val="1"/>
    <w:link w:val="23"/>
    <w:qFormat/>
    <w:uiPriority w:val="0"/>
    <w:pPr>
      <w:tabs>
        <w:tab w:val="center" w:pos="4153"/>
        <w:tab w:val="right" w:pos="8306"/>
      </w:tabs>
      <w:snapToGrid w:val="0"/>
      <w:jc w:val="center"/>
    </w:pPr>
    <w:rPr>
      <w:sz w:val="18"/>
      <w:szCs w:val="18"/>
    </w:rPr>
  </w:style>
  <w:style w:type="paragraph" w:styleId="12">
    <w:name w:val="toc 1"/>
    <w:basedOn w:val="1"/>
    <w:next w:val="1"/>
    <w:unhideWhenUsed/>
    <w:qFormat/>
    <w:uiPriority w:val="39"/>
    <w:pPr>
      <w:tabs>
        <w:tab w:val="left" w:pos="600"/>
        <w:tab w:val="right" w:leader="dot" w:pos="8296"/>
      </w:tabs>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4">
    <w:name w:val="Body Text First Indent 2"/>
    <w:basedOn w:val="8"/>
    <w:unhideWhenUsed/>
    <w:qFormat/>
    <w:uiPriority w:val="0"/>
    <w:pPr>
      <w:ind w:firstLine="420" w:firstLineChars="200"/>
    </w:p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page number"/>
    <w:qFormat/>
    <w:uiPriority w:val="0"/>
  </w:style>
  <w:style w:type="character" w:styleId="20">
    <w:name w:val="Hyperlink"/>
    <w:basedOn w:val="17"/>
    <w:qFormat/>
    <w:uiPriority w:val="0"/>
    <w:rPr>
      <w:color w:val="0000FF"/>
      <w:u w:val="single"/>
    </w:rPr>
  </w:style>
  <w:style w:type="character" w:styleId="21">
    <w:name w:val="annotation reference"/>
    <w:basedOn w:val="17"/>
    <w:qFormat/>
    <w:uiPriority w:val="0"/>
    <w:rPr>
      <w:sz w:val="21"/>
      <w:szCs w:val="21"/>
    </w:rPr>
  </w:style>
  <w:style w:type="paragraph" w:customStyle="1" w:styleId="22">
    <w:name w:val="null3"/>
    <w:hidden/>
    <w:qFormat/>
    <w:uiPriority w:val="0"/>
    <w:rPr>
      <w:rFonts w:hint="eastAsia" w:asciiTheme="minorHAnsi" w:hAnsiTheme="minorHAnsi" w:eastAsiaTheme="minorEastAsia" w:cstheme="minorBidi"/>
      <w:lang w:val="en-US" w:eastAsia="zh-CN" w:bidi="ar-SA"/>
    </w:rPr>
  </w:style>
  <w:style w:type="character" w:customStyle="1" w:styleId="23">
    <w:name w:val="页眉 字符"/>
    <w:basedOn w:val="17"/>
    <w:link w:val="11"/>
    <w:qFormat/>
    <w:uiPriority w:val="0"/>
    <w:rPr>
      <w:sz w:val="18"/>
      <w:szCs w:val="18"/>
    </w:rPr>
  </w:style>
  <w:style w:type="character" w:customStyle="1" w:styleId="24">
    <w:name w:val="页脚 字符"/>
    <w:basedOn w:val="17"/>
    <w:link w:val="10"/>
    <w:qFormat/>
    <w:uiPriority w:val="0"/>
    <w:rPr>
      <w:sz w:val="18"/>
      <w:szCs w:val="18"/>
    </w:rPr>
  </w:style>
  <w:style w:type="character" w:customStyle="1" w:styleId="25">
    <w:name w:val="font21"/>
    <w:basedOn w:val="17"/>
    <w:qFormat/>
    <w:uiPriority w:val="0"/>
    <w:rPr>
      <w:rFonts w:hint="default" w:ascii="Calibri" w:hAnsi="Calibri" w:cs="Calibri"/>
      <w:color w:val="000000"/>
      <w:sz w:val="15"/>
      <w:szCs w:val="15"/>
      <w:u w:val="none"/>
    </w:rPr>
  </w:style>
  <w:style w:type="character" w:customStyle="1" w:styleId="26">
    <w:name w:val="font11"/>
    <w:basedOn w:val="17"/>
    <w:qFormat/>
    <w:uiPriority w:val="0"/>
    <w:rPr>
      <w:rFonts w:hint="eastAsia" w:ascii="华文细黑" w:hAnsi="华文细黑" w:eastAsia="华文细黑" w:cs="华文细黑"/>
      <w:color w:val="000000"/>
      <w:sz w:val="15"/>
      <w:szCs w:val="15"/>
      <w:u w:val="none"/>
    </w:rPr>
  </w:style>
  <w:style w:type="character" w:customStyle="1" w:styleId="27">
    <w:name w:val="font51"/>
    <w:basedOn w:val="17"/>
    <w:qFormat/>
    <w:uiPriority w:val="0"/>
    <w:rPr>
      <w:rFonts w:hint="eastAsia" w:ascii="宋体" w:hAnsi="宋体" w:eastAsia="宋体" w:cs="宋体"/>
      <w:color w:val="000000"/>
      <w:sz w:val="15"/>
      <w:szCs w:val="15"/>
      <w:u w:val="none"/>
    </w:rPr>
  </w:style>
  <w:style w:type="character" w:customStyle="1" w:styleId="28">
    <w:name w:val="font61"/>
    <w:basedOn w:val="17"/>
    <w:qFormat/>
    <w:uiPriority w:val="0"/>
    <w:rPr>
      <w:rFonts w:hint="default" w:ascii="Calibri" w:hAnsi="Calibri" w:cs="Calibri"/>
      <w:color w:val="000000"/>
      <w:sz w:val="16"/>
      <w:szCs w:val="16"/>
      <w:u w:val="none"/>
    </w:rPr>
  </w:style>
  <w:style w:type="character" w:customStyle="1" w:styleId="29">
    <w:name w:val="font31"/>
    <w:basedOn w:val="17"/>
    <w:qFormat/>
    <w:uiPriority w:val="0"/>
    <w:rPr>
      <w:rFonts w:hint="eastAsia" w:ascii="华文细黑" w:hAnsi="华文细黑" w:eastAsia="华文细黑" w:cs="华文细黑"/>
      <w:color w:val="000000"/>
      <w:sz w:val="16"/>
      <w:szCs w:val="16"/>
      <w:u w:val="none"/>
    </w:rPr>
  </w:style>
  <w:style w:type="character" w:customStyle="1" w:styleId="30">
    <w:name w:val="font41"/>
    <w:basedOn w:val="17"/>
    <w:qFormat/>
    <w:uiPriority w:val="0"/>
    <w:rPr>
      <w:rFonts w:hint="eastAsia" w:ascii="华文细黑" w:hAnsi="华文细黑" w:eastAsia="华文细黑" w:cs="华文细黑"/>
      <w:color w:val="000000"/>
      <w:sz w:val="15"/>
      <w:szCs w:val="15"/>
      <w:u w:val="none"/>
    </w:rPr>
  </w:style>
  <w:style w:type="character" w:customStyle="1" w:styleId="31">
    <w:name w:val="font71"/>
    <w:basedOn w:val="17"/>
    <w:qFormat/>
    <w:uiPriority w:val="0"/>
    <w:rPr>
      <w:rFonts w:hint="default" w:ascii="Calibri" w:hAnsi="Calibri" w:cs="Calibri"/>
      <w:color w:val="000000"/>
      <w:sz w:val="15"/>
      <w:szCs w:val="15"/>
      <w:u w:val="none"/>
    </w:rPr>
  </w:style>
  <w:style w:type="paragraph" w:styleId="32">
    <w:name w:val="List Paragraph"/>
    <w:basedOn w:val="1"/>
    <w:qFormat/>
    <w:uiPriority w:val="99"/>
    <w:pPr>
      <w:ind w:firstLine="420" w:firstLineChars="200"/>
    </w:pPr>
  </w:style>
  <w:style w:type="paragraph" w:customStyle="1" w:styleId="33">
    <w:name w:val="文档正文"/>
    <w:basedOn w:val="1"/>
    <w:autoRedefine/>
    <w:qFormat/>
    <w:uiPriority w:val="0"/>
    <w:pPr>
      <w:adjustRightInd w:val="0"/>
      <w:spacing w:line="480" w:lineRule="atLeast"/>
      <w:ind w:firstLine="567"/>
      <w:textAlignment w:val="baseline"/>
    </w:pPr>
    <w:rPr>
      <w:rFonts w:ascii="长城仿宋"/>
      <w:kern w:val="0"/>
      <w:sz w:val="24"/>
      <w:lang w:val="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2004</Words>
  <Characters>2051</Characters>
  <Lines>347</Lines>
  <Paragraphs>323</Paragraphs>
  <TotalTime>3</TotalTime>
  <ScaleCrop>false</ScaleCrop>
  <LinksUpToDate>false</LinksUpToDate>
  <CharactersWithSpaces>2052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2026-03-26T03:36:00Z</dcterms:created>
  <dc:creator>Apache POI</dc:creator>
  <cp:lastModifiedBy>Administrator</cp:lastModifiedBy>
  <cp:lastPrinted>2026-07-10T07:21:00Z</cp:lastPrinted>
  <dcterms:modified xsi:type="dcterms:W3CDTF">2026-07-24T03:03:20Z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13CFFDFD9E9D40CFBC10FBEADF929FF1_13</vt:lpwstr>
  </property>
  <property fmtid="{D5CDD505-2E9C-101B-9397-08002B2CF9AE}" pid="4" name="KSOTemplateDocerSaveRecord">
    <vt:lpwstr>eyJoZGlkIjoiMjM0MGU0ZmI2NTdkMDMyYmE3NWY1OWFmOGJmMWIyY2QiLCJ1c2VySWQiOiIzNTQzMjA5MTEifQ==</vt:lpwstr>
  </property>
</Properties>
</file>