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0B2DA">
      <w:pPr>
        <w:widowControl/>
        <w:shd w:val="clear" w:color="auto" w:fill="FFFFFF"/>
        <w:spacing w:line="560" w:lineRule="exact"/>
        <w:ind w:right="100"/>
        <w:jc w:val="center"/>
        <w:textAlignment w:val="baseline"/>
        <w:outlineLvl w:val="9"/>
        <w:rPr>
          <w:rFonts w:hint="eastAsia" w:ascii="仿宋_GB2312" w:hAnsi="仿宋_GB2312" w:eastAsia="仿宋_GB2312" w:cs="仿宋_GB2312"/>
          <w:b/>
          <w:bCs/>
          <w:color w:val="auto"/>
          <w:spacing w:val="0"/>
          <w:sz w:val="44"/>
          <w:szCs w:val="44"/>
          <w:highlight w:val="none"/>
          <w:lang w:val="en-US" w:eastAsia="zh-CN"/>
        </w:rPr>
      </w:pPr>
      <w:bookmarkStart w:id="0" w:name="OLE_LINK1"/>
      <w:r>
        <w:rPr>
          <w:rFonts w:hint="eastAsia" w:ascii="仿宋_GB2312" w:hAnsi="仿宋_GB2312" w:eastAsia="仿宋_GB2312" w:cs="仿宋_GB2312"/>
          <w:b/>
          <w:bCs/>
          <w:color w:val="000000" w:themeColor="text1"/>
          <w:spacing w:val="0"/>
          <w:sz w:val="44"/>
          <w:szCs w:val="44"/>
          <w:highlight w:val="none"/>
          <w:lang w:val="en-US" w:eastAsia="zh-CN"/>
          <w14:textFill>
            <w14:solidFill>
              <w14:schemeClr w14:val="tx1"/>
            </w14:solidFill>
          </w14:textFill>
        </w:rPr>
        <w:t>蓬</w:t>
      </w:r>
      <w:r>
        <w:rPr>
          <w:rFonts w:hint="eastAsia" w:ascii="仿宋_GB2312" w:hAnsi="仿宋_GB2312" w:eastAsia="仿宋_GB2312" w:cs="仿宋_GB2312"/>
          <w:b/>
          <w:bCs/>
          <w:color w:val="auto"/>
          <w:spacing w:val="0"/>
          <w:sz w:val="44"/>
          <w:szCs w:val="44"/>
          <w:highlight w:val="none"/>
          <w:lang w:val="en-US" w:eastAsia="zh-CN"/>
        </w:rPr>
        <w:t>江区饮用水水源地视频监控服务项目</w:t>
      </w:r>
      <w:bookmarkEnd w:id="0"/>
    </w:p>
    <w:p w14:paraId="4A986327">
      <w:pPr>
        <w:widowControl/>
        <w:shd w:val="clear" w:color="auto" w:fill="FFFFFF"/>
        <w:spacing w:line="560" w:lineRule="exact"/>
        <w:ind w:right="100"/>
        <w:jc w:val="center"/>
        <w:textAlignment w:val="baseline"/>
        <w:outlineLvl w:val="9"/>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lang w:val="en-US" w:eastAsia="zh-CN"/>
        </w:rPr>
        <w:t>采购公告</w:t>
      </w:r>
    </w:p>
    <w:p w14:paraId="4BDBA80C">
      <w:pPr>
        <w:spacing w:line="576" w:lineRule="exact"/>
        <w:ind w:firstLine="640" w:firstLineChars="200"/>
        <w:jc w:val="left"/>
        <w:rPr>
          <w:rFonts w:hint="eastAsia" w:ascii="仿宋_GB2312" w:hAnsi="仿宋_GB2312" w:eastAsia="仿宋_GB2312" w:cs="仿宋_GB2312"/>
          <w:color w:val="auto"/>
          <w:kern w:val="0"/>
          <w:sz w:val="32"/>
          <w:szCs w:val="32"/>
          <w:highlight w:val="none"/>
          <w:lang w:eastAsia="zh-CN"/>
        </w:rPr>
      </w:pPr>
    </w:p>
    <w:p w14:paraId="31A0F563">
      <w:pPr>
        <w:spacing w:line="576" w:lineRule="exact"/>
        <w:ind w:firstLine="640" w:firstLineChars="200"/>
        <w:jc w:val="left"/>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为做好饮用水水</w:t>
      </w:r>
      <w:r>
        <w:rPr>
          <w:rFonts w:hint="eastAsia" w:ascii="仿宋_GB2312" w:hAnsi="仿宋_GB2312" w:eastAsia="仿宋_GB2312" w:cs="仿宋_GB2312"/>
          <w:color w:val="auto"/>
          <w:kern w:val="0"/>
          <w:sz w:val="32"/>
          <w:szCs w:val="32"/>
          <w:highlight w:val="none"/>
          <w:lang w:val="en-US" w:eastAsia="zh-CN"/>
        </w:rPr>
        <w:t>源保护区视频监控服务运维工作，江门市生态环境局蓬江分局公开采购蓬江区饮用水水源地视频监控服务项目</w:t>
      </w:r>
      <w:r>
        <w:rPr>
          <w:rFonts w:hint="eastAsia" w:ascii="仿宋_GB2312" w:hAnsi="仿宋_GB2312" w:eastAsia="仿宋_GB2312" w:cs="仿宋_GB2312"/>
          <w:color w:val="auto"/>
          <w:kern w:val="0"/>
          <w:sz w:val="32"/>
          <w:szCs w:val="32"/>
          <w:highlight w:val="none"/>
          <w:lang w:eastAsia="zh-CN"/>
        </w:rPr>
        <w:t>，欢迎有意向并符合条件的供应商前来响应并报价。</w:t>
      </w:r>
    </w:p>
    <w:p w14:paraId="5F568E46">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1" w:name="heading_0"/>
      <w:r>
        <w:rPr>
          <w:rFonts w:hint="eastAsia" w:ascii="仿宋_GB2312" w:hAnsi="仿宋_GB2312" w:eastAsia="仿宋_GB2312" w:cs="仿宋_GB2312"/>
          <w:b/>
          <w:bCs w:val="0"/>
          <w:color w:val="auto"/>
          <w:sz w:val="32"/>
          <w:szCs w:val="32"/>
          <w:highlight w:val="none"/>
        </w:rPr>
        <w:t>一、项目基本信息</w:t>
      </w:r>
      <w:bookmarkEnd w:id="1"/>
    </w:p>
    <w:p w14:paraId="53E406EA">
      <w:pPr>
        <w:widowControl/>
        <w:spacing w:before="0" w:beforeLines="0" w:line="500" w:lineRule="exact"/>
        <w:ind w:firstLine="643" w:firstLineChars="200"/>
        <w:jc w:val="left"/>
        <w:rPr>
          <w:rFonts w:hint="eastAsia" w:ascii="仿宋_GB2312" w:hAnsi="仿宋_GB2312" w:eastAsia="仿宋_GB2312" w:cs="仿宋_GB2312"/>
          <w:b w:val="0"/>
          <w:color w:val="auto"/>
          <w:kern w:val="0"/>
          <w:sz w:val="32"/>
          <w:szCs w:val="32"/>
          <w:highlight w:val="none"/>
          <w:lang w:eastAsia="zh-CN"/>
        </w:rPr>
      </w:pPr>
      <w:bookmarkStart w:id="2" w:name="heading_1"/>
      <w:r>
        <w:rPr>
          <w:rFonts w:hint="eastAsia" w:ascii="仿宋_GB2312" w:hAnsi="仿宋_GB2312" w:eastAsia="仿宋_GB2312" w:cs="仿宋_GB2312"/>
          <w:b/>
          <w:color w:val="auto"/>
          <w:sz w:val="32"/>
          <w:szCs w:val="32"/>
          <w:highlight w:val="none"/>
        </w:rPr>
        <w:t>（一）项目名称：</w:t>
      </w:r>
      <w:bookmarkEnd w:id="2"/>
      <w:bookmarkStart w:id="3" w:name="heading_2"/>
      <w:r>
        <w:rPr>
          <w:rFonts w:hint="eastAsia" w:ascii="仿宋_GB2312" w:hAnsi="仿宋_GB2312" w:eastAsia="仿宋_GB2312" w:cs="仿宋_GB2312"/>
          <w:color w:val="auto"/>
          <w:kern w:val="0"/>
          <w:sz w:val="32"/>
          <w:szCs w:val="32"/>
          <w:highlight w:val="none"/>
          <w:lang w:val="en-US" w:eastAsia="zh-CN"/>
        </w:rPr>
        <w:t>蓬江区饮用水水源地视频监控服务项目</w:t>
      </w:r>
    </w:p>
    <w:p w14:paraId="76A07D18">
      <w:pPr>
        <w:spacing w:line="576" w:lineRule="exact"/>
        <w:ind w:firstLine="643" w:firstLineChars="200"/>
        <w:jc w:val="left"/>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（二）项目最高限价:</w:t>
      </w:r>
      <w:r>
        <w:rPr>
          <w:rFonts w:hint="eastAsia" w:ascii="仿宋_GB2312" w:hAnsi="仿宋_GB2312" w:eastAsia="仿宋_GB2312" w:cs="仿宋_GB2312"/>
          <w:bCs/>
          <w:color w:val="auto"/>
          <w:sz w:val="32"/>
          <w:szCs w:val="32"/>
          <w:highlight w:val="none"/>
        </w:rPr>
        <w:t>人民币</w:t>
      </w:r>
      <w:r>
        <w:rPr>
          <w:rFonts w:hint="eastAsia" w:ascii="仿宋_GB2312" w:hAnsi="仿宋_GB2312" w:eastAsia="仿宋_GB2312" w:cs="仿宋_GB2312"/>
          <w:bCs/>
          <w:color w:val="auto"/>
          <w:sz w:val="32"/>
          <w:szCs w:val="32"/>
          <w:highlight w:val="none"/>
          <w:lang w:val="en-US" w:eastAsia="zh-CN"/>
        </w:rPr>
        <w:t>15</w:t>
      </w:r>
      <w:r>
        <w:rPr>
          <w:rFonts w:hint="eastAsia" w:ascii="仿宋_GB2312" w:hAnsi="仿宋_GB2312" w:eastAsia="仿宋_GB2312" w:cs="仿宋_GB2312"/>
          <w:bCs/>
          <w:color w:val="auto"/>
          <w:sz w:val="32"/>
          <w:szCs w:val="32"/>
          <w:highlight w:val="none"/>
          <w:lang w:eastAsia="zh-CN"/>
        </w:rPr>
        <w:t>4</w:t>
      </w:r>
      <w:r>
        <w:rPr>
          <w:rFonts w:hint="eastAsia" w:ascii="仿宋_GB2312" w:hAnsi="仿宋_GB2312" w:eastAsia="仿宋_GB2312" w:cs="仿宋_GB2312"/>
          <w:bCs/>
          <w:color w:val="auto"/>
          <w:sz w:val="32"/>
          <w:szCs w:val="32"/>
          <w:highlight w:val="none"/>
          <w:lang w:val="en-US" w:eastAsia="zh-CN"/>
        </w:rPr>
        <w:t>500</w:t>
      </w:r>
      <w:r>
        <w:rPr>
          <w:rFonts w:hint="eastAsia" w:ascii="仿宋_GB2312" w:hAnsi="仿宋_GB2312" w:eastAsia="仿宋_GB2312" w:cs="仿宋_GB2312"/>
          <w:bCs/>
          <w:color w:val="auto"/>
          <w:sz w:val="32"/>
          <w:szCs w:val="32"/>
          <w:highlight w:val="none"/>
        </w:rPr>
        <w:t>元（投报总价超过最高限价的作为无效报价处理）</w:t>
      </w:r>
      <w:bookmarkEnd w:id="3"/>
    </w:p>
    <w:p w14:paraId="6B390681">
      <w:pPr>
        <w:spacing w:line="576" w:lineRule="exact"/>
        <w:ind w:firstLine="643" w:firstLineChars="200"/>
        <w:jc w:val="left"/>
        <w:outlineLvl w:val="9"/>
        <w:rPr>
          <w:rFonts w:hint="eastAsia" w:ascii="仿宋_GB2312" w:hAnsi="仿宋_GB2312" w:eastAsia="仿宋_GB2312" w:cs="仿宋_GB2312"/>
          <w:color w:val="auto"/>
          <w:sz w:val="32"/>
          <w:szCs w:val="32"/>
          <w:highlight w:val="none"/>
          <w:lang w:val="en-US" w:eastAsia="zh-CN"/>
        </w:rPr>
      </w:pPr>
      <w:bookmarkStart w:id="4" w:name="heading_3"/>
      <w:r>
        <w:rPr>
          <w:rFonts w:hint="eastAsia" w:ascii="仿宋_GB2312" w:hAnsi="仿宋_GB2312" w:eastAsia="仿宋_GB2312" w:cs="仿宋_GB2312"/>
          <w:b/>
          <w:color w:val="auto"/>
          <w:sz w:val="32"/>
          <w:szCs w:val="32"/>
          <w:highlight w:val="none"/>
        </w:rPr>
        <w:t>（三）项目内容：</w:t>
      </w:r>
      <w:bookmarkEnd w:id="4"/>
      <w:r>
        <w:rPr>
          <w:rFonts w:hint="eastAsia" w:ascii="仿宋_GB2312" w:hAnsi="仿宋_GB2312" w:eastAsia="仿宋_GB2312" w:cs="仿宋_GB2312"/>
          <w:color w:val="auto"/>
          <w:kern w:val="0"/>
          <w:sz w:val="32"/>
          <w:szCs w:val="32"/>
          <w:highlight w:val="none"/>
          <w:lang w:val="en-US" w:eastAsia="zh-CN"/>
        </w:rPr>
        <w:t>为江门市西海水道篁边饮用水水源保护区一级保护区已建成的全域感知监控系统提供年度运行维护服务。该系统已在相应区域部署6</w:t>
      </w:r>
      <w:r>
        <w:rPr>
          <w:rFonts w:hint="eastAsia" w:ascii="仿宋_GB2312" w:hAnsi="仿宋_GB2312" w:eastAsia="仿宋_GB2312" w:cs="仿宋_GB2312"/>
          <w:color w:val="auto"/>
          <w:sz w:val="32"/>
          <w:szCs w:val="32"/>
          <w:highlight w:val="none"/>
          <w:lang w:val="en-US" w:eastAsia="zh-CN"/>
        </w:rPr>
        <w:t>个监控高点，挂载</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套视频监控设备，运用人工智能识别技术，对监控</w:t>
      </w:r>
      <w:r>
        <w:rPr>
          <w:rFonts w:hint="eastAsia" w:ascii="仿宋_GB2312" w:hAnsi="仿宋_GB2312" w:eastAsia="仿宋_GB2312" w:cs="仿宋_GB2312"/>
          <w:color w:val="auto"/>
          <w:sz w:val="32"/>
          <w:szCs w:val="32"/>
          <w:highlight w:val="none"/>
          <w:lang w:val="en-US" w:eastAsia="zh-CN"/>
        </w:rPr>
        <w:t>区域</w:t>
      </w:r>
      <w:r>
        <w:rPr>
          <w:rFonts w:hint="eastAsia" w:ascii="仿宋_GB2312" w:hAnsi="仿宋_GB2312" w:eastAsia="仿宋_GB2312" w:cs="仿宋_GB2312"/>
          <w:color w:val="auto"/>
          <w:sz w:val="32"/>
          <w:szCs w:val="32"/>
          <w:highlight w:val="none"/>
        </w:rPr>
        <w:t>的人员入侵、机械车辆入侵</w:t>
      </w:r>
      <w:r>
        <w:rPr>
          <w:rFonts w:hint="eastAsia" w:ascii="仿宋_GB2312" w:hAnsi="仿宋_GB2312" w:eastAsia="仿宋_GB2312" w:cs="仿宋_GB2312"/>
          <w:color w:val="auto"/>
          <w:sz w:val="32"/>
          <w:szCs w:val="32"/>
          <w:highlight w:val="none"/>
          <w:lang w:val="en-US" w:eastAsia="zh-CN"/>
        </w:rPr>
        <w:t>异常行为</w:t>
      </w:r>
      <w:r>
        <w:rPr>
          <w:rFonts w:hint="eastAsia" w:ascii="仿宋_GB2312" w:hAnsi="仿宋_GB2312" w:eastAsia="仿宋_GB2312" w:cs="仿宋_GB2312"/>
          <w:color w:val="auto"/>
          <w:sz w:val="32"/>
          <w:szCs w:val="32"/>
          <w:highlight w:val="none"/>
        </w:rPr>
        <w:t>和日间水体颜色变化</w:t>
      </w:r>
      <w:r>
        <w:rPr>
          <w:rFonts w:hint="eastAsia" w:ascii="仿宋_GB2312" w:hAnsi="仿宋_GB2312" w:eastAsia="仿宋_GB2312" w:cs="仿宋_GB2312"/>
          <w:color w:val="auto"/>
          <w:sz w:val="32"/>
          <w:szCs w:val="32"/>
          <w:highlight w:val="none"/>
          <w:lang w:val="en-US" w:eastAsia="zh-CN"/>
        </w:rPr>
        <w:t>等情况</w:t>
      </w:r>
      <w:r>
        <w:rPr>
          <w:rFonts w:hint="eastAsia" w:ascii="仿宋_GB2312" w:hAnsi="仿宋_GB2312" w:eastAsia="仿宋_GB2312" w:cs="仿宋_GB2312"/>
          <w:color w:val="auto"/>
          <w:sz w:val="32"/>
          <w:szCs w:val="32"/>
          <w:highlight w:val="none"/>
        </w:rPr>
        <w:t>进行智能分析识别，通过实时发现、及时处理</w:t>
      </w:r>
      <w:r>
        <w:rPr>
          <w:rFonts w:hint="eastAsia" w:ascii="仿宋_GB2312" w:hAnsi="仿宋_GB2312" w:eastAsia="仿宋_GB2312" w:cs="仿宋_GB2312"/>
          <w:color w:val="auto"/>
          <w:sz w:val="32"/>
          <w:szCs w:val="32"/>
          <w:highlight w:val="none"/>
          <w:lang w:val="en-US" w:eastAsia="zh-CN"/>
        </w:rPr>
        <w:t>水源地</w:t>
      </w:r>
      <w:r>
        <w:rPr>
          <w:rFonts w:hint="eastAsia" w:ascii="仿宋_GB2312" w:hAnsi="仿宋_GB2312" w:eastAsia="仿宋_GB2312" w:cs="仿宋_GB2312"/>
          <w:color w:val="auto"/>
          <w:sz w:val="32"/>
          <w:szCs w:val="32"/>
          <w:highlight w:val="none"/>
        </w:rPr>
        <w:t>异常环境污染问题，有效提高</w:t>
      </w:r>
      <w:r>
        <w:rPr>
          <w:rFonts w:hint="eastAsia" w:ascii="仿宋_GB2312" w:hAnsi="仿宋_GB2312" w:eastAsia="仿宋_GB2312" w:cs="仿宋_GB2312"/>
          <w:color w:val="auto"/>
          <w:sz w:val="32"/>
          <w:szCs w:val="32"/>
          <w:highlight w:val="none"/>
          <w:lang w:val="en-US" w:eastAsia="zh-CN"/>
        </w:rPr>
        <w:t>我区对饮用水水源地监控管理的</w:t>
      </w:r>
      <w:r>
        <w:rPr>
          <w:rFonts w:hint="eastAsia" w:ascii="仿宋_GB2312" w:hAnsi="仿宋_GB2312" w:eastAsia="仿宋_GB2312" w:cs="仿宋_GB2312"/>
          <w:color w:val="auto"/>
          <w:sz w:val="32"/>
          <w:szCs w:val="32"/>
          <w:highlight w:val="none"/>
        </w:rPr>
        <w:t>针对性、科学性和准确性，持续提升我市</w:t>
      </w:r>
      <w:r>
        <w:rPr>
          <w:rFonts w:hint="eastAsia" w:ascii="仿宋_GB2312" w:hAnsi="仿宋_GB2312" w:eastAsia="仿宋_GB2312" w:cs="仿宋_GB2312"/>
          <w:color w:val="auto"/>
          <w:sz w:val="32"/>
          <w:szCs w:val="32"/>
          <w:highlight w:val="none"/>
          <w:lang w:val="en-US" w:eastAsia="zh-CN"/>
        </w:rPr>
        <w:t>水源地</w:t>
      </w:r>
      <w:r>
        <w:rPr>
          <w:rFonts w:hint="eastAsia" w:ascii="仿宋_GB2312" w:hAnsi="仿宋_GB2312" w:eastAsia="仿宋_GB2312" w:cs="仿宋_GB2312"/>
          <w:color w:val="auto"/>
          <w:sz w:val="32"/>
          <w:szCs w:val="32"/>
          <w:highlight w:val="none"/>
        </w:rPr>
        <w:t>环境质量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保障人民群众的饮水安全。</w:t>
      </w:r>
    </w:p>
    <w:p w14:paraId="0883F75F">
      <w:pPr>
        <w:spacing w:line="576" w:lineRule="exact"/>
        <w:ind w:firstLine="643" w:firstLineChars="200"/>
        <w:jc w:val="left"/>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（四）服务期限：</w:t>
      </w:r>
      <w:r>
        <w:rPr>
          <w:rFonts w:hint="eastAsia" w:ascii="仿宋_GB2312" w:hAnsi="仿宋_GB2312" w:eastAsia="仿宋_GB2312" w:cs="仿宋_GB2312"/>
          <w:color w:val="auto"/>
          <w:sz w:val="32"/>
          <w:szCs w:val="32"/>
          <w:highlight w:val="none"/>
          <w:lang w:val="en-US" w:eastAsia="zh-CN"/>
        </w:rPr>
        <w:t>本项目服务期为自项目通过初验之日起一年。</w:t>
      </w:r>
    </w:p>
    <w:p w14:paraId="2B2C871D">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5" w:name="heading_4"/>
      <w:r>
        <w:rPr>
          <w:rFonts w:hint="eastAsia" w:ascii="仿宋_GB2312" w:hAnsi="仿宋_GB2312" w:eastAsia="仿宋_GB2312" w:cs="仿宋_GB2312"/>
          <w:b/>
          <w:bCs w:val="0"/>
          <w:color w:val="auto"/>
          <w:sz w:val="32"/>
          <w:szCs w:val="32"/>
          <w:highlight w:val="none"/>
        </w:rPr>
        <w:t>二、采购需求</w:t>
      </w:r>
      <w:bookmarkEnd w:id="5"/>
    </w:p>
    <w:p w14:paraId="7001BA8B">
      <w:pPr>
        <w:spacing w:line="576" w:lineRule="exact"/>
        <w:ind w:firstLine="643" w:firstLineChars="200"/>
        <w:jc w:val="left"/>
        <w:outlineLvl w:val="9"/>
        <w:rPr>
          <w:rFonts w:hint="eastAsia" w:ascii="仿宋_GB2312" w:hAnsi="仿宋_GB2312" w:eastAsia="仿宋_GB2312" w:cs="仿宋_GB2312"/>
          <w:b/>
          <w:color w:val="auto"/>
          <w:sz w:val="32"/>
          <w:szCs w:val="32"/>
          <w:highlight w:val="none"/>
        </w:rPr>
      </w:pPr>
      <w:bookmarkStart w:id="6" w:name="heading_5"/>
      <w:r>
        <w:rPr>
          <w:rFonts w:hint="eastAsia" w:ascii="仿宋_GB2312" w:hAnsi="仿宋_GB2312" w:eastAsia="仿宋_GB2312" w:cs="仿宋_GB2312"/>
          <w:b/>
          <w:color w:val="auto"/>
          <w:sz w:val="32"/>
          <w:szCs w:val="32"/>
          <w:highlight w:val="none"/>
        </w:rPr>
        <w:t>（一）采购内容</w:t>
      </w:r>
      <w:bookmarkEnd w:id="6"/>
    </w:p>
    <w:p w14:paraId="028DEEBC">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本项目采购服务内容涵盖</w:t>
      </w:r>
      <w:r>
        <w:rPr>
          <w:rFonts w:hint="eastAsia" w:ascii="仿宋_GB2312" w:hAnsi="仿宋_GB2312" w:eastAsia="仿宋_GB2312" w:cs="仿宋_GB2312"/>
          <w:color w:val="auto"/>
          <w:sz w:val="32"/>
          <w:szCs w:val="32"/>
          <w:highlight w:val="none"/>
          <w:lang w:val="en-US" w:eastAsia="zh-CN"/>
        </w:rPr>
        <w:t>高位视频监控服务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AI识别算法、全域感知</w:t>
      </w:r>
      <w:r>
        <w:rPr>
          <w:rFonts w:hint="eastAsia" w:ascii="仿宋_GB2312" w:hAnsi="仿宋_GB2312" w:eastAsia="仿宋_GB2312" w:cs="仿宋_GB2312"/>
          <w:color w:val="auto"/>
          <w:sz w:val="32"/>
          <w:szCs w:val="32"/>
          <w:highlight w:val="none"/>
        </w:rPr>
        <w:t>监</w:t>
      </w:r>
      <w:r>
        <w:rPr>
          <w:rFonts w:hint="eastAsia" w:ascii="仿宋_GB2312" w:hAnsi="仿宋_GB2312" w:eastAsia="仿宋_GB2312" w:cs="仿宋_GB2312"/>
          <w:color w:val="auto"/>
          <w:sz w:val="32"/>
          <w:szCs w:val="32"/>
          <w:highlight w:val="none"/>
          <w:lang w:eastAsia="zh-CN"/>
        </w:rPr>
        <w:t>控</w:t>
      </w:r>
      <w:r>
        <w:rPr>
          <w:rFonts w:hint="eastAsia" w:ascii="仿宋_GB2312" w:hAnsi="仿宋_GB2312" w:eastAsia="仿宋_GB2312" w:cs="仿宋_GB2312"/>
          <w:color w:val="auto"/>
          <w:sz w:val="32"/>
          <w:szCs w:val="32"/>
          <w:highlight w:val="none"/>
        </w:rPr>
        <w:t>系统及运维保障等，具体需求见下表：</w:t>
      </w:r>
    </w:p>
    <w:tbl>
      <w:tblPr>
        <w:tblStyle w:val="15"/>
        <w:tblW w:w="54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60"/>
        <w:gridCol w:w="1563"/>
        <w:gridCol w:w="739"/>
        <w:gridCol w:w="780"/>
        <w:gridCol w:w="1974"/>
        <w:gridCol w:w="3662"/>
      </w:tblGrid>
      <w:tr w14:paraId="5521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46" w:hRule="atLeast"/>
          <w:jc w:val="center"/>
        </w:trPr>
        <w:tc>
          <w:tcPr>
            <w:tcW w:w="302" w:type="pct"/>
            <w:tcBorders>
              <w:tl2br w:val="nil"/>
              <w:tr2bl w:val="nil"/>
            </w:tcBorders>
            <w:tcMar>
              <w:top w:w="60" w:type="dxa"/>
              <w:left w:w="120" w:type="dxa"/>
              <w:bottom w:w="30" w:type="dxa"/>
              <w:right w:w="120" w:type="dxa"/>
            </w:tcMar>
            <w:vAlign w:val="center"/>
          </w:tcPr>
          <w:p w14:paraId="5F4271F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842" w:type="pct"/>
            <w:tcBorders>
              <w:tl2br w:val="nil"/>
              <w:tr2bl w:val="nil"/>
            </w:tcBorders>
            <w:tcMar>
              <w:top w:w="60" w:type="dxa"/>
              <w:left w:w="120" w:type="dxa"/>
              <w:bottom w:w="30" w:type="dxa"/>
              <w:right w:w="120" w:type="dxa"/>
            </w:tcMar>
            <w:vAlign w:val="center"/>
          </w:tcPr>
          <w:p w14:paraId="499D5FC4">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服务名称</w:t>
            </w:r>
          </w:p>
        </w:tc>
        <w:tc>
          <w:tcPr>
            <w:tcW w:w="398" w:type="pct"/>
            <w:tcBorders>
              <w:tl2br w:val="nil"/>
              <w:tr2bl w:val="nil"/>
            </w:tcBorders>
            <w:tcMar>
              <w:top w:w="60" w:type="dxa"/>
              <w:left w:w="120" w:type="dxa"/>
              <w:bottom w:w="30" w:type="dxa"/>
              <w:right w:w="120" w:type="dxa"/>
            </w:tcMar>
            <w:vAlign w:val="center"/>
          </w:tcPr>
          <w:p w14:paraId="3F478634">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420" w:type="pct"/>
            <w:tcBorders>
              <w:tl2br w:val="nil"/>
              <w:tr2bl w:val="nil"/>
            </w:tcBorders>
            <w:tcMar>
              <w:top w:w="60" w:type="dxa"/>
              <w:left w:w="120" w:type="dxa"/>
              <w:bottom w:w="30" w:type="dxa"/>
              <w:right w:w="120" w:type="dxa"/>
            </w:tcMar>
            <w:vAlign w:val="center"/>
          </w:tcPr>
          <w:p w14:paraId="37616F6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1063" w:type="pct"/>
            <w:tcBorders>
              <w:tl2br w:val="nil"/>
              <w:tr2bl w:val="nil"/>
            </w:tcBorders>
            <w:tcMar>
              <w:top w:w="60" w:type="dxa"/>
              <w:left w:w="120" w:type="dxa"/>
              <w:bottom w:w="30" w:type="dxa"/>
              <w:right w:w="120" w:type="dxa"/>
            </w:tcMar>
            <w:vAlign w:val="center"/>
          </w:tcPr>
          <w:p w14:paraId="2F7D4F37">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服务期限</w:t>
            </w:r>
          </w:p>
        </w:tc>
        <w:tc>
          <w:tcPr>
            <w:tcW w:w="1972" w:type="pct"/>
            <w:tcBorders>
              <w:tl2br w:val="nil"/>
              <w:tr2bl w:val="nil"/>
            </w:tcBorders>
            <w:tcMar>
              <w:top w:w="60" w:type="dxa"/>
              <w:left w:w="120" w:type="dxa"/>
              <w:bottom w:w="30" w:type="dxa"/>
              <w:right w:w="120" w:type="dxa"/>
            </w:tcMar>
            <w:vAlign w:val="center"/>
          </w:tcPr>
          <w:p w14:paraId="5B58EFC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3616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2" w:type="pct"/>
            <w:tcBorders>
              <w:tl2br w:val="nil"/>
              <w:tr2bl w:val="nil"/>
            </w:tcBorders>
            <w:tcMar>
              <w:top w:w="60" w:type="dxa"/>
              <w:left w:w="120" w:type="dxa"/>
              <w:bottom w:w="30" w:type="dxa"/>
              <w:right w:w="120" w:type="dxa"/>
            </w:tcMar>
            <w:vAlign w:val="center"/>
          </w:tcPr>
          <w:p w14:paraId="79D707BC">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842" w:type="pct"/>
            <w:tcBorders>
              <w:tl2br w:val="nil"/>
              <w:tr2bl w:val="nil"/>
            </w:tcBorders>
            <w:tcMar>
              <w:top w:w="60" w:type="dxa"/>
              <w:left w:w="120" w:type="dxa"/>
              <w:bottom w:w="30" w:type="dxa"/>
              <w:right w:w="120" w:type="dxa"/>
            </w:tcMar>
            <w:vAlign w:val="center"/>
          </w:tcPr>
          <w:p w14:paraId="660B999D">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高位视频监控服务</w:t>
            </w:r>
          </w:p>
        </w:tc>
        <w:tc>
          <w:tcPr>
            <w:tcW w:w="398" w:type="pct"/>
            <w:tcBorders>
              <w:tl2br w:val="nil"/>
              <w:tr2bl w:val="nil"/>
            </w:tcBorders>
            <w:tcMar>
              <w:top w:w="60" w:type="dxa"/>
              <w:left w:w="120" w:type="dxa"/>
              <w:bottom w:w="30" w:type="dxa"/>
              <w:right w:w="120" w:type="dxa"/>
            </w:tcMar>
            <w:vAlign w:val="center"/>
          </w:tcPr>
          <w:p w14:paraId="77E0C756">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420" w:type="pct"/>
            <w:tcBorders>
              <w:tl2br w:val="nil"/>
              <w:tr2bl w:val="nil"/>
            </w:tcBorders>
            <w:tcMar>
              <w:top w:w="60" w:type="dxa"/>
              <w:left w:w="120" w:type="dxa"/>
              <w:bottom w:w="30" w:type="dxa"/>
              <w:right w:w="120" w:type="dxa"/>
            </w:tcMar>
            <w:vAlign w:val="center"/>
          </w:tcPr>
          <w:p w14:paraId="4976010A">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w:t>
            </w:r>
          </w:p>
        </w:tc>
        <w:tc>
          <w:tcPr>
            <w:tcW w:w="1063" w:type="pct"/>
            <w:tcBorders>
              <w:tl2br w:val="nil"/>
              <w:tr2bl w:val="nil"/>
            </w:tcBorders>
            <w:tcMar>
              <w:top w:w="60" w:type="dxa"/>
              <w:left w:w="120" w:type="dxa"/>
              <w:bottom w:w="30" w:type="dxa"/>
              <w:right w:w="120" w:type="dxa"/>
            </w:tcMar>
            <w:vAlign w:val="center"/>
          </w:tcPr>
          <w:p w14:paraId="5B236399">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项目通过初验之日起计算一年</w:t>
            </w:r>
          </w:p>
        </w:tc>
        <w:tc>
          <w:tcPr>
            <w:tcW w:w="1972" w:type="pct"/>
            <w:tcBorders>
              <w:tl2br w:val="nil"/>
              <w:tr2bl w:val="nil"/>
            </w:tcBorders>
            <w:tcMar>
              <w:top w:w="60" w:type="dxa"/>
              <w:left w:w="120" w:type="dxa"/>
              <w:bottom w:w="30" w:type="dxa"/>
              <w:right w:w="120" w:type="dxa"/>
            </w:tcMar>
            <w:vAlign w:val="center"/>
          </w:tcPr>
          <w:p w14:paraId="0BB25114">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包括6个监控高点以及12套摄像机设备的日常巡检、故障维修、性能保障及配套资源运维</w:t>
            </w:r>
          </w:p>
        </w:tc>
      </w:tr>
      <w:tr w14:paraId="7590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2" w:type="pct"/>
            <w:tcBorders>
              <w:tl2br w:val="nil"/>
              <w:tr2bl w:val="nil"/>
            </w:tcBorders>
            <w:tcMar>
              <w:top w:w="60" w:type="dxa"/>
              <w:left w:w="120" w:type="dxa"/>
              <w:bottom w:w="30" w:type="dxa"/>
              <w:right w:w="120" w:type="dxa"/>
            </w:tcMar>
            <w:vAlign w:val="center"/>
          </w:tcPr>
          <w:p w14:paraId="60BFE3A0">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842" w:type="pct"/>
            <w:tcBorders>
              <w:tl2br w:val="nil"/>
              <w:tr2bl w:val="nil"/>
            </w:tcBorders>
            <w:shd w:val="clear" w:color="auto" w:fill="auto"/>
            <w:tcMar>
              <w:top w:w="60" w:type="dxa"/>
              <w:left w:w="120" w:type="dxa"/>
              <w:bottom w:w="30" w:type="dxa"/>
              <w:right w:w="120" w:type="dxa"/>
            </w:tcMar>
            <w:vAlign w:val="center"/>
          </w:tcPr>
          <w:p w14:paraId="4985350F">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AI识别算法</w:t>
            </w:r>
          </w:p>
        </w:tc>
        <w:tc>
          <w:tcPr>
            <w:tcW w:w="398" w:type="pct"/>
            <w:tcBorders>
              <w:tl2br w:val="nil"/>
              <w:tr2bl w:val="nil"/>
            </w:tcBorders>
            <w:shd w:val="clear" w:color="auto" w:fill="auto"/>
            <w:tcMar>
              <w:top w:w="60" w:type="dxa"/>
              <w:left w:w="120" w:type="dxa"/>
              <w:bottom w:w="30" w:type="dxa"/>
              <w:right w:w="120" w:type="dxa"/>
            </w:tcMar>
            <w:vAlign w:val="center"/>
          </w:tcPr>
          <w:p w14:paraId="6F6F81CB">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w:t>
            </w:r>
          </w:p>
        </w:tc>
        <w:tc>
          <w:tcPr>
            <w:tcW w:w="420" w:type="pct"/>
            <w:tcBorders>
              <w:tl2br w:val="nil"/>
              <w:tr2bl w:val="nil"/>
            </w:tcBorders>
            <w:shd w:val="clear" w:color="auto" w:fill="auto"/>
            <w:tcMar>
              <w:top w:w="60" w:type="dxa"/>
              <w:left w:w="120" w:type="dxa"/>
              <w:bottom w:w="30" w:type="dxa"/>
              <w:right w:w="120" w:type="dxa"/>
            </w:tcMar>
            <w:vAlign w:val="center"/>
          </w:tcPr>
          <w:p w14:paraId="343F0D8A">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项</w:t>
            </w:r>
          </w:p>
        </w:tc>
        <w:tc>
          <w:tcPr>
            <w:tcW w:w="1063" w:type="pct"/>
            <w:tcBorders>
              <w:tl2br w:val="nil"/>
              <w:tr2bl w:val="nil"/>
            </w:tcBorders>
            <w:shd w:val="clear" w:color="auto" w:fill="auto"/>
            <w:tcMar>
              <w:top w:w="60" w:type="dxa"/>
              <w:left w:w="120" w:type="dxa"/>
              <w:bottom w:w="30" w:type="dxa"/>
              <w:right w:w="120" w:type="dxa"/>
            </w:tcMar>
            <w:vAlign w:val="center"/>
          </w:tcPr>
          <w:p w14:paraId="10DF9772">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项目通过初验之日起计算一年</w:t>
            </w:r>
          </w:p>
        </w:tc>
        <w:tc>
          <w:tcPr>
            <w:tcW w:w="1972" w:type="pct"/>
            <w:tcBorders>
              <w:tl2br w:val="nil"/>
              <w:tr2bl w:val="nil"/>
            </w:tcBorders>
            <w:tcMar>
              <w:top w:w="60" w:type="dxa"/>
              <w:left w:w="120" w:type="dxa"/>
              <w:bottom w:w="30" w:type="dxa"/>
              <w:right w:w="120" w:type="dxa"/>
            </w:tcMar>
            <w:vAlign w:val="center"/>
          </w:tcPr>
          <w:p w14:paraId="01A5826A">
            <w:pPr>
              <w:numPr>
                <w:ilvl w:val="0"/>
                <w:numId w:val="0"/>
              </w:numPr>
              <w:spacing w:line="240" w:lineRule="auto"/>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24小时算法识别：包含水源地保护所需算法，包括人员入侵、机械车辆入侵和日间水体颜色变化等。</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精准违规违法地定位，一键导航。</w:t>
            </w:r>
          </w:p>
          <w:p w14:paraId="751DBD5E">
            <w:pPr>
              <w:numPr>
                <w:ilvl w:val="0"/>
                <w:numId w:val="0"/>
              </w:numPr>
              <w:spacing w:line="240" w:lineRule="auto"/>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3）无人值守，系统自动发现，拉框放大，聚焦取证，自动预警推送</w:t>
            </w:r>
          </w:p>
        </w:tc>
      </w:tr>
      <w:tr w14:paraId="7ECE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92" w:hRule="atLeast"/>
          <w:jc w:val="center"/>
        </w:trPr>
        <w:tc>
          <w:tcPr>
            <w:tcW w:w="302" w:type="pct"/>
            <w:tcBorders>
              <w:tl2br w:val="nil"/>
              <w:tr2bl w:val="nil"/>
            </w:tcBorders>
            <w:tcMar>
              <w:top w:w="60" w:type="dxa"/>
              <w:left w:w="120" w:type="dxa"/>
              <w:bottom w:w="30" w:type="dxa"/>
              <w:right w:w="120" w:type="dxa"/>
            </w:tcMar>
            <w:vAlign w:val="center"/>
          </w:tcPr>
          <w:p w14:paraId="6110A0F3">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842" w:type="pct"/>
            <w:tcBorders>
              <w:tl2br w:val="nil"/>
              <w:tr2bl w:val="nil"/>
            </w:tcBorders>
            <w:shd w:val="clear" w:color="auto" w:fill="auto"/>
            <w:tcMar>
              <w:top w:w="60" w:type="dxa"/>
              <w:left w:w="120" w:type="dxa"/>
              <w:bottom w:w="30" w:type="dxa"/>
              <w:right w:w="120" w:type="dxa"/>
            </w:tcMar>
            <w:vAlign w:val="center"/>
          </w:tcPr>
          <w:p w14:paraId="20ABE1C9">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全域感知监控系统</w:t>
            </w:r>
          </w:p>
        </w:tc>
        <w:tc>
          <w:tcPr>
            <w:tcW w:w="398" w:type="pct"/>
            <w:tcBorders>
              <w:tl2br w:val="nil"/>
              <w:tr2bl w:val="nil"/>
            </w:tcBorders>
            <w:shd w:val="clear" w:color="auto" w:fill="auto"/>
            <w:tcMar>
              <w:top w:w="60" w:type="dxa"/>
              <w:left w:w="120" w:type="dxa"/>
              <w:bottom w:w="30" w:type="dxa"/>
              <w:right w:w="120" w:type="dxa"/>
            </w:tcMar>
            <w:vAlign w:val="center"/>
          </w:tcPr>
          <w:p w14:paraId="5CA7D40B">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w:t>
            </w:r>
          </w:p>
        </w:tc>
        <w:tc>
          <w:tcPr>
            <w:tcW w:w="420" w:type="pct"/>
            <w:tcBorders>
              <w:tl2br w:val="nil"/>
              <w:tr2bl w:val="nil"/>
            </w:tcBorders>
            <w:shd w:val="clear" w:color="auto" w:fill="auto"/>
            <w:tcMar>
              <w:top w:w="60" w:type="dxa"/>
              <w:left w:w="120" w:type="dxa"/>
              <w:bottom w:w="30" w:type="dxa"/>
              <w:right w:w="120" w:type="dxa"/>
            </w:tcMar>
            <w:vAlign w:val="center"/>
          </w:tcPr>
          <w:p w14:paraId="1A6EB129">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套</w:t>
            </w:r>
          </w:p>
        </w:tc>
        <w:tc>
          <w:tcPr>
            <w:tcW w:w="1063" w:type="pct"/>
            <w:tcBorders>
              <w:tl2br w:val="nil"/>
              <w:tr2bl w:val="nil"/>
            </w:tcBorders>
            <w:shd w:val="clear" w:color="auto" w:fill="auto"/>
            <w:tcMar>
              <w:top w:w="60" w:type="dxa"/>
              <w:left w:w="120" w:type="dxa"/>
              <w:bottom w:w="30" w:type="dxa"/>
              <w:right w:w="120" w:type="dxa"/>
            </w:tcMar>
            <w:vAlign w:val="center"/>
          </w:tcPr>
          <w:p w14:paraId="09EEBED6">
            <w:pPr>
              <w:spacing w:line="240" w:lineRule="auto"/>
              <w:jc w:val="center"/>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项目通过初验之日起计算一年</w:t>
            </w:r>
          </w:p>
        </w:tc>
        <w:tc>
          <w:tcPr>
            <w:tcW w:w="1972" w:type="pct"/>
            <w:tcBorders>
              <w:tl2br w:val="nil"/>
              <w:tr2bl w:val="nil"/>
            </w:tcBorders>
            <w:tcMar>
              <w:top w:w="60" w:type="dxa"/>
              <w:left w:w="120" w:type="dxa"/>
              <w:bottom w:w="30" w:type="dxa"/>
              <w:right w:w="120" w:type="dxa"/>
            </w:tcMar>
            <w:vAlign w:val="center"/>
          </w:tcPr>
          <w:p w14:paraId="3E8873D1">
            <w:pPr>
              <w:widowControl w:val="0"/>
              <w:numPr>
                <w:ilvl w:val="0"/>
                <w:numId w:val="0"/>
              </w:numPr>
              <w:spacing w:line="240" w:lineRule="auto"/>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云平台</w:t>
            </w:r>
            <w:r>
              <w:rPr>
                <w:rFonts w:hint="eastAsia" w:ascii="仿宋_GB2312" w:hAnsi="仿宋_GB2312" w:eastAsia="仿宋_GB2312" w:cs="仿宋_GB2312"/>
                <w:color w:val="auto"/>
                <w:sz w:val="24"/>
                <w:szCs w:val="24"/>
                <w:highlight w:val="none"/>
                <w:lang w:val="en-US" w:eastAsia="zh-CN"/>
              </w:rPr>
              <w:t>资源</w:t>
            </w:r>
            <w:r>
              <w:rPr>
                <w:rFonts w:hint="eastAsia" w:ascii="仿宋_GB2312" w:hAnsi="仿宋_GB2312" w:eastAsia="仿宋_GB2312" w:cs="仿宋_GB2312"/>
                <w:color w:val="auto"/>
                <w:sz w:val="24"/>
                <w:szCs w:val="24"/>
                <w:highlight w:val="none"/>
              </w:rPr>
              <w:t>接入</w:t>
            </w:r>
            <w:r>
              <w:rPr>
                <w:rFonts w:hint="eastAsia" w:ascii="仿宋_GB2312" w:hAnsi="仿宋_GB2312" w:eastAsia="仿宋_GB2312" w:cs="仿宋_GB2312"/>
                <w:color w:val="auto"/>
                <w:sz w:val="24"/>
                <w:szCs w:val="24"/>
                <w:highlight w:val="none"/>
                <w:lang w:eastAsia="zh-CN"/>
              </w:rPr>
              <w:t>；</w:t>
            </w:r>
          </w:p>
          <w:p w14:paraId="6EE67AB6">
            <w:pPr>
              <w:widowControl w:val="0"/>
              <w:numPr>
                <w:ilvl w:val="0"/>
                <w:numId w:val="0"/>
              </w:numPr>
              <w:spacing w:line="240" w:lineRule="auto"/>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平台部署、使用，包括人机联防、分屏展示、预警事件、态势分析</w:t>
            </w:r>
          </w:p>
        </w:tc>
      </w:tr>
      <w:tr w14:paraId="378F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2" w:type="pct"/>
            <w:tcBorders>
              <w:tl2br w:val="nil"/>
              <w:tr2bl w:val="nil"/>
            </w:tcBorders>
            <w:tcMar>
              <w:top w:w="60" w:type="dxa"/>
              <w:left w:w="120" w:type="dxa"/>
              <w:bottom w:w="30" w:type="dxa"/>
              <w:right w:w="120" w:type="dxa"/>
            </w:tcMar>
            <w:vAlign w:val="center"/>
          </w:tcPr>
          <w:p w14:paraId="10AE2643">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842" w:type="pct"/>
            <w:tcBorders>
              <w:tl2br w:val="nil"/>
              <w:tr2bl w:val="nil"/>
            </w:tcBorders>
            <w:tcMar>
              <w:top w:w="60" w:type="dxa"/>
              <w:left w:w="120" w:type="dxa"/>
              <w:bottom w:w="30" w:type="dxa"/>
              <w:right w:w="120" w:type="dxa"/>
            </w:tcMar>
            <w:vAlign w:val="center"/>
          </w:tcPr>
          <w:p w14:paraId="2144DAEE">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前端摄像机维护</w:t>
            </w:r>
          </w:p>
        </w:tc>
        <w:tc>
          <w:tcPr>
            <w:tcW w:w="398" w:type="pct"/>
            <w:tcBorders>
              <w:tl2br w:val="nil"/>
              <w:tr2bl w:val="nil"/>
            </w:tcBorders>
            <w:tcMar>
              <w:top w:w="60" w:type="dxa"/>
              <w:left w:w="120" w:type="dxa"/>
              <w:bottom w:w="30" w:type="dxa"/>
              <w:right w:w="120" w:type="dxa"/>
            </w:tcMar>
            <w:vAlign w:val="center"/>
          </w:tcPr>
          <w:p w14:paraId="7F4DED96">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420" w:type="pct"/>
            <w:tcBorders>
              <w:tl2br w:val="nil"/>
              <w:tr2bl w:val="nil"/>
            </w:tcBorders>
            <w:tcMar>
              <w:top w:w="60" w:type="dxa"/>
              <w:left w:w="120" w:type="dxa"/>
              <w:bottom w:w="30" w:type="dxa"/>
              <w:right w:w="120" w:type="dxa"/>
            </w:tcMar>
            <w:vAlign w:val="center"/>
          </w:tcPr>
          <w:p w14:paraId="5CE1FDD8">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w:t>
            </w:r>
          </w:p>
        </w:tc>
        <w:tc>
          <w:tcPr>
            <w:tcW w:w="1063" w:type="pct"/>
            <w:tcBorders>
              <w:tl2br w:val="nil"/>
              <w:tr2bl w:val="nil"/>
            </w:tcBorders>
            <w:tcMar>
              <w:top w:w="60" w:type="dxa"/>
              <w:left w:w="120" w:type="dxa"/>
              <w:bottom w:w="30" w:type="dxa"/>
              <w:right w:w="120" w:type="dxa"/>
            </w:tcMar>
            <w:vAlign w:val="center"/>
          </w:tcPr>
          <w:p w14:paraId="13900878">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项目通过初验之日起计算一年</w:t>
            </w:r>
          </w:p>
        </w:tc>
        <w:tc>
          <w:tcPr>
            <w:tcW w:w="1972" w:type="pct"/>
            <w:tcBorders>
              <w:tl2br w:val="nil"/>
              <w:tr2bl w:val="nil"/>
            </w:tcBorders>
            <w:tcMar>
              <w:top w:w="60" w:type="dxa"/>
              <w:left w:w="120" w:type="dxa"/>
              <w:bottom w:w="30" w:type="dxa"/>
              <w:right w:w="120" w:type="dxa"/>
            </w:tcMar>
            <w:vAlign w:val="center"/>
          </w:tcPr>
          <w:p w14:paraId="4BCBFDA1">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color w:val="auto"/>
                <w:sz w:val="24"/>
                <w:szCs w:val="24"/>
                <w:highlight w:val="none"/>
                <w:lang w:val="en-US" w:eastAsia="zh-CN"/>
              </w:rPr>
              <w:t>高位</w:t>
            </w:r>
            <w:r>
              <w:rPr>
                <w:rFonts w:hint="eastAsia" w:ascii="仿宋_GB2312" w:hAnsi="仿宋_GB2312" w:eastAsia="仿宋_GB2312" w:cs="仿宋_GB2312"/>
                <w:color w:val="auto"/>
                <w:sz w:val="24"/>
                <w:szCs w:val="24"/>
                <w:highlight w:val="none"/>
              </w:rPr>
              <w:t>摄像机进行维护</w:t>
            </w:r>
          </w:p>
        </w:tc>
      </w:tr>
    </w:tbl>
    <w:p w14:paraId="6522A45E">
      <w:pPr>
        <w:spacing w:line="576" w:lineRule="exact"/>
        <w:ind w:firstLine="643" w:firstLineChars="200"/>
        <w:jc w:val="left"/>
        <w:outlineLvl w:val="9"/>
        <w:rPr>
          <w:rFonts w:hint="eastAsia" w:ascii="仿宋_GB2312" w:hAnsi="仿宋_GB2312" w:eastAsia="仿宋_GB2312" w:cs="仿宋_GB2312"/>
          <w:b/>
          <w:color w:val="auto"/>
          <w:sz w:val="32"/>
          <w:szCs w:val="32"/>
          <w:highlight w:val="none"/>
        </w:rPr>
      </w:pPr>
      <w:bookmarkStart w:id="7" w:name="heading_6"/>
      <w:r>
        <w:rPr>
          <w:rFonts w:hint="eastAsia" w:ascii="仿宋_GB2312" w:hAnsi="仿宋_GB2312" w:eastAsia="仿宋_GB2312" w:cs="仿宋_GB2312"/>
          <w:b/>
          <w:color w:val="auto"/>
          <w:sz w:val="32"/>
          <w:szCs w:val="32"/>
          <w:highlight w:val="none"/>
        </w:rPr>
        <w:t>（二）基本要求</w:t>
      </w:r>
    </w:p>
    <w:p w14:paraId="1EC4A6EC">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视频监控</w:t>
      </w:r>
      <w:r>
        <w:rPr>
          <w:rFonts w:hint="eastAsia" w:ascii="仿宋_GB2312" w:hAnsi="仿宋_GB2312" w:eastAsia="仿宋_GB2312" w:cs="仿宋_GB2312"/>
          <w:color w:val="auto"/>
          <w:sz w:val="32"/>
          <w:szCs w:val="32"/>
          <w:highlight w:val="none"/>
        </w:rPr>
        <w:t>设备及系统需满足全天候、全覆盖监管需求，具备稳定运行能力，有效数据捕获率优于98%，具备停电来电自恢复功能，抗干扰能力强。</w:t>
      </w:r>
    </w:p>
    <w:p w14:paraId="55A154B2">
      <w:pPr>
        <w:spacing w:line="576" w:lineRule="exact"/>
        <w:ind w:firstLine="640" w:firstLineChars="20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AI识别算法实现24小时不间断运转，对</w:t>
      </w:r>
      <w:r>
        <w:rPr>
          <w:rFonts w:hint="eastAsia" w:ascii="仿宋_GB2312" w:hAnsi="仿宋_GB2312" w:eastAsia="仿宋_GB2312" w:cs="仿宋_GB2312"/>
          <w:color w:val="auto"/>
          <w:sz w:val="32"/>
          <w:szCs w:val="32"/>
          <w:highlight w:val="none"/>
        </w:rPr>
        <w:t>人员入侵、机械车辆入侵和日间水体颜色变化等</w:t>
      </w:r>
      <w:r>
        <w:rPr>
          <w:rFonts w:hint="eastAsia" w:ascii="仿宋_GB2312" w:hAnsi="仿宋_GB2312" w:eastAsia="仿宋_GB2312" w:cs="仿宋_GB2312"/>
          <w:color w:val="auto"/>
          <w:sz w:val="32"/>
          <w:szCs w:val="32"/>
          <w:highlight w:val="none"/>
          <w:lang w:val="en-US" w:eastAsia="zh-CN"/>
        </w:rPr>
        <w:t>实现自动发现、自动识别、自动拍照、自动发布预警，并且能够精准定位。</w:t>
      </w:r>
    </w:p>
    <w:p w14:paraId="1AA4CDAC">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3.全域感知监控系统需整合前端</w:t>
      </w:r>
      <w:r>
        <w:rPr>
          <w:rFonts w:hint="eastAsia" w:ascii="仿宋_GB2312" w:hAnsi="仿宋_GB2312" w:eastAsia="仿宋_GB2312" w:cs="仿宋_GB2312"/>
          <w:color w:val="auto"/>
          <w:sz w:val="32"/>
          <w:szCs w:val="32"/>
          <w:highlight w:val="none"/>
          <w:lang w:val="en-US" w:eastAsia="zh-CN"/>
        </w:rPr>
        <w:t>监控设备</w:t>
      </w:r>
      <w:r>
        <w:rPr>
          <w:rFonts w:hint="eastAsia" w:ascii="仿宋_GB2312" w:hAnsi="仿宋_GB2312" w:eastAsia="仿宋_GB2312" w:cs="仿宋_GB2312"/>
          <w:color w:val="auto"/>
          <w:sz w:val="32"/>
          <w:szCs w:val="32"/>
          <w:highlight w:val="none"/>
        </w:rPr>
        <w:t>数据，实现点位一张图、预警分析</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数据统计等功能，支持电脑端、手机微信端操作，形成监管闭环。</w:t>
      </w:r>
    </w:p>
    <w:p w14:paraId="7675C538">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4.所有设备、系统集成及服务必须符合国家、省、市相关标准和规范，以及本项目建设方案明确的技术要求。</w:t>
      </w:r>
    </w:p>
    <w:p w14:paraId="2276A81B">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5.供应商所提供的设备及服务需具备良好的兼容性和扩展性，可根据后续监管需求进行升级优化。</w:t>
      </w:r>
    </w:p>
    <w:p w14:paraId="1C3A60E4">
      <w:pPr>
        <w:spacing w:line="576" w:lineRule="exact"/>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6.供应商</w:t>
      </w:r>
      <w:r>
        <w:rPr>
          <w:rFonts w:hint="eastAsia" w:ascii="仿宋_GB2312" w:hAnsi="仿宋_GB2312" w:eastAsia="仿宋_GB2312" w:cs="仿宋_GB2312"/>
          <w:color w:val="auto"/>
          <w:sz w:val="32"/>
          <w:szCs w:val="32"/>
          <w:highlight w:val="none"/>
        </w:rPr>
        <w:t>负责免费培训采购人相关技术人员，直至其掌握系统使用技能</w:t>
      </w:r>
      <w:r>
        <w:rPr>
          <w:rFonts w:hint="eastAsia" w:ascii="仿宋_GB2312" w:hAnsi="仿宋_GB2312" w:eastAsia="仿宋_GB2312" w:cs="仿宋_GB2312"/>
          <w:color w:val="auto"/>
          <w:sz w:val="32"/>
          <w:szCs w:val="32"/>
          <w:highlight w:val="none"/>
          <w:lang w:eastAsia="zh-CN"/>
        </w:rPr>
        <w:t>。</w:t>
      </w:r>
    </w:p>
    <w:p w14:paraId="091BD273">
      <w:pPr>
        <w:spacing w:line="576" w:lineRule="exact"/>
        <w:ind w:firstLine="643"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（三）技术标准与要求</w:t>
      </w:r>
    </w:p>
    <w:p w14:paraId="27301D76">
      <w:pPr>
        <w:spacing w:line="576" w:lineRule="exact"/>
        <w:ind w:firstLine="643" w:firstLineChars="200"/>
        <w:jc w:val="left"/>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高位视频监控服务</w:t>
      </w:r>
    </w:p>
    <w:p w14:paraId="0FED2BF3">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（1）设备要求：</w:t>
      </w:r>
    </w:p>
    <w:p w14:paraId="64352E3B">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在饮用水水源地重点监控区域范围内，实现</w:t>
      </w:r>
      <w:r>
        <w:rPr>
          <w:rFonts w:hint="eastAsia" w:ascii="仿宋_GB2312" w:hAnsi="仿宋_GB2312" w:eastAsia="仿宋_GB2312" w:cs="仿宋_GB2312"/>
          <w:color w:val="auto"/>
          <w:sz w:val="32"/>
          <w:szCs w:val="32"/>
          <w:highlight w:val="none"/>
        </w:rPr>
        <w:t>人员入侵、机械车辆入侵和日间水体颜色变化</w:t>
      </w:r>
      <w:r>
        <w:rPr>
          <w:rFonts w:hint="eastAsia" w:ascii="仿宋_GB2312" w:hAnsi="仿宋_GB2312" w:eastAsia="仿宋_GB2312" w:cs="仿宋_GB2312"/>
          <w:color w:val="auto"/>
          <w:sz w:val="32"/>
          <w:szCs w:val="32"/>
          <w:highlight w:val="none"/>
          <w:lang w:val="en-US" w:eastAsia="zh-CN"/>
        </w:rPr>
        <w:t>等情况24小时不间断定点在线和监控。为满足监控范围要求，前端系统设置有6个监控高点，挂载12个摄像头，具体参数要求如下：</w:t>
      </w:r>
    </w:p>
    <w:p w14:paraId="0B8F826D">
      <w:pPr>
        <w:numPr>
          <w:ilvl w:val="0"/>
          <w:numId w:val="1"/>
        </w:num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高点位置距江边的直线距离控制在150米以内；</w:t>
      </w:r>
    </w:p>
    <w:p w14:paraId="6F40BF55">
      <w:pPr>
        <w:numPr>
          <w:ilvl w:val="0"/>
          <w:numId w:val="1"/>
        </w:num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摄像机安装高度不低于25米；</w:t>
      </w:r>
    </w:p>
    <w:p w14:paraId="2C3117DB">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（2）监控覆盖范围：</w:t>
      </w:r>
    </w:p>
    <w:p w14:paraId="20E0CA12">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本项目的水源地监控范围覆盖西江流域S20省道至S271省道周边的水域（即图1中的绿色区域）。具体边界如下：</w:t>
      </w:r>
    </w:p>
    <w:p w14:paraId="3B7C4547">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·最北端：横江水闸位置（如图2所示）；</w:t>
      </w:r>
    </w:p>
    <w:p w14:paraId="63E9E440">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·最南端：江门国际货柜码头有限公司码头位置（如图3所示）。</w:t>
      </w:r>
    </w:p>
    <w:p w14:paraId="2AAA0FBD">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监控设备须部署在靠近上述水域的周边位置，确保目标监控范围清晰可见。</w:t>
      </w:r>
    </w:p>
    <w:p w14:paraId="6FE2727D">
      <w:pPr>
        <w:spacing w:line="240" w:lineRule="auto"/>
        <w:jc w:val="center"/>
        <w:rPr>
          <w:rFonts w:hint="eastAsia" w:ascii="仿宋_GB2312" w:hAnsi="仿宋_GB2312" w:eastAsia="仿宋_GB2312" w:cs="仿宋_GB2312"/>
          <w:color w:val="auto"/>
          <w:sz w:val="32"/>
          <w:szCs w:val="32"/>
          <w:highlight w:val="none"/>
          <w:lang w:val="en-US" w:eastAsia="zh-CN"/>
        </w:rPr>
      </w:pPr>
    </w:p>
    <w:p w14:paraId="53D2C6E6">
      <w:pPr>
        <w:spacing w:line="240" w:lineRule="auto"/>
        <w:jc w:val="center"/>
        <w:rPr>
          <w:rFonts w:hint="eastAsia" w:ascii="仿宋_GB2312" w:hAnsi="仿宋_GB2312" w:eastAsia="仿宋_GB2312" w:cs="仿宋_GB2312"/>
          <w:color w:val="auto"/>
          <w:sz w:val="32"/>
          <w:szCs w:val="32"/>
          <w:highlight w:val="none"/>
          <w:lang w:val="en-US" w:eastAsia="zh-CN"/>
        </w:rPr>
      </w:pPr>
      <w:r>
        <w:rPr>
          <w:color w:val="auto"/>
          <w:highlight w:val="none"/>
        </w:rPr>
        <w:drawing>
          <wp:inline distT="0" distB="0" distL="114300" distR="114300">
            <wp:extent cx="5265420" cy="4166235"/>
            <wp:effectExtent l="0" t="0" r="508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5420" cy="4166235"/>
                    </a:xfrm>
                    <a:prstGeom prst="rect">
                      <a:avLst/>
                    </a:prstGeom>
                    <a:noFill/>
                    <a:ln>
                      <a:noFill/>
                    </a:ln>
                  </pic:spPr>
                </pic:pic>
              </a:graphicData>
            </a:graphic>
          </wp:inline>
        </w:drawing>
      </w:r>
    </w:p>
    <w:p w14:paraId="49192B3F">
      <w:pPr>
        <w:widowControl w:val="0"/>
        <w:numPr>
          <w:ilvl w:val="0"/>
          <w:numId w:val="0"/>
        </w:numPr>
        <w:spacing w:line="240" w:lineRule="auto"/>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图1：本项目饮用水水源地监控范围（以绿色区域为准）</w:t>
      </w:r>
    </w:p>
    <w:p w14:paraId="47B57F95">
      <w:pPr>
        <w:widowControl w:val="0"/>
        <w:numPr>
          <w:ilvl w:val="0"/>
          <w:numId w:val="0"/>
        </w:numPr>
        <w:spacing w:line="240" w:lineRule="auto"/>
        <w:jc w:val="center"/>
        <w:rPr>
          <w:rFonts w:hint="eastAsia" w:ascii="仿宋_GB2312" w:hAnsi="仿宋_GB2312" w:eastAsia="仿宋_GB2312" w:cs="仿宋_GB2312"/>
          <w:color w:val="auto"/>
          <w:highlight w:val="none"/>
          <w:lang w:val="en-US" w:eastAsia="zh-CN"/>
        </w:rPr>
      </w:pPr>
    </w:p>
    <w:p w14:paraId="29BFD95E">
      <w:pPr>
        <w:numPr>
          <w:ilvl w:val="0"/>
          <w:numId w:val="0"/>
        </w:numPr>
        <w:spacing w:line="240" w:lineRule="auto"/>
        <w:jc w:val="center"/>
        <w:rPr>
          <w:rFonts w:hint="eastAsia" w:ascii="仿宋_GB2312" w:hAnsi="仿宋_GB2312" w:eastAsia="仿宋_GB2312" w:cs="仿宋_GB2312"/>
          <w:color w:val="auto"/>
          <w:sz w:val="32"/>
          <w:szCs w:val="32"/>
          <w:highlight w:val="none"/>
          <w:lang w:val="en-US" w:eastAsia="zh-CN"/>
        </w:rPr>
      </w:pPr>
      <w:r>
        <w:rPr>
          <w:color w:val="auto"/>
          <w:highlight w:val="none"/>
        </w:rPr>
        <w:drawing>
          <wp:inline distT="0" distB="0" distL="114300" distR="114300">
            <wp:extent cx="5267325" cy="2816225"/>
            <wp:effectExtent l="0" t="0" r="3175" b="317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67325" cy="2816225"/>
                    </a:xfrm>
                    <a:prstGeom prst="rect">
                      <a:avLst/>
                    </a:prstGeom>
                    <a:noFill/>
                    <a:ln>
                      <a:noFill/>
                    </a:ln>
                  </pic:spPr>
                </pic:pic>
              </a:graphicData>
            </a:graphic>
          </wp:inline>
        </w:drawing>
      </w:r>
    </w:p>
    <w:p w14:paraId="35A7EC26">
      <w:pPr>
        <w:widowControl w:val="0"/>
        <w:numPr>
          <w:ilvl w:val="0"/>
          <w:numId w:val="0"/>
        </w:num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highlight w:val="none"/>
          <w:lang w:val="en-US" w:eastAsia="zh-CN"/>
        </w:rPr>
        <w:t>图2：最北端水源地监控范围（以绿色区域为准）</w:t>
      </w:r>
    </w:p>
    <w:p w14:paraId="2466C09A">
      <w:pPr>
        <w:numPr>
          <w:ilvl w:val="0"/>
          <w:numId w:val="0"/>
        </w:numPr>
        <w:spacing w:line="240" w:lineRule="auto"/>
        <w:jc w:val="center"/>
        <w:rPr>
          <w:rFonts w:hint="eastAsia" w:ascii="仿宋_GB2312" w:hAnsi="仿宋_GB2312" w:eastAsia="仿宋_GB2312" w:cs="仿宋_GB2312"/>
          <w:color w:val="auto"/>
          <w:sz w:val="32"/>
          <w:szCs w:val="32"/>
          <w:highlight w:val="none"/>
          <w:lang w:val="en-US" w:eastAsia="zh-CN"/>
        </w:rPr>
      </w:pPr>
      <w:r>
        <w:rPr>
          <w:color w:val="auto"/>
          <w:highlight w:val="none"/>
        </w:rPr>
        <w:drawing>
          <wp:inline distT="0" distB="0" distL="114300" distR="114300">
            <wp:extent cx="5266690" cy="3291840"/>
            <wp:effectExtent l="0" t="0" r="3810" b="101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266690" cy="3291840"/>
                    </a:xfrm>
                    <a:prstGeom prst="rect">
                      <a:avLst/>
                    </a:prstGeom>
                    <a:noFill/>
                    <a:ln>
                      <a:noFill/>
                    </a:ln>
                  </pic:spPr>
                </pic:pic>
              </a:graphicData>
            </a:graphic>
          </wp:inline>
        </w:drawing>
      </w:r>
    </w:p>
    <w:p w14:paraId="4EA60A22">
      <w:pPr>
        <w:widowControl w:val="0"/>
        <w:numPr>
          <w:ilvl w:val="0"/>
          <w:numId w:val="0"/>
        </w:numPr>
        <w:spacing w:line="240" w:lineRule="auto"/>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图3：最南端水源地监控范围（以绿色区域为准）</w:t>
      </w:r>
    </w:p>
    <w:p w14:paraId="776CB7C0">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（3）本服务项目涉及的摄像头技术参数如下：</w:t>
      </w:r>
    </w:p>
    <w:p w14:paraId="329FF34C">
      <w:pPr>
        <w:spacing w:line="576" w:lineRule="exact"/>
        <w:ind w:firstLine="640" w:firstLineChars="200"/>
        <w:jc w:val="left"/>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参数要求①：</w:t>
      </w:r>
    </w:p>
    <w:tbl>
      <w:tblPr>
        <w:tblStyle w:val="15"/>
        <w:tblW w:w="938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7336"/>
      </w:tblGrid>
      <w:tr w14:paraId="5985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3" w:type="dxa"/>
            <w:tcMar>
              <w:top w:w="0" w:type="dxa"/>
              <w:left w:w="105" w:type="dxa"/>
              <w:bottom w:w="0" w:type="dxa"/>
              <w:right w:w="105" w:type="dxa"/>
            </w:tcMar>
            <w:vAlign w:val="center"/>
          </w:tcPr>
          <w:p w14:paraId="143B06FA">
            <w:pPr>
              <w:pStyle w:val="22"/>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需求类别</w:t>
            </w:r>
          </w:p>
        </w:tc>
        <w:tc>
          <w:tcPr>
            <w:tcW w:w="7336" w:type="dxa"/>
            <w:tcMar>
              <w:top w:w="0" w:type="dxa"/>
              <w:left w:w="105" w:type="dxa"/>
              <w:bottom w:w="0" w:type="dxa"/>
              <w:right w:w="105" w:type="dxa"/>
            </w:tcMar>
            <w:vAlign w:val="center"/>
          </w:tcPr>
          <w:p w14:paraId="6DA4DA10">
            <w:pPr>
              <w:pStyle w:val="22"/>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参数要求</w:t>
            </w:r>
          </w:p>
        </w:tc>
      </w:tr>
      <w:tr w14:paraId="7B81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3" w:type="dxa"/>
            <w:tcMar>
              <w:top w:w="0" w:type="dxa"/>
              <w:left w:w="105" w:type="dxa"/>
              <w:bottom w:w="0" w:type="dxa"/>
              <w:right w:w="105" w:type="dxa"/>
            </w:tcMar>
            <w:vAlign w:val="center"/>
          </w:tcPr>
          <w:p w14:paraId="74C58BD7">
            <w:pPr>
              <w:pStyle w:val="2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产品类型</w:t>
            </w:r>
          </w:p>
        </w:tc>
        <w:tc>
          <w:tcPr>
            <w:tcW w:w="7336" w:type="dxa"/>
            <w:tcMar>
              <w:top w:w="0" w:type="dxa"/>
              <w:left w:w="105" w:type="dxa"/>
              <w:bottom w:w="0" w:type="dxa"/>
              <w:right w:w="105" w:type="dxa"/>
            </w:tcMar>
            <w:vAlign w:val="center"/>
          </w:tcPr>
          <w:p w14:paraId="47CB13AF">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400万6寸智能球机</w:t>
            </w:r>
          </w:p>
        </w:tc>
      </w:tr>
      <w:tr w14:paraId="3F0E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3" w:type="dxa"/>
            <w:tcMar>
              <w:top w:w="0" w:type="dxa"/>
              <w:left w:w="105" w:type="dxa"/>
              <w:bottom w:w="0" w:type="dxa"/>
              <w:right w:w="105" w:type="dxa"/>
            </w:tcMar>
            <w:vAlign w:val="center"/>
          </w:tcPr>
          <w:p w14:paraId="5C093B5D">
            <w:pPr>
              <w:pStyle w:val="2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基本功能特性</w:t>
            </w:r>
          </w:p>
        </w:tc>
        <w:tc>
          <w:tcPr>
            <w:tcW w:w="7336" w:type="dxa"/>
            <w:tcMar>
              <w:top w:w="0" w:type="dxa"/>
              <w:left w:w="105" w:type="dxa"/>
              <w:bottom w:w="0" w:type="dxa"/>
              <w:right w:w="105" w:type="dxa"/>
            </w:tcMar>
            <w:vAlign w:val="center"/>
          </w:tcPr>
          <w:p w14:paraId="4AE9B671">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·具备人脸、人体抓拍并关联输出功能，支持指哪抓哪、多场景轮巡抓拍、远距离卡口抓拍模式；</w:t>
            </w:r>
          </w:p>
          <w:p w14:paraId="027F7443">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·支持人脸人体车辆同时抓拍，人脸人体关联输出，并实现对人脸、人体、车辆结构化属性特征信息提取</w:t>
            </w:r>
          </w:p>
          <w:p w14:paraId="0A1158BB">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·持最大2560×1440@30fps高清画面输出</w:t>
            </w:r>
          </w:p>
          <w:p w14:paraId="0A4F71EC">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·支持H.265高效压缩算法，可较大程度节省存储空间</w:t>
            </w:r>
          </w:p>
          <w:p w14:paraId="4A87A820">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·彩色：0.0005Lux @ (F1.2，AGC ON)；黑白：0.0001Lux @(F1.2，AGC ON)</w:t>
            </w:r>
          </w:p>
          <w:p w14:paraId="48282C41">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·支持35114加密。</w:t>
            </w:r>
          </w:p>
          <w:p w14:paraId="677F93EB">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·支持40倍光学变倍，16倍数字变倍</w:t>
            </w:r>
          </w:p>
          <w:p w14:paraId="2AF27E7E">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·支持宽动态范围达120dB，适合逆光环境监控</w:t>
            </w:r>
          </w:p>
          <w:p w14:paraId="37355A97">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·支持三码流技术，每路码流可独立配置分辨率及帧率</w:t>
            </w:r>
          </w:p>
          <w:p w14:paraId="7800BD9B">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·配合Smart NVR实现事件录像的二次智能检索、分析和浓缩播放</w:t>
            </w:r>
          </w:p>
          <w:p w14:paraId="7B3CFB5D">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·支持3D数字降噪、强光抑制、透雾、电子防抖</w:t>
            </w:r>
          </w:p>
          <w:p w14:paraId="05385F82">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·支持定时任务、一键守望、一键巡航功能</w:t>
            </w:r>
          </w:p>
          <w:p w14:paraId="6BD424F8">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·支持300个预置位，8条巡航扫描</w:t>
            </w:r>
          </w:p>
          <w:p w14:paraId="7C5C86F6">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·支持3D定位，可通过鼠标框选目标以实现目标的快速定位与捕捉</w:t>
            </w:r>
          </w:p>
          <w:p w14:paraId="606EC143">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·支持定时抓图与事件抓图功能</w:t>
            </w:r>
          </w:p>
          <w:p w14:paraId="395BD772">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·支持360°水平旋转，垂直方向-20°-90°（自动翻转）</w:t>
            </w:r>
          </w:p>
          <w:p w14:paraId="2EAB9138">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·支持1路音频输入和1路音频输出</w:t>
            </w:r>
          </w:p>
          <w:p w14:paraId="380F116A">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·内置7路报警输入和2路报警输出，支持报警联动功能</w:t>
            </w:r>
          </w:p>
          <w:p w14:paraId="710AA656">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·支持最大256G的 Micro SD/Micro SDHC/Micro SDXC卡存储</w:t>
            </w:r>
          </w:p>
          <w:p w14:paraId="17234782">
            <w:pPr>
              <w:pStyle w:val="22"/>
              <w:jc w:val="left"/>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val="en-US" w:eastAsia="zh-CN" w:bidi="ar-SA"/>
              </w:rPr>
              <w:t>·IP67; 6000V 防雷、防浪涌、防突波，适用于严酷的电磁环境，符合GB/T17626.2/3/4/5/6四级标准</w:t>
            </w:r>
          </w:p>
        </w:tc>
      </w:tr>
    </w:tbl>
    <w:p w14:paraId="38FEF5E6">
      <w:pPr>
        <w:spacing w:line="576" w:lineRule="exact"/>
        <w:ind w:firstLine="643" w:firstLineChars="200"/>
        <w:jc w:val="left"/>
        <w:rPr>
          <w:rFonts w:hint="default"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参数要求②：</w:t>
      </w:r>
    </w:p>
    <w:tbl>
      <w:tblPr>
        <w:tblStyle w:val="15"/>
        <w:tblW w:w="9381" w:type="dxa"/>
        <w:tblInd w:w="23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039"/>
        <w:gridCol w:w="7342"/>
      </w:tblGrid>
      <w:tr w14:paraId="2A9249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2039" w:type="dxa"/>
            <w:tcBorders>
              <w:top w:val="single" w:color="auto" w:sz="4" w:space="0"/>
              <w:left w:val="single" w:color="auto" w:sz="4" w:space="0"/>
              <w:bottom w:val="single" w:color="auto" w:sz="4" w:space="0"/>
              <w:right w:val="single" w:color="auto" w:sz="4" w:space="0"/>
            </w:tcBorders>
            <w:shd w:val="clear" w:color="auto" w:fill="auto"/>
            <w:vAlign w:val="center"/>
          </w:tcPr>
          <w:p w14:paraId="16712909">
            <w:pPr>
              <w:pStyle w:val="22"/>
              <w:jc w:val="left"/>
              <w:rPr>
                <w:rFonts w:hint="eastAsia" w:ascii="仿宋_GB2312" w:hAnsi="仿宋_GB2312" w:eastAsia="仿宋_GB2312" w:cs="仿宋_GB2312"/>
                <w:b w:val="0"/>
                <w:bCs w:val="0"/>
                <w:color w:val="auto"/>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rPr>
              <w:t>需求类别</w:t>
            </w:r>
          </w:p>
        </w:tc>
        <w:tc>
          <w:tcPr>
            <w:tcW w:w="7342" w:type="dxa"/>
            <w:tcBorders>
              <w:top w:val="single" w:color="auto" w:sz="4" w:space="0"/>
              <w:left w:val="single" w:color="auto" w:sz="4" w:space="0"/>
              <w:bottom w:val="single" w:color="auto" w:sz="4" w:space="0"/>
              <w:right w:val="single" w:color="auto" w:sz="4" w:space="0"/>
            </w:tcBorders>
            <w:shd w:val="clear" w:color="auto" w:fill="auto"/>
            <w:vAlign w:val="center"/>
          </w:tcPr>
          <w:p w14:paraId="06E1706C">
            <w:pPr>
              <w:pStyle w:val="22"/>
              <w:jc w:val="left"/>
              <w:rPr>
                <w:rFonts w:hint="eastAsia" w:ascii="仿宋_GB2312" w:hAnsi="仿宋_GB2312" w:eastAsia="仿宋_GB2312" w:cs="仿宋_GB2312"/>
                <w:b w:val="0"/>
                <w:bCs w:val="0"/>
                <w:color w:val="auto"/>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rPr>
              <w:t>参数要求</w:t>
            </w:r>
          </w:p>
        </w:tc>
      </w:tr>
      <w:tr w14:paraId="056826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6" w:hRule="atLeast"/>
        </w:trPr>
        <w:tc>
          <w:tcPr>
            <w:tcW w:w="2039" w:type="dxa"/>
            <w:tcBorders>
              <w:top w:val="single" w:color="auto" w:sz="4" w:space="0"/>
              <w:left w:val="single" w:color="auto" w:sz="4" w:space="0"/>
              <w:bottom w:val="single" w:color="auto" w:sz="4" w:space="0"/>
              <w:right w:val="single" w:color="auto" w:sz="4" w:space="0"/>
            </w:tcBorders>
            <w:shd w:val="clear" w:color="auto" w:fill="auto"/>
            <w:vAlign w:val="center"/>
          </w:tcPr>
          <w:p w14:paraId="36F101A4">
            <w:pPr>
              <w:pStyle w:val="22"/>
              <w:jc w:val="left"/>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lang w:val="en-US" w:eastAsia="zh-CN"/>
              </w:rPr>
              <w:t>产品类型</w:t>
            </w:r>
          </w:p>
        </w:tc>
        <w:tc>
          <w:tcPr>
            <w:tcW w:w="7342" w:type="dxa"/>
            <w:tcBorders>
              <w:top w:val="single" w:color="auto" w:sz="4" w:space="0"/>
              <w:left w:val="single" w:color="auto" w:sz="4" w:space="0"/>
              <w:bottom w:val="single" w:color="auto" w:sz="4" w:space="0"/>
              <w:right w:val="single" w:color="auto" w:sz="4" w:space="0"/>
            </w:tcBorders>
            <w:shd w:val="clear" w:color="auto" w:fill="auto"/>
            <w:vAlign w:val="center"/>
          </w:tcPr>
          <w:p w14:paraId="2F75C00E">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400万像素星光级8寸红外网络高清高速智能球机</w:t>
            </w:r>
          </w:p>
        </w:tc>
      </w:tr>
      <w:tr w14:paraId="28E20A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6" w:hRule="atLeast"/>
        </w:trPr>
        <w:tc>
          <w:tcPr>
            <w:tcW w:w="2039" w:type="dxa"/>
            <w:tcBorders>
              <w:top w:val="single" w:color="auto" w:sz="4" w:space="0"/>
              <w:left w:val="single" w:color="auto" w:sz="4" w:space="0"/>
              <w:bottom w:val="single" w:color="auto" w:sz="4" w:space="0"/>
              <w:right w:val="single" w:color="auto" w:sz="4" w:space="0"/>
            </w:tcBorders>
            <w:shd w:val="clear" w:color="auto" w:fill="auto"/>
            <w:vAlign w:val="center"/>
          </w:tcPr>
          <w:p w14:paraId="2FAEA61D">
            <w:pPr>
              <w:pStyle w:val="22"/>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特色功能</w:t>
            </w:r>
          </w:p>
        </w:tc>
        <w:tc>
          <w:tcPr>
            <w:tcW w:w="7342" w:type="dxa"/>
            <w:tcBorders>
              <w:top w:val="single" w:color="auto" w:sz="4" w:space="0"/>
              <w:left w:val="single" w:color="auto" w:sz="4" w:space="0"/>
              <w:bottom w:val="single" w:color="auto" w:sz="4" w:space="0"/>
              <w:right w:val="single" w:color="auto" w:sz="4" w:space="0"/>
            </w:tcBorders>
            <w:shd w:val="clear" w:color="auto" w:fill="auto"/>
            <w:vAlign w:val="center"/>
          </w:tcPr>
          <w:p w14:paraId="7AC858FC">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·支持烟雾识别功能</w:t>
            </w:r>
          </w:p>
          <w:p w14:paraId="29938238">
            <w:pPr>
              <w:pStyle w:val="22"/>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color w:val="auto"/>
                <w:sz w:val="24"/>
                <w:szCs w:val="24"/>
                <w:highlight w:val="none"/>
                <w:lang w:val="en-US" w:eastAsia="zh-CN" w:bidi="ar-SA"/>
              </w:rPr>
              <w:t>·支持GB35114安全加密</w:t>
            </w:r>
          </w:p>
        </w:tc>
      </w:tr>
      <w:tr w14:paraId="573DB6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2039" w:type="dxa"/>
            <w:tcBorders>
              <w:top w:val="single" w:color="auto" w:sz="4" w:space="0"/>
              <w:left w:val="single" w:color="auto" w:sz="4" w:space="0"/>
              <w:bottom w:val="single" w:color="auto" w:sz="4" w:space="0"/>
              <w:right w:val="single" w:color="auto" w:sz="4" w:space="0"/>
            </w:tcBorders>
            <w:shd w:val="clear" w:color="auto" w:fill="auto"/>
            <w:vAlign w:val="center"/>
          </w:tcPr>
          <w:p w14:paraId="7177D634">
            <w:pPr>
              <w:pStyle w:val="22"/>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基本功能特性</w:t>
            </w:r>
          </w:p>
        </w:tc>
        <w:tc>
          <w:tcPr>
            <w:tcW w:w="7342" w:type="dxa"/>
            <w:tcBorders>
              <w:top w:val="single" w:color="auto" w:sz="4" w:space="0"/>
              <w:left w:val="single" w:color="auto" w:sz="4" w:space="0"/>
              <w:bottom w:val="single" w:color="auto" w:sz="4" w:space="0"/>
              <w:right w:val="single" w:color="auto" w:sz="4" w:space="0"/>
            </w:tcBorders>
            <w:shd w:val="clear" w:color="auto" w:fill="auto"/>
            <w:vAlign w:val="center"/>
          </w:tcPr>
          <w:p w14:paraId="54A88431">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·支持最大2560×1440@60fps高清画面输出</w:t>
            </w:r>
          </w:p>
          <w:p w14:paraId="64353121">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·支持H.265高效压缩算法，可较大节省存储空间</w:t>
            </w:r>
          </w:p>
          <w:p w14:paraId="75073BCE">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·星光级超低照度,0.0005Lux/F1.2(彩色),0.0001Lux/F1.2(黑白),0 Lux with IR</w:t>
            </w:r>
          </w:p>
          <w:p w14:paraId="1E731D87">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·支持40倍光学变倍，16倍数字变倍</w:t>
            </w:r>
          </w:p>
          <w:p w14:paraId="1335E7A2">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·采用高效红外阵列，低功耗，照射距离最远可达250m</w:t>
            </w:r>
          </w:p>
          <w:p w14:paraId="3592AD78">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·支持宽动态范围达120dB，适合逆光环境监控</w:t>
            </w:r>
          </w:p>
          <w:p w14:paraId="35FEF6FE">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·采用光学透雾技术，极大提升透雾效果</w:t>
            </w:r>
          </w:p>
          <w:p w14:paraId="16AB9EFB">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·支持三码流技术，每路码流可独立配置分辨率及帧率</w:t>
            </w:r>
          </w:p>
          <w:p w14:paraId="58B09E7E">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·支持断网续传功能，保证录像不丢失，配合Smart NVR实现事件录像的二次智能检索、分析和浓缩播放</w:t>
            </w:r>
          </w:p>
          <w:p w14:paraId="2BD1AA17">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·支持3D数字降噪、强光抑制、混合防抖、SmartIR</w:t>
            </w:r>
          </w:p>
          <w:p w14:paraId="571EDE92">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·支持手动跟踪、全景跟踪、事件跟踪，并支持多场景巡航跟踪</w:t>
            </w:r>
          </w:p>
          <w:p w14:paraId="073BE277">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 xml:space="preserve">·支持360°水平旋转，垂直方向-20°-90°（自动翻转） </w:t>
            </w:r>
          </w:p>
          <w:p w14:paraId="430434BB">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·支持300个预置位，8条巡航扫描</w:t>
            </w:r>
          </w:p>
          <w:p w14:paraId="72927CE9">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·支持3D定位，可通过鼠标框选目标以实现目标的快速定位与捕捉</w:t>
            </w:r>
          </w:p>
          <w:p w14:paraId="3A831ADD">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·支持定时抓图与事件抓图功能</w:t>
            </w:r>
          </w:p>
          <w:p w14:paraId="592865B1">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·支持定时任务、一键守望、一键巡航功能</w:t>
            </w:r>
          </w:p>
          <w:p w14:paraId="760D05A3">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·支持1路音频输入和1路音频输出</w:t>
            </w:r>
          </w:p>
          <w:p w14:paraId="06D41589">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·内置7路报警输入和2路报警输出，支持报警联动功能</w:t>
            </w:r>
          </w:p>
          <w:p w14:paraId="0D3E1194">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·支持最大256G的 Micro SD/Micro SDHC/Micro SDXC卡存储</w:t>
            </w:r>
          </w:p>
          <w:p w14:paraId="3201E015">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·支持海康SDK、ONVIF、ISAPI、GB/T28181、E家协议接入</w:t>
            </w:r>
          </w:p>
          <w:p w14:paraId="5374E7EA">
            <w:pPr>
              <w:pStyle w:val="22"/>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·AC24V±25%宽幅电压输入</w:t>
            </w:r>
          </w:p>
          <w:p w14:paraId="1169F2AF">
            <w:pPr>
              <w:pStyle w:val="22"/>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color w:val="auto"/>
                <w:sz w:val="24"/>
                <w:szCs w:val="24"/>
                <w:highlight w:val="none"/>
                <w:lang w:val="en-US" w:eastAsia="zh-CN" w:bidi="ar-SA"/>
              </w:rPr>
              <w:t>·IP67防护等级，抗干扰能力强，适用于严酷的电磁环境，符合GB/T17626.2/3/4/5/6四级标准</w:t>
            </w:r>
          </w:p>
        </w:tc>
      </w:tr>
    </w:tbl>
    <w:p w14:paraId="1646265D">
      <w:pPr>
        <w:spacing w:line="576" w:lineRule="exact"/>
        <w:ind w:firstLine="643" w:firstLineChars="200"/>
        <w:jc w:val="left"/>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2、AI识别算法</w:t>
      </w:r>
    </w:p>
    <w:p w14:paraId="4FD0AD17">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（1）功能要求：</w:t>
      </w:r>
    </w:p>
    <w:p w14:paraId="04AFA2AA">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根据监控点位周边环境差异，实现对异常情况进行智能识别、智能报警、智能定位等。</w:t>
      </w:r>
    </w:p>
    <w:p w14:paraId="2B9C8C30">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①</w:t>
      </w:r>
      <w:r>
        <w:rPr>
          <w:rFonts w:hint="eastAsia" w:ascii="仿宋_GB2312" w:hAnsi="仿宋_GB2312" w:eastAsia="仿宋_GB2312" w:cs="仿宋_GB2312"/>
          <w:color w:val="auto"/>
          <w:sz w:val="32"/>
          <w:szCs w:val="32"/>
          <w:highlight w:val="none"/>
          <w:lang w:val="en-US" w:eastAsia="zh-CN"/>
        </w:rPr>
        <w:t>全天候24小时，识别场景包括：人员入侵识别、机械车辆入侵识别、日间水体颜色变化识别等；</w:t>
      </w:r>
    </w:p>
    <w:p w14:paraId="4B115CFC">
      <w:pPr>
        <w:numPr>
          <w:ilvl w:val="0"/>
          <w:numId w:val="0"/>
        </w:numPr>
        <w:spacing w:line="576"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②精准定位违规违法地</w:t>
      </w:r>
      <w:r>
        <w:rPr>
          <w:rFonts w:hint="eastAsia" w:ascii="仿宋_GB2312" w:hAnsi="仿宋_GB2312" w:eastAsia="仿宋_GB2312" w:cs="仿宋_GB2312"/>
          <w:color w:val="auto"/>
          <w:sz w:val="32"/>
          <w:szCs w:val="32"/>
          <w:highlight w:val="none"/>
          <w:lang w:eastAsia="zh-CN"/>
        </w:rPr>
        <w:t>点</w:t>
      </w:r>
      <w:r>
        <w:rPr>
          <w:rFonts w:hint="eastAsia" w:ascii="仿宋_GB2312" w:hAnsi="仿宋_GB2312" w:eastAsia="仿宋_GB2312" w:cs="仿宋_GB2312"/>
          <w:color w:val="auto"/>
          <w:sz w:val="32"/>
          <w:szCs w:val="32"/>
          <w:highlight w:val="none"/>
        </w:rPr>
        <w:t>，一键导航</w:t>
      </w:r>
      <w:r>
        <w:rPr>
          <w:rFonts w:hint="eastAsia" w:ascii="仿宋_GB2312" w:hAnsi="仿宋_GB2312" w:eastAsia="仿宋_GB2312" w:cs="仿宋_GB2312"/>
          <w:color w:val="auto"/>
          <w:sz w:val="32"/>
          <w:szCs w:val="32"/>
          <w:highlight w:val="none"/>
          <w:lang w:val="en-US" w:eastAsia="zh-CN"/>
        </w:rPr>
        <w:t>到预警点，以便于快速出警执法</w:t>
      </w:r>
      <w:r>
        <w:rPr>
          <w:rFonts w:hint="eastAsia" w:ascii="仿宋_GB2312" w:hAnsi="仿宋_GB2312" w:eastAsia="仿宋_GB2312" w:cs="仿宋_GB2312"/>
          <w:color w:val="auto"/>
          <w:sz w:val="32"/>
          <w:szCs w:val="32"/>
          <w:highlight w:val="none"/>
          <w:lang w:eastAsia="zh-CN"/>
        </w:rPr>
        <w:t>；</w:t>
      </w:r>
    </w:p>
    <w:p w14:paraId="49499DFA">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③无人值守，系统自动发现，拉框放大，聚焦取证，自动预警推送</w:t>
      </w:r>
      <w:r>
        <w:rPr>
          <w:rFonts w:hint="eastAsia" w:ascii="仿宋_GB2312" w:hAnsi="仿宋_GB2312" w:eastAsia="仿宋_GB2312" w:cs="仿宋_GB2312"/>
          <w:color w:val="auto"/>
          <w:sz w:val="32"/>
          <w:szCs w:val="32"/>
          <w:highlight w:val="none"/>
          <w:lang w:eastAsia="zh-CN"/>
        </w:rPr>
        <w:t>。</w:t>
      </w:r>
    </w:p>
    <w:p w14:paraId="510413B2">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（2）技术要求：通过深度学习模型实现实时识别，误报率低，能够根据一线执法反馈持续优化算法，提升识别精度；</w:t>
      </w:r>
    </w:p>
    <w:p w14:paraId="3D9701E8">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（3）响应速度：识别响应时间快，能够及时生成预警信息并推送至相关责任人。</w:t>
      </w:r>
    </w:p>
    <w:bookmarkEnd w:id="7"/>
    <w:p w14:paraId="12476706">
      <w:pPr>
        <w:spacing w:line="576" w:lineRule="exact"/>
        <w:ind w:firstLine="643" w:firstLineChars="200"/>
        <w:jc w:val="left"/>
        <w:rPr>
          <w:rFonts w:hint="eastAsia" w:ascii="仿宋_GB2312" w:hAnsi="仿宋_GB2312" w:eastAsia="仿宋_GB2312" w:cs="仿宋_GB2312"/>
          <w:b/>
          <w:color w:val="auto"/>
          <w:sz w:val="32"/>
          <w:szCs w:val="32"/>
          <w:highlight w:val="none"/>
        </w:rPr>
      </w:pPr>
      <w:bookmarkStart w:id="8" w:name="heading_11"/>
      <w:r>
        <w:rPr>
          <w:rFonts w:hint="eastAsia" w:ascii="仿宋_GB2312" w:hAnsi="仿宋_GB2312" w:eastAsia="仿宋_GB2312" w:cs="仿宋_GB2312"/>
          <w:b/>
          <w:color w:val="auto"/>
          <w:sz w:val="32"/>
          <w:szCs w:val="32"/>
          <w:highlight w:val="none"/>
          <w:lang w:val="en-US" w:eastAsia="zh-CN"/>
        </w:rPr>
        <w:t>3、全域感知监控系统</w:t>
      </w:r>
      <w:bookmarkEnd w:id="8"/>
    </w:p>
    <w:p w14:paraId="60422213">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（1）系统用途：</w:t>
      </w:r>
    </w:p>
    <w:p w14:paraId="4D038C16">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对前端</w:t>
      </w:r>
      <w:r>
        <w:rPr>
          <w:rFonts w:hint="eastAsia" w:ascii="仿宋_GB2312" w:hAnsi="仿宋_GB2312" w:eastAsia="仿宋_GB2312" w:cs="仿宋_GB2312"/>
          <w:color w:val="auto"/>
          <w:sz w:val="32"/>
          <w:szCs w:val="32"/>
          <w:highlight w:val="none"/>
          <w:lang w:val="en-US" w:eastAsia="zh-CN"/>
        </w:rPr>
        <w:t>监控</w:t>
      </w:r>
      <w:r>
        <w:rPr>
          <w:rFonts w:hint="eastAsia" w:ascii="仿宋_GB2312" w:hAnsi="仿宋_GB2312" w:eastAsia="仿宋_GB2312" w:cs="仿宋_GB2312"/>
          <w:color w:val="auto"/>
          <w:sz w:val="32"/>
          <w:szCs w:val="32"/>
          <w:highlight w:val="none"/>
        </w:rPr>
        <w:t>设备采集的视频、图像等数据进行实时智能分析，实现监管可视化、执法流程规范化、业务管理协同化，建立闭环工作体系。</w:t>
      </w:r>
    </w:p>
    <w:p w14:paraId="18CC3F35">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重要功能模块：</w:t>
      </w:r>
    </w:p>
    <w:p w14:paraId="3D717AFF">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①</w:t>
      </w:r>
      <w:r>
        <w:rPr>
          <w:rFonts w:hint="eastAsia" w:ascii="仿宋_GB2312" w:hAnsi="仿宋_GB2312" w:eastAsia="仿宋_GB2312" w:cs="仿宋_GB2312"/>
          <w:color w:val="auto"/>
          <w:sz w:val="32"/>
          <w:szCs w:val="32"/>
          <w:highlight w:val="none"/>
          <w:lang w:val="en-US" w:eastAsia="zh-CN"/>
        </w:rPr>
        <w:t>人机联防：构建“AI智能识别+人工复核研判+现场精准执法”的协同工作机制，充分发挥AI的高效识别能力与人工的专业判断优势。</w:t>
      </w:r>
    </w:p>
    <w:p w14:paraId="7CDBB027">
      <w:pPr>
        <w:spacing w:line="576" w:lineRule="exact"/>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②分屏展示</w:t>
      </w:r>
      <w:r>
        <w:rPr>
          <w:rFonts w:hint="eastAsia" w:ascii="仿宋_GB2312" w:hAnsi="仿宋_GB2312" w:eastAsia="仿宋_GB2312" w:cs="仿宋_GB2312"/>
          <w:color w:val="auto"/>
          <w:sz w:val="32"/>
          <w:szCs w:val="32"/>
          <w:highlight w:val="none"/>
          <w:lang w:eastAsia="zh-CN"/>
        </w:rPr>
        <w:t>：根据监控需要支持1分屏、4分屏、6分屏、9分屏、16分屏等多种布局模式</w:t>
      </w:r>
      <w:r>
        <w:rPr>
          <w:rFonts w:hint="eastAsia" w:ascii="仿宋_GB2312" w:hAnsi="仿宋_GB2312" w:eastAsia="仿宋_GB2312" w:cs="仿宋_GB2312"/>
          <w:color w:val="auto"/>
          <w:sz w:val="32"/>
          <w:szCs w:val="32"/>
          <w:highlight w:val="none"/>
          <w:lang w:val="en-US" w:eastAsia="zh-CN"/>
        </w:rPr>
        <w:t>自动切换</w:t>
      </w:r>
      <w:r>
        <w:rPr>
          <w:rFonts w:hint="eastAsia" w:ascii="仿宋_GB2312" w:hAnsi="仿宋_GB2312" w:eastAsia="仿宋_GB2312" w:cs="仿宋_GB2312"/>
          <w:color w:val="auto"/>
          <w:sz w:val="32"/>
          <w:szCs w:val="32"/>
          <w:highlight w:val="none"/>
          <w:lang w:eastAsia="zh-CN"/>
        </w:rPr>
        <w:t>，一键快速调取，</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lang w:eastAsia="zh-CN"/>
        </w:rPr>
        <w:t>监管人员提供灵活、直观的视频查看与监控指挥体验，满足日常巡查、应急指挥、多点位协同监管等不同场景需求。</w:t>
      </w:r>
    </w:p>
    <w:p w14:paraId="5AE48DE4">
      <w:pPr>
        <w:spacing w:line="576" w:lineRule="exact"/>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③预警事件：通过系统具备的人工智能分析程序识别到相应的违规行为，在平台预警模块中发布预警信息，</w:t>
      </w:r>
      <w:r>
        <w:rPr>
          <w:rFonts w:hint="eastAsia" w:ascii="仿宋_GB2312" w:hAnsi="仿宋_GB2312" w:eastAsia="仿宋_GB2312" w:cs="仿宋_GB2312"/>
          <w:color w:val="auto"/>
          <w:sz w:val="32"/>
          <w:szCs w:val="32"/>
          <w:highlight w:val="none"/>
          <w:lang w:val="en-US" w:eastAsia="zh-CN"/>
        </w:rPr>
        <w:t>通过WEB端、移动端主动推送给点位责任人，负责人通过调度、反馈、完成处理等一系列的联动处置过程，对预警事件完成业务闭环处置。</w:t>
      </w:r>
    </w:p>
    <w:p w14:paraId="45E67987">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④态势分析：对预警记录事件实现数据分类记录、数据分析、数据表格一键导出功能，为后续决策提供依据。</w:t>
      </w:r>
    </w:p>
    <w:p w14:paraId="58C4E610">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（3）平台功能：</w:t>
      </w:r>
    </w:p>
    <w:p w14:paraId="2C663227">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sz w:val="32"/>
          <w:szCs w:val="32"/>
          <w:highlight w:val="none"/>
          <w:lang w:eastAsia="zh-CN"/>
        </w:rPr>
        <w:t>一键看向告警点功能：平台生成告警事件后，点击“一键看向告警点”按钮，系统自动匹配该告警事件关联的摄像机;调用摄像机的同时，自动调整其放大，确保画面精准聚焦告警点位核心区域，实时呈现该事件位置的细节画面。（提供具备CNAS标识的第三方检测报告复印件，并能如实反映该功能）</w:t>
      </w:r>
    </w:p>
    <w:p w14:paraId="2DAD67D2">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sz w:val="32"/>
          <w:szCs w:val="32"/>
          <w:highlight w:val="none"/>
          <w:lang w:eastAsia="zh-CN"/>
        </w:rPr>
        <w:t>全景展示功能：在全景照片浏览场景中，支持查看其他全景资源及关联的摄像机信息，同时提供点击切换操作，可快速跳转至目标全景或调取对应摄像机的实时画面，提升全景浏览的连贯性与监控查看的便捷性。（提供具备CNAS标识的第三方检测报告复印件，并能如实反映该功能）</w:t>
      </w:r>
    </w:p>
    <w:p w14:paraId="7A6DC748">
      <w:pPr>
        <w:spacing w:line="576" w:lineRule="exact"/>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sz w:val="32"/>
          <w:szCs w:val="32"/>
          <w:highlight w:val="none"/>
          <w:lang w:eastAsia="zh-CN"/>
        </w:rPr>
        <w:t>感知精确功能</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支持多焦段识别以提升目标识别精度，在放大画面识别过程中，可对预警事件同步进行录像，留存各类适用场景下的相关证据。（提供具备CNAS标识的第三方检测报告复印件，并能如实反映该功能）</w:t>
      </w:r>
    </w:p>
    <w:p w14:paraId="5C655B95">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▲④定向推送功能:支持按事件类型精准推送至指定用户，支持按行政区划定向推送至相关人员，确保关键信息精准触达（提供具备CNAS标识的第三方检测报告复印件，并能如实反映该功能）</w:t>
      </w:r>
    </w:p>
    <w:p w14:paraId="38051C20">
      <w:pPr>
        <w:spacing w:line="576" w:lineRule="exact"/>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⑤</w:t>
      </w:r>
      <w:r>
        <w:rPr>
          <w:rFonts w:hint="eastAsia" w:ascii="仿宋_GB2312" w:hAnsi="仿宋_GB2312" w:eastAsia="仿宋_GB2312" w:cs="仿宋_GB2312"/>
          <w:color w:val="auto"/>
          <w:sz w:val="32"/>
          <w:szCs w:val="32"/>
          <w:highlight w:val="none"/>
          <w:lang w:eastAsia="zh-CN"/>
        </w:rPr>
        <w:t>告警日历功能</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系统应对每日发生的预警数量进行统计，并以不同颜色标注。</w:t>
      </w:r>
    </w:p>
    <w:p w14:paraId="729D10A5">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⑥</w:t>
      </w:r>
      <w:r>
        <w:rPr>
          <w:rFonts w:hint="eastAsia" w:ascii="仿宋_GB2312" w:hAnsi="仿宋_GB2312" w:eastAsia="仿宋_GB2312" w:cs="仿宋_GB2312"/>
          <w:color w:val="auto"/>
          <w:sz w:val="32"/>
          <w:szCs w:val="32"/>
          <w:highlight w:val="none"/>
          <w:lang w:eastAsia="zh-CN"/>
        </w:rPr>
        <w:t>手动录像</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支持手动录像，并一键生成报警。</w:t>
      </w:r>
    </w:p>
    <w:p w14:paraId="2E40002E">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⑦政务手机微信端：支持事件处理、事件接收/通知、一键处理、一键导航、视频回放/实时查看等功能，方便执法人员现场处置。</w:t>
      </w:r>
    </w:p>
    <w:p w14:paraId="2B34FF14">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（4）技术要求：</w:t>
      </w:r>
    </w:p>
    <w:p w14:paraId="357F60AC">
      <w:pPr>
        <w:spacing w:line="576" w:lineRule="exact"/>
        <w:ind w:firstLine="640" w:firstLineChars="20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▲①智能预警系统具有兼容性，</w:t>
      </w:r>
      <w:r>
        <w:rPr>
          <w:rFonts w:hint="eastAsia" w:ascii="仿宋_GB2312" w:hAnsi="仿宋_GB2312" w:eastAsia="仿宋_GB2312" w:cs="仿宋_GB2312"/>
          <w:b/>
          <w:bCs/>
          <w:color w:val="auto"/>
          <w:sz w:val="32"/>
          <w:szCs w:val="32"/>
          <w:highlight w:val="none"/>
          <w:lang w:val="en-US" w:eastAsia="zh-CN"/>
        </w:rPr>
        <w:t>兼容国产操作系统、兼容国产数据库、兼容国产GPU等</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（提供具备CNAS标识的第三方检测报告复印件，并能如实反映该功能）</w:t>
      </w:r>
    </w:p>
    <w:p w14:paraId="7DB6A852">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②系统使用需要具备稳定性、安全性、易用性。</w:t>
      </w:r>
    </w:p>
    <w:p w14:paraId="433CC241">
      <w:pPr>
        <w:spacing w:line="576" w:lineRule="exact"/>
        <w:ind w:firstLine="643" w:firstLineChars="200"/>
        <w:jc w:val="left"/>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4、前端摄像机维护</w:t>
      </w:r>
    </w:p>
    <w:p w14:paraId="2BF60DB8">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（1）安装调试：供应商负责所有设备的现场安装、调试，确保设备正常运行，系统顺利上线；</w:t>
      </w:r>
    </w:p>
    <w:p w14:paraId="4DA97702">
      <w:pPr>
        <w:spacing w:line="576"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运维保障：服务期内提供免费运维服务，及时处理设备故障、系统异常，确保项目持续稳定运行。</w:t>
      </w:r>
    </w:p>
    <w:p w14:paraId="6B621542">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9" w:name="heading_14"/>
      <w:r>
        <w:rPr>
          <w:rFonts w:hint="eastAsia" w:ascii="仿宋_GB2312" w:hAnsi="仿宋_GB2312" w:eastAsia="仿宋_GB2312" w:cs="仿宋_GB2312"/>
          <w:b/>
          <w:bCs w:val="0"/>
          <w:color w:val="auto"/>
          <w:sz w:val="32"/>
          <w:szCs w:val="32"/>
          <w:highlight w:val="none"/>
        </w:rPr>
        <w:t>三、供应商报价须知</w:t>
      </w:r>
      <w:bookmarkEnd w:id="9"/>
    </w:p>
    <w:p w14:paraId="4A1C4071">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（一）供应商应根据询价信息的要求，在满足采购需求的前提下，于规定时间内对项目做出报价。</w:t>
      </w:r>
    </w:p>
    <w:p w14:paraId="426317D0">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（二）供应商应认真核对报价信息，确保符合采购需求，并对其真实性负责。若与实际不符，一经查实，将视为弄虚作假，当次报价无效，并按政府采购相关规定给予处理。</w:t>
      </w:r>
    </w:p>
    <w:p w14:paraId="3FAAA2AB">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10" w:name="heading_15"/>
      <w:r>
        <w:rPr>
          <w:rFonts w:hint="eastAsia" w:ascii="仿宋_GB2312" w:hAnsi="仿宋_GB2312" w:eastAsia="仿宋_GB2312" w:cs="仿宋_GB2312"/>
          <w:b/>
          <w:bCs w:val="0"/>
          <w:color w:val="auto"/>
          <w:sz w:val="32"/>
          <w:szCs w:val="32"/>
          <w:highlight w:val="none"/>
        </w:rPr>
        <w:t>四、报价要求</w:t>
      </w:r>
      <w:bookmarkEnd w:id="10"/>
    </w:p>
    <w:p w14:paraId="0A77D798">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（一）供应商的报价应是总价。</w:t>
      </w:r>
    </w:p>
    <w:p w14:paraId="280B0D5B">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（二）供应商的报价不得高于最高限价，大于最高限价为无效报价。</w:t>
      </w:r>
    </w:p>
    <w:p w14:paraId="30F7F5DA">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（三）总费用为总包价，即包含</w:t>
      </w:r>
      <w:r>
        <w:rPr>
          <w:rFonts w:hint="eastAsia" w:ascii="仿宋_GB2312" w:hAnsi="仿宋_GB2312" w:eastAsia="仿宋_GB2312" w:cs="仿宋_GB2312"/>
          <w:color w:val="auto"/>
          <w:sz w:val="32"/>
          <w:szCs w:val="32"/>
          <w:highlight w:val="none"/>
          <w:lang w:val="en-US" w:eastAsia="zh-CN"/>
        </w:rPr>
        <w:t>高位视频监控服务、</w:t>
      </w:r>
      <w:r>
        <w:rPr>
          <w:rFonts w:hint="eastAsia" w:ascii="仿宋_GB2312" w:hAnsi="仿宋_GB2312" w:eastAsia="仿宋_GB2312" w:cs="仿宋_GB2312"/>
          <w:color w:val="auto"/>
          <w:sz w:val="32"/>
          <w:szCs w:val="32"/>
          <w:highlight w:val="none"/>
        </w:rPr>
        <w:t>AI算法服务、人员培训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服务期运维（一年）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税费及其他相关费用等全部费用。最后费用以经采购程序后签订的合同为准。</w:t>
      </w:r>
    </w:p>
    <w:p w14:paraId="4CD5DFA8">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11" w:name="heading_16"/>
      <w:r>
        <w:rPr>
          <w:rFonts w:hint="eastAsia" w:ascii="仿宋_GB2312" w:hAnsi="仿宋_GB2312" w:eastAsia="仿宋_GB2312" w:cs="仿宋_GB2312"/>
          <w:b/>
          <w:bCs w:val="0"/>
          <w:color w:val="auto"/>
          <w:sz w:val="32"/>
          <w:szCs w:val="32"/>
          <w:highlight w:val="none"/>
        </w:rPr>
        <w:t>五、采购项目商务要求</w:t>
      </w:r>
      <w:bookmarkEnd w:id="11"/>
    </w:p>
    <w:p w14:paraId="2DD434C6">
      <w:pPr>
        <w:spacing w:line="576" w:lineRule="exact"/>
        <w:ind w:firstLine="640" w:firstLineChars="200"/>
        <w:jc w:val="left"/>
        <w:rPr>
          <w:rFonts w:hint="eastAsia" w:ascii="宋体" w:hAnsi="宋体" w:eastAsia="宋体" w:cs="宋体"/>
          <w:color w:val="auto"/>
          <w:sz w:val="24"/>
          <w:szCs w:val="24"/>
          <w:lang w:eastAsia="zh-CN"/>
        </w:rPr>
      </w:pPr>
      <w:r>
        <w:rPr>
          <w:rFonts w:hint="eastAsia" w:ascii="仿宋_GB2312" w:hAnsi="仿宋_GB2312" w:eastAsia="仿宋_GB2312" w:cs="仿宋_GB2312"/>
          <w:color w:val="auto"/>
          <w:sz w:val="32"/>
          <w:szCs w:val="32"/>
          <w:highlight w:val="none"/>
        </w:rPr>
        <w:t>（一）服务期限：在合同签订后30个日历日内，完成所有设备安装、系统调试及上线运行，服务期自</w:t>
      </w:r>
      <w:r>
        <w:rPr>
          <w:rFonts w:hint="eastAsia" w:ascii="仿宋_GB2312" w:hAnsi="仿宋_GB2312" w:eastAsia="仿宋_GB2312" w:cs="仿宋_GB2312"/>
          <w:color w:val="auto"/>
          <w:sz w:val="32"/>
          <w:szCs w:val="32"/>
          <w:highlight w:val="none"/>
          <w:lang w:val="en-US" w:eastAsia="zh-CN"/>
        </w:rPr>
        <w:t>通过初验之日起计算一年。</w:t>
      </w:r>
    </w:p>
    <w:p w14:paraId="1864D136">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（二）培训要求：成交供应商负责免费培训采购人有关技术人员，直至掌握系统使用技术为止。</w:t>
      </w:r>
    </w:p>
    <w:p w14:paraId="0D6B16F1">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（三）安装方式：成交供应商负责将所有设备送至江门市生态环境局蓬江分局指定地点，并完成现场安装、调试，确保设备及系统正常运行。</w:t>
      </w:r>
    </w:p>
    <w:p w14:paraId="409A7706">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供应商</w:t>
      </w:r>
      <w:r>
        <w:rPr>
          <w:rFonts w:hint="eastAsia" w:ascii="仿宋_GB2312" w:hAnsi="仿宋_GB2312" w:eastAsia="仿宋_GB2312" w:cs="仿宋_GB2312"/>
          <w:color w:val="auto"/>
          <w:sz w:val="32"/>
          <w:szCs w:val="32"/>
          <w:highlight w:val="none"/>
        </w:rPr>
        <w:t>须承诺：本项目交付的系统平台应与现有原平台保持功能布局、界面风格、操作逻辑基本一致，确保不改变原有用户操作习惯，保证平台升级后业务人员可无缝衔接、平稳过渡使用。（算法保障接入现有平台，无额外费用）</w:t>
      </w:r>
    </w:p>
    <w:p w14:paraId="389FB2FF">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12" w:name="heading_18"/>
      <w:r>
        <w:rPr>
          <w:rFonts w:hint="eastAsia" w:ascii="仿宋_GB2312" w:hAnsi="仿宋_GB2312" w:eastAsia="仿宋_GB2312" w:cs="仿宋_GB2312"/>
          <w:b/>
          <w:bCs w:val="0"/>
          <w:color w:val="auto"/>
          <w:sz w:val="32"/>
          <w:szCs w:val="32"/>
          <w:highlight w:val="none"/>
        </w:rPr>
        <w:t>六、供应商资质要求</w:t>
      </w:r>
      <w:bookmarkEnd w:id="12"/>
    </w:p>
    <w:p w14:paraId="47CF566B">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bookmarkStart w:id="13" w:name="heading_22"/>
      <w:r>
        <w:rPr>
          <w:rFonts w:hint="eastAsia" w:ascii="仿宋_GB2312" w:hAnsi="仿宋_GB2312" w:eastAsia="仿宋_GB2312" w:cs="仿宋_GB2312"/>
          <w:color w:val="auto"/>
          <w:sz w:val="32"/>
          <w:szCs w:val="32"/>
          <w:highlight w:val="none"/>
          <w:shd w:val="clear" w:color="auto" w:fill="FFFFFF"/>
          <w:lang w:eastAsia="zh-CN"/>
        </w:rPr>
        <w:t>（一）供应商应具备《中华人民共和国政府采购法》第二十二条规定的条件，提供下列材料:</w:t>
      </w:r>
    </w:p>
    <w:p w14:paraId="084CF7D5">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1.具有独立承担民事责任的能力：在中华人民共和国境内注册的法人或其他组织或自然人，提交有效的营业执照（或事业法人登记证或身份证等相关证明）副本复印件。分支机构报名参与本项目，须提供总公司出具给分支机构的授权书，以及总公司和分公司的营业执照副本复印件。</w:t>
      </w:r>
    </w:p>
    <w:p w14:paraId="4E08861D">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2.具有良好的商业信誉和健全的财务会计制度:2024年度或2025年度财务报告(表)或基本开户银行出具的银行资信证明，其他组织或自然人可提供银行出具的资信证明，新成立的企业提供成立至今的财务报告(表)。</w:t>
      </w:r>
    </w:p>
    <w:p w14:paraId="1CDF914B">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3.履行合同所必需的设备和专业技术能力:提供书面声明。</w:t>
      </w:r>
    </w:p>
    <w:p w14:paraId="5386A37F">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4.参加采购活动前3年内，在经营活动中没有重大违法记录:提供书面声明。</w:t>
      </w:r>
    </w:p>
    <w:p w14:paraId="28A46886">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（二）特定资格说明:</w:t>
      </w:r>
    </w:p>
    <w:p w14:paraId="55573ED4">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1.报名单位若为分支机构，可使用所属总公司或上级机构的人员、业绩及资质，严禁使用总公司其他分支机构的人员、业绩及资质；报名单位如为总公司，可采用本公司及下属所有分支机构的人员、业绩及资质。</w:t>
      </w:r>
    </w:p>
    <w:p w14:paraId="3FAB555A">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2.本项目不接受联合体。</w:t>
      </w:r>
    </w:p>
    <w:p w14:paraId="0D20C2CE">
      <w:pPr>
        <w:spacing w:line="576" w:lineRule="exact"/>
        <w:ind w:firstLine="640" w:firstLineChars="200"/>
        <w:jc w:val="left"/>
        <w:outlineLvl w:val="0"/>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eastAsia="zh-CN"/>
        </w:rPr>
        <w:t>3.供应商未被列入“信用中国”网站“记录失信被执行人或重大税收违法案件当事人名单或政府采购严重违法失信行为”记录名单。</w:t>
      </w:r>
    </w:p>
    <w:p w14:paraId="222B9D40">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七、供应商报价时需提交以下资料</w:t>
      </w:r>
      <w:bookmarkEnd w:id="13"/>
    </w:p>
    <w:p w14:paraId="5D935A81">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（一）报价函。报价为全包价，即包含</w:t>
      </w:r>
      <w:r>
        <w:rPr>
          <w:rFonts w:hint="eastAsia" w:ascii="仿宋_GB2312" w:hAnsi="仿宋_GB2312" w:eastAsia="仿宋_GB2312" w:cs="仿宋_GB2312"/>
          <w:color w:val="auto"/>
          <w:sz w:val="32"/>
          <w:szCs w:val="32"/>
          <w:highlight w:val="none"/>
          <w:lang w:val="en-US" w:eastAsia="zh-CN"/>
        </w:rPr>
        <w:t>高位视频监控服务、</w:t>
      </w:r>
      <w:r>
        <w:rPr>
          <w:rFonts w:hint="eastAsia" w:ascii="仿宋_GB2312" w:hAnsi="仿宋_GB2312" w:eastAsia="仿宋_GB2312" w:cs="仿宋_GB2312"/>
          <w:color w:val="auto"/>
          <w:sz w:val="32"/>
          <w:szCs w:val="32"/>
          <w:highlight w:val="none"/>
        </w:rPr>
        <w:t>AI算法服务、人员培训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服务期运维（一年）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税费及其他相关费用等全部费用。</w:t>
      </w:r>
    </w:p>
    <w:p w14:paraId="341501EE">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（二）法定代表人身份证复印件、企业法人代表授权书及受托人身份证复印件；</w:t>
      </w:r>
    </w:p>
    <w:p w14:paraId="5836D423">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（三）《营业执照》及真实性承诺文件的彩色扫描件；属于特许经营的，还须提供特许经营许可文件的扫描件；</w:t>
      </w:r>
    </w:p>
    <w:p w14:paraId="54EBC2E4">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（四）评审方法要求的证书、资质文件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授权文件</w:t>
      </w:r>
      <w:r>
        <w:rPr>
          <w:rFonts w:hint="eastAsia" w:ascii="仿宋_GB2312" w:hAnsi="仿宋_GB2312" w:eastAsia="仿宋_GB2312" w:cs="仿宋_GB2312"/>
          <w:color w:val="auto"/>
          <w:sz w:val="32"/>
          <w:szCs w:val="32"/>
          <w:highlight w:val="none"/>
        </w:rPr>
        <w:t>及方案文件（需提供盖章扫描件）；</w:t>
      </w:r>
    </w:p>
    <w:p w14:paraId="4D8FCBBD">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（五）未被列入“信用中国”“记录失信被执行人或重大税收违法案件当事人名单或政府采购严重违法失信行为”记录名单的截图；</w:t>
      </w:r>
    </w:p>
    <w:p w14:paraId="367D74F8">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（六）相关资质（资格）</w:t>
      </w:r>
      <w:r>
        <w:rPr>
          <w:rFonts w:hint="eastAsia" w:ascii="仿宋_GB2312" w:hAnsi="仿宋_GB2312" w:eastAsia="仿宋_GB2312" w:cs="仿宋_GB2312"/>
          <w:color w:val="auto"/>
          <w:sz w:val="32"/>
          <w:szCs w:val="32"/>
          <w:highlight w:val="none"/>
          <w:lang w:eastAsia="zh-CN"/>
        </w:rPr>
        <w:t>或业绩</w:t>
      </w:r>
      <w:r>
        <w:rPr>
          <w:rFonts w:hint="eastAsia" w:ascii="仿宋_GB2312" w:hAnsi="仿宋_GB2312" w:eastAsia="仿宋_GB2312" w:cs="仿宋_GB2312"/>
          <w:color w:val="auto"/>
          <w:sz w:val="32"/>
          <w:szCs w:val="32"/>
          <w:highlight w:val="none"/>
        </w:rPr>
        <w:t>证明材料。</w:t>
      </w:r>
    </w:p>
    <w:p w14:paraId="0CDA1353">
      <w:pPr>
        <w:spacing w:line="576"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）以上资料复印件需加盖公章。</w:t>
      </w:r>
    </w:p>
    <w:p w14:paraId="41AF2A78">
      <w:pPr>
        <w:spacing w:line="576" w:lineRule="exact"/>
        <w:ind w:firstLine="643" w:firstLineChars="200"/>
        <w:jc w:val="left"/>
        <w:outlineLvl w:val="0"/>
        <w:rPr>
          <w:rFonts w:hint="eastAsia" w:ascii="仿宋_GB2312" w:hAnsi="仿宋_GB2312" w:eastAsia="仿宋_GB2312" w:cs="仿宋_GB2312"/>
          <w:b/>
          <w:bCs w:val="0"/>
          <w:color w:val="auto"/>
          <w:sz w:val="32"/>
          <w:szCs w:val="32"/>
          <w:highlight w:val="none"/>
        </w:rPr>
      </w:pPr>
      <w:bookmarkStart w:id="14" w:name="heading_23"/>
      <w:r>
        <w:rPr>
          <w:rFonts w:hint="eastAsia" w:ascii="仿宋_GB2312" w:hAnsi="仿宋_GB2312" w:eastAsia="仿宋_GB2312" w:cs="仿宋_GB2312"/>
          <w:b/>
          <w:bCs w:val="0"/>
          <w:color w:val="auto"/>
          <w:sz w:val="32"/>
          <w:szCs w:val="32"/>
          <w:highlight w:val="none"/>
        </w:rPr>
        <w:t>八、报价时间及地址</w:t>
      </w:r>
      <w:bookmarkEnd w:id="14"/>
    </w:p>
    <w:p w14:paraId="5CECE3A8">
      <w:pPr>
        <w:keepNext w:val="0"/>
        <w:keepLines w:val="0"/>
        <w:pageBreakBefore w:val="0"/>
        <w:widowControl/>
        <w:kinsoku/>
        <w:wordWrap w:val="0"/>
        <w:overflowPunct/>
        <w:topLinePunct w:val="0"/>
        <w:autoSpaceDE/>
        <w:autoSpaceDN/>
        <w:bidi w:val="0"/>
        <w:adjustRightInd/>
        <w:snapToGrid/>
        <w:spacing w:before="0" w:beforeLines="-2147483648" w:line="576" w:lineRule="exact"/>
        <w:ind w:firstLine="640" w:firstLineChars="200"/>
        <w:jc w:val="left"/>
        <w:textAlignment w:val="auto"/>
        <w:outlineLvl w:val="0"/>
        <w:rPr>
          <w:rFonts w:hint="eastAsia" w:ascii="仿宋_GB2312" w:hAnsi="仿宋_GB2312" w:eastAsia="仿宋_GB2312" w:cs="仿宋_GB2312"/>
          <w:color w:val="auto"/>
          <w:sz w:val="32"/>
          <w:szCs w:val="32"/>
          <w:highlight w:val="none"/>
          <w:lang w:eastAsia="zh-CN"/>
        </w:rPr>
      </w:pPr>
      <w:bookmarkStart w:id="15" w:name="heading_24"/>
      <w:r>
        <w:rPr>
          <w:rFonts w:hint="eastAsia" w:ascii="仿宋_GB2312" w:hAnsi="仿宋_GB2312" w:eastAsia="仿宋_GB2312" w:cs="仿宋_GB2312"/>
          <w:color w:val="auto"/>
          <w:sz w:val="32"/>
          <w:szCs w:val="32"/>
          <w:highlight w:val="none"/>
        </w:rPr>
        <w:t>凡有意参与报价的供应商，请于</w:t>
      </w:r>
      <w:r>
        <w:rPr>
          <w:rFonts w:hint="eastAsia" w:ascii="仿宋_GB2312" w:hAnsi="仿宋_GB2312"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日起至</w:t>
      </w:r>
      <w:r>
        <w:rPr>
          <w:rFonts w:hint="eastAsia" w:ascii="仿宋_GB2312" w:hAnsi="仿宋_GB2312"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日17</w:t>
      </w:r>
      <w:bookmarkStart w:id="16" w:name="_GoBack"/>
      <w:r>
        <w:rPr>
          <w:rFonts w:hint="eastAsia" w:ascii="仿宋_GB2312" w:hAnsi="仿宋_GB2312" w:eastAsia="仿宋_GB2312" w:cs="仿宋_GB2312"/>
          <w:color w:val="auto"/>
          <w:sz w:val="32"/>
          <w:szCs w:val="32"/>
          <w:highlight w:val="none"/>
        </w:rPr>
        <w:t>：</w:t>
      </w:r>
      <w:bookmarkEnd w:id="16"/>
      <w:r>
        <w:rPr>
          <w:rFonts w:hint="eastAsia" w:ascii="仿宋_GB2312" w:hAnsi="仿宋_GB2312" w:eastAsia="仿宋_GB2312" w:cs="仿宋_GB2312"/>
          <w:color w:val="auto"/>
          <w:sz w:val="32"/>
          <w:szCs w:val="32"/>
          <w:highlight w:val="none"/>
        </w:rPr>
        <w:t>30前，将加盖公司印章的报价文件及相关资料发至我单位指定电子邮箱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rPr>
        <w:t>jmssthjjpjfj@jiangmen.gov.cn</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，或将纸质报价文件送至我单位指定地址：江门市蓬江区胜利路152号珠西创谷1号楼5楼。</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联系人：谭小姐；</w:t>
      </w:r>
      <w:r>
        <w:rPr>
          <w:rFonts w:hint="eastAsia" w:ascii="仿宋_GB2312" w:hAnsi="仿宋_GB2312" w:eastAsia="仿宋_GB2312" w:cs="仿宋_GB2312"/>
          <w:color w:val="auto"/>
          <w:kern w:val="0"/>
          <w:sz w:val="32"/>
          <w:szCs w:val="32"/>
          <w:highlight w:val="none"/>
        </w:rPr>
        <w:t>联系电话：0750-329</w:t>
      </w:r>
      <w:r>
        <w:rPr>
          <w:rFonts w:hint="eastAsia" w:ascii="仿宋_GB2312" w:hAnsi="仿宋_GB2312" w:eastAsia="仿宋_GB2312" w:cs="仿宋_GB2312"/>
          <w:color w:val="auto"/>
          <w:kern w:val="0"/>
          <w:sz w:val="32"/>
          <w:szCs w:val="32"/>
          <w:highlight w:val="none"/>
          <w:lang w:val="en-US" w:eastAsia="zh-CN"/>
        </w:rPr>
        <w:t>1719</w:t>
      </w:r>
      <w:r>
        <w:rPr>
          <w:rFonts w:hint="eastAsia" w:ascii="仿宋_GB2312" w:hAnsi="仿宋_GB2312" w:eastAsia="仿宋_GB2312" w:cs="仿宋_GB2312"/>
          <w:color w:val="auto"/>
          <w:sz w:val="32"/>
          <w:szCs w:val="32"/>
          <w:highlight w:val="none"/>
          <w:lang w:eastAsia="zh-CN"/>
        </w:rPr>
        <w:t>）</w:t>
      </w:r>
    </w:p>
    <w:p w14:paraId="2C030687">
      <w:pPr>
        <w:keepNext w:val="0"/>
        <w:keepLines w:val="0"/>
        <w:pageBreakBefore w:val="0"/>
        <w:widowControl/>
        <w:kinsoku/>
        <w:wordWrap w:val="0"/>
        <w:overflowPunct/>
        <w:topLinePunct w:val="0"/>
        <w:autoSpaceDE/>
        <w:autoSpaceDN/>
        <w:bidi w:val="0"/>
        <w:adjustRightInd/>
        <w:snapToGrid/>
        <w:spacing w:before="0" w:beforeLines="-2147483648" w:line="576" w:lineRule="exact"/>
        <w:ind w:firstLine="643" w:firstLineChars="200"/>
        <w:jc w:val="left"/>
        <w:textAlignment w:val="auto"/>
        <w:outlineLvl w:val="0"/>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lang w:val="en-US" w:eastAsia="zh-CN"/>
        </w:rPr>
        <w:t>九</w:t>
      </w:r>
      <w:r>
        <w:rPr>
          <w:rFonts w:hint="eastAsia" w:ascii="仿宋_GB2312" w:hAnsi="仿宋_GB2312" w:eastAsia="仿宋_GB2312" w:cs="仿宋_GB2312"/>
          <w:b/>
          <w:color w:val="auto"/>
          <w:kern w:val="0"/>
          <w:sz w:val="32"/>
          <w:szCs w:val="32"/>
          <w:highlight w:val="none"/>
        </w:rPr>
        <w:t>、争议的解决</w:t>
      </w:r>
    </w:p>
    <w:p w14:paraId="2EAA5A7D">
      <w:pPr>
        <w:widowControl/>
        <w:spacing w:before="0" w:beforeLines="-2147483648" w:line="576" w:lineRule="exact"/>
        <w:ind w:firstLine="640" w:firstLineChars="200"/>
        <w:jc w:val="left"/>
        <w:outlineLvl w:val="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因本服务事项发生的有关争议，由双方友好协商解决；协商不成的，提交业主方所在地有管辖权的法院管辖。</w:t>
      </w:r>
    </w:p>
    <w:p w14:paraId="5D81EA51">
      <w:pPr>
        <w:widowControl/>
        <w:snapToGrid/>
        <w:spacing w:line="360" w:lineRule="auto"/>
        <w:ind w:firstLine="560" w:firstLineChars="200"/>
        <w:jc w:val="right"/>
        <w:rPr>
          <w:rFonts w:hint="eastAsia" w:ascii="宋体" w:hAnsi="宋体" w:eastAsia="仿宋_GB2312" w:cs="宋体"/>
          <w:color w:val="auto"/>
          <w:kern w:val="0"/>
          <w:sz w:val="28"/>
          <w:szCs w:val="28"/>
        </w:rPr>
      </w:pPr>
    </w:p>
    <w:p w14:paraId="0C698062">
      <w:pPr>
        <w:widowControl/>
        <w:snapToGrid/>
        <w:spacing w:line="576" w:lineRule="exact"/>
        <w:ind w:firstLine="640" w:firstLineChars="200"/>
        <w:jc w:val="right"/>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江门市生态环境局蓬江分局</w:t>
      </w:r>
    </w:p>
    <w:p w14:paraId="1B41D0AD">
      <w:pPr>
        <w:widowControl/>
        <w:spacing w:line="576" w:lineRule="exact"/>
        <w:ind w:firstLine="640" w:firstLineChars="200"/>
        <w:jc w:val="right"/>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                 202</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年</w:t>
      </w:r>
      <w:r>
        <w:rPr>
          <w:rFonts w:hint="eastAsia" w:ascii="仿宋_GB2312" w:hAnsi="仿宋_GB2312" w:eastAsia="仿宋_GB2312" w:cs="仿宋_GB2312"/>
          <w:color w:val="auto"/>
          <w:kern w:val="0"/>
          <w:sz w:val="32"/>
          <w:szCs w:val="32"/>
          <w:highlight w:val="none"/>
          <w:lang w:val="en-US" w:eastAsia="zh-CN"/>
        </w:rPr>
        <w:t>7</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24</w:t>
      </w:r>
      <w:r>
        <w:rPr>
          <w:rFonts w:hint="eastAsia" w:ascii="仿宋_GB2312" w:hAnsi="仿宋_GB2312" w:eastAsia="仿宋_GB2312" w:cs="仿宋_GB2312"/>
          <w:color w:val="auto"/>
          <w:kern w:val="0"/>
          <w:sz w:val="32"/>
          <w:szCs w:val="32"/>
          <w:highlight w:val="none"/>
        </w:rPr>
        <w:t>日</w:t>
      </w:r>
    </w:p>
    <w:p w14:paraId="308FBF22">
      <w:pPr>
        <w:widowControl/>
        <w:spacing w:line="576" w:lineRule="exact"/>
        <w:ind w:firstLine="640" w:firstLineChars="200"/>
        <w:jc w:val="left"/>
        <w:outlineLvl w:val="9"/>
        <w:rPr>
          <w:rFonts w:hint="eastAsia" w:ascii="仿宋_GB2312" w:hAnsi="仿宋_GB2312" w:eastAsia="仿宋_GB2312" w:cs="仿宋_GB2312"/>
          <w:color w:val="auto"/>
          <w:sz w:val="32"/>
          <w:szCs w:val="32"/>
          <w:highlight w:val="none"/>
        </w:rPr>
      </w:pPr>
    </w:p>
    <w:bookmarkEnd w:id="15"/>
    <w:p w14:paraId="0C098302">
      <w:pPr>
        <w:spacing w:line="576" w:lineRule="exact"/>
        <w:jc w:val="left"/>
        <w:outlineLvl w:val="0"/>
        <w:rPr>
          <w:rFonts w:hint="eastAsia" w:ascii="仿宋_GB2312" w:hAnsi="仿宋_GB2312" w:eastAsia="仿宋_GB2312" w:cs="仿宋_GB2312"/>
          <w:b/>
          <w:bCs w:val="0"/>
          <w:color w:val="auto"/>
          <w:sz w:val="32"/>
          <w:szCs w:val="32"/>
          <w:highlight w:val="none"/>
        </w:rPr>
      </w:pPr>
    </w:p>
    <w:sectPr>
      <w:footerReference r:id="rId3" w:type="default"/>
      <w:pgSz w:w="11905" w:h="16840"/>
      <w:pgMar w:top="1440" w:right="1800"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长城仿宋">
    <w:altName w:val="黑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3437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58CDF">
                          <w:pPr>
                            <w:pStyle w:val="10"/>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A58CDF">
                    <w:pPr>
                      <w:pStyle w:val="10"/>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2AA46"/>
    <w:multiLevelType w:val="singleLevel"/>
    <w:tmpl w:val="BAF2AA46"/>
    <w:lvl w:ilvl="0" w:tentative="0">
      <w:start w:val="1"/>
      <w:numFmt w:val="decimalEnclosedCircleChinese"/>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4A6"/>
    <w:rsid w:val="00200924"/>
    <w:rsid w:val="003759D9"/>
    <w:rsid w:val="0040270C"/>
    <w:rsid w:val="00547BFA"/>
    <w:rsid w:val="006B1C6C"/>
    <w:rsid w:val="008D64A6"/>
    <w:rsid w:val="00ED7F0E"/>
    <w:rsid w:val="020220CB"/>
    <w:rsid w:val="027B14DF"/>
    <w:rsid w:val="031B69DE"/>
    <w:rsid w:val="031E276F"/>
    <w:rsid w:val="03F4702C"/>
    <w:rsid w:val="040066E7"/>
    <w:rsid w:val="05655296"/>
    <w:rsid w:val="05B818DB"/>
    <w:rsid w:val="06733D9B"/>
    <w:rsid w:val="073F0362"/>
    <w:rsid w:val="07EC5C4D"/>
    <w:rsid w:val="081422F9"/>
    <w:rsid w:val="08CF045B"/>
    <w:rsid w:val="0A0310F8"/>
    <w:rsid w:val="0A4C5E14"/>
    <w:rsid w:val="0B9D4CB5"/>
    <w:rsid w:val="0CA04153"/>
    <w:rsid w:val="0CCB2C6D"/>
    <w:rsid w:val="0CF307C8"/>
    <w:rsid w:val="0D0D220B"/>
    <w:rsid w:val="0D927FE1"/>
    <w:rsid w:val="0E0E083C"/>
    <w:rsid w:val="0E63024A"/>
    <w:rsid w:val="0F9B0CA3"/>
    <w:rsid w:val="0FFC13A2"/>
    <w:rsid w:val="10485988"/>
    <w:rsid w:val="105C2769"/>
    <w:rsid w:val="109A64A3"/>
    <w:rsid w:val="10D62DB9"/>
    <w:rsid w:val="11072A94"/>
    <w:rsid w:val="111F4E09"/>
    <w:rsid w:val="11387B08"/>
    <w:rsid w:val="117702AA"/>
    <w:rsid w:val="14B340D6"/>
    <w:rsid w:val="16BE55A9"/>
    <w:rsid w:val="17002B64"/>
    <w:rsid w:val="19566367"/>
    <w:rsid w:val="19DF1646"/>
    <w:rsid w:val="1A880997"/>
    <w:rsid w:val="1AE856E5"/>
    <w:rsid w:val="1AFE6942"/>
    <w:rsid w:val="1B913076"/>
    <w:rsid w:val="1CDC4F69"/>
    <w:rsid w:val="1D774AFE"/>
    <w:rsid w:val="1E024F05"/>
    <w:rsid w:val="1E557BF4"/>
    <w:rsid w:val="215A2D3D"/>
    <w:rsid w:val="21BF4CC5"/>
    <w:rsid w:val="22135137"/>
    <w:rsid w:val="23934993"/>
    <w:rsid w:val="23D26F32"/>
    <w:rsid w:val="271F6BE8"/>
    <w:rsid w:val="2752465E"/>
    <w:rsid w:val="275B5C87"/>
    <w:rsid w:val="279938C3"/>
    <w:rsid w:val="27F2725B"/>
    <w:rsid w:val="28735A1E"/>
    <w:rsid w:val="295025B8"/>
    <w:rsid w:val="2A781EB5"/>
    <w:rsid w:val="2AAF2861"/>
    <w:rsid w:val="2B342515"/>
    <w:rsid w:val="2D564730"/>
    <w:rsid w:val="2DA42713"/>
    <w:rsid w:val="2DFB77AB"/>
    <w:rsid w:val="2E0275E2"/>
    <w:rsid w:val="2FA303F6"/>
    <w:rsid w:val="321E3342"/>
    <w:rsid w:val="32F6606D"/>
    <w:rsid w:val="35642BCD"/>
    <w:rsid w:val="35FA5E74"/>
    <w:rsid w:val="36485B1A"/>
    <w:rsid w:val="36A6489A"/>
    <w:rsid w:val="36F8293C"/>
    <w:rsid w:val="37656B45"/>
    <w:rsid w:val="377910BF"/>
    <w:rsid w:val="378B6CA8"/>
    <w:rsid w:val="387252A1"/>
    <w:rsid w:val="387D10D1"/>
    <w:rsid w:val="38D81FC4"/>
    <w:rsid w:val="3910242B"/>
    <w:rsid w:val="3BF83FBA"/>
    <w:rsid w:val="3BFB27BF"/>
    <w:rsid w:val="3CBD54D5"/>
    <w:rsid w:val="3F3B3785"/>
    <w:rsid w:val="3FB07F0A"/>
    <w:rsid w:val="3FCA0843"/>
    <w:rsid w:val="3FCC443E"/>
    <w:rsid w:val="424C70E9"/>
    <w:rsid w:val="43241587"/>
    <w:rsid w:val="43CF6B92"/>
    <w:rsid w:val="451F1453"/>
    <w:rsid w:val="462036D5"/>
    <w:rsid w:val="46C95820"/>
    <w:rsid w:val="46DB6EAC"/>
    <w:rsid w:val="4804200A"/>
    <w:rsid w:val="48994F34"/>
    <w:rsid w:val="493F3E72"/>
    <w:rsid w:val="49986AE1"/>
    <w:rsid w:val="4A8634AA"/>
    <w:rsid w:val="4B1D6435"/>
    <w:rsid w:val="4BBA48F9"/>
    <w:rsid w:val="4C172322"/>
    <w:rsid w:val="4C747EA3"/>
    <w:rsid w:val="4CB450FC"/>
    <w:rsid w:val="4D6466F5"/>
    <w:rsid w:val="4DE4148C"/>
    <w:rsid w:val="4E850579"/>
    <w:rsid w:val="4ED41007"/>
    <w:rsid w:val="51316717"/>
    <w:rsid w:val="519A431D"/>
    <w:rsid w:val="521C11F4"/>
    <w:rsid w:val="522A1956"/>
    <w:rsid w:val="541A6CDE"/>
    <w:rsid w:val="541B174F"/>
    <w:rsid w:val="545E3D46"/>
    <w:rsid w:val="54601FFB"/>
    <w:rsid w:val="54D122D2"/>
    <w:rsid w:val="55796F62"/>
    <w:rsid w:val="56CC5D2E"/>
    <w:rsid w:val="5891370A"/>
    <w:rsid w:val="58FC284C"/>
    <w:rsid w:val="594F5B82"/>
    <w:rsid w:val="59D03731"/>
    <w:rsid w:val="5B8A5421"/>
    <w:rsid w:val="5B9E26E1"/>
    <w:rsid w:val="5C7D24A8"/>
    <w:rsid w:val="5D600B2F"/>
    <w:rsid w:val="5E1D1423"/>
    <w:rsid w:val="5EB1764F"/>
    <w:rsid w:val="5FAB3BB8"/>
    <w:rsid w:val="5FFAB976"/>
    <w:rsid w:val="5FFE36C4"/>
    <w:rsid w:val="602816AC"/>
    <w:rsid w:val="60643652"/>
    <w:rsid w:val="60DD09F9"/>
    <w:rsid w:val="62321FA2"/>
    <w:rsid w:val="6311467A"/>
    <w:rsid w:val="636726D3"/>
    <w:rsid w:val="651D2E62"/>
    <w:rsid w:val="65BC052B"/>
    <w:rsid w:val="66022479"/>
    <w:rsid w:val="667F38ED"/>
    <w:rsid w:val="67BB1663"/>
    <w:rsid w:val="69AB6F79"/>
    <w:rsid w:val="6BCA673A"/>
    <w:rsid w:val="6D0643EC"/>
    <w:rsid w:val="6E1A069C"/>
    <w:rsid w:val="6E1C52A5"/>
    <w:rsid w:val="6E6944F7"/>
    <w:rsid w:val="6E865F1C"/>
    <w:rsid w:val="6EC027FE"/>
    <w:rsid w:val="6ED00F45"/>
    <w:rsid w:val="6EE07E80"/>
    <w:rsid w:val="6F9DC21E"/>
    <w:rsid w:val="708D34F0"/>
    <w:rsid w:val="71404A39"/>
    <w:rsid w:val="720741AA"/>
    <w:rsid w:val="72D1172F"/>
    <w:rsid w:val="73FC25AD"/>
    <w:rsid w:val="753D4533"/>
    <w:rsid w:val="760335C9"/>
    <w:rsid w:val="76631ACF"/>
    <w:rsid w:val="791F31F5"/>
    <w:rsid w:val="7BC4727D"/>
    <w:rsid w:val="7BD812D2"/>
    <w:rsid w:val="7D717D97"/>
    <w:rsid w:val="7F1E6E78"/>
    <w:rsid w:val="7FB53B43"/>
    <w:rsid w:val="7FC70774"/>
    <w:rsid w:val="7FE4232D"/>
    <w:rsid w:val="7FEBACE2"/>
    <w:rsid w:val="BAF2DE38"/>
    <w:rsid w:val="BBFF635B"/>
    <w:rsid w:val="F6FB9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after="160" w:line="259" w:lineRule="auto"/>
      <w:ind w:firstLine="200" w:firstLineChars="200"/>
    </w:pPr>
    <w:rPr>
      <w:rFonts w:ascii="Calibri" w:hAnsi="Calibri" w:eastAsia="宋体"/>
      <w:szCs w:val="24"/>
    </w:rPr>
  </w:style>
  <w:style w:type="paragraph" w:styleId="7">
    <w:name w:val="annotation text"/>
    <w:basedOn w:val="1"/>
    <w:qFormat/>
    <w:uiPriority w:val="0"/>
    <w:pPr>
      <w:jc w:val="left"/>
    </w:pPr>
  </w:style>
  <w:style w:type="paragraph" w:styleId="8">
    <w:name w:val="Body Text Indent"/>
    <w:basedOn w:val="1"/>
    <w:unhideWhenUsed/>
    <w:qFormat/>
    <w:uiPriority w:val="99"/>
    <w:pPr>
      <w:spacing w:after="120"/>
      <w:ind w:left="420" w:leftChars="200"/>
    </w:pPr>
  </w:style>
  <w:style w:type="paragraph" w:styleId="9">
    <w:name w:val="Plain Text"/>
    <w:basedOn w:val="1"/>
    <w:qFormat/>
    <w:uiPriority w:val="0"/>
    <w:rPr>
      <w:rFonts w:ascii="宋体" w:hAnsi="Courier New" w:eastAsia="宋体"/>
      <w:sz w:val="21"/>
    </w:rPr>
  </w:style>
  <w:style w:type="paragraph" w:styleId="10">
    <w:name w:val="footer"/>
    <w:basedOn w:val="1"/>
    <w:link w:val="24"/>
    <w:qFormat/>
    <w:uiPriority w:val="0"/>
    <w:pPr>
      <w:tabs>
        <w:tab w:val="center" w:pos="4153"/>
        <w:tab w:val="right" w:pos="8306"/>
      </w:tabs>
      <w:snapToGrid w:val="0"/>
      <w:jc w:val="left"/>
    </w:pPr>
    <w:rPr>
      <w:sz w:val="18"/>
      <w:szCs w:val="18"/>
    </w:rPr>
  </w:style>
  <w:style w:type="paragraph" w:styleId="11">
    <w:name w:val="header"/>
    <w:basedOn w:val="1"/>
    <w:link w:val="23"/>
    <w:qFormat/>
    <w:uiPriority w:val="0"/>
    <w:pP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left" w:pos="600"/>
        <w:tab w:val="right" w:leader="dot" w:pos="8296"/>
      </w:tabs>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unhideWhenUsed/>
    <w:qFormat/>
    <w:uiPriority w:val="0"/>
    <w:pPr>
      <w:ind w:firstLine="420" w:firstLineChars="200"/>
    </w:p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qFormat/>
    <w:uiPriority w:val="0"/>
  </w:style>
  <w:style w:type="character" w:styleId="20">
    <w:name w:val="Hyperlink"/>
    <w:basedOn w:val="17"/>
    <w:qFormat/>
    <w:uiPriority w:val="0"/>
    <w:rPr>
      <w:color w:val="0000FF"/>
      <w:u w:val="single"/>
    </w:rPr>
  </w:style>
  <w:style w:type="character" w:styleId="21">
    <w:name w:val="annotation reference"/>
    <w:basedOn w:val="17"/>
    <w:qFormat/>
    <w:uiPriority w:val="0"/>
    <w:rPr>
      <w:sz w:val="21"/>
      <w:szCs w:val="21"/>
    </w:rPr>
  </w:style>
  <w:style w:type="paragraph" w:customStyle="1" w:styleId="22">
    <w:name w:val="null3"/>
    <w:hidden/>
    <w:qFormat/>
    <w:uiPriority w:val="0"/>
    <w:rPr>
      <w:rFonts w:hint="eastAsia" w:asciiTheme="minorHAnsi" w:hAnsiTheme="minorHAnsi" w:eastAsiaTheme="minorEastAsia" w:cstheme="minorBidi"/>
      <w:lang w:val="en-US" w:eastAsia="zh-CN" w:bidi="ar-SA"/>
    </w:rPr>
  </w:style>
  <w:style w:type="character" w:customStyle="1" w:styleId="23">
    <w:name w:val="页眉 字符"/>
    <w:basedOn w:val="17"/>
    <w:link w:val="11"/>
    <w:qFormat/>
    <w:uiPriority w:val="0"/>
    <w:rPr>
      <w:sz w:val="18"/>
      <w:szCs w:val="18"/>
    </w:rPr>
  </w:style>
  <w:style w:type="character" w:customStyle="1" w:styleId="24">
    <w:name w:val="页脚 字符"/>
    <w:basedOn w:val="17"/>
    <w:link w:val="10"/>
    <w:qFormat/>
    <w:uiPriority w:val="0"/>
    <w:rPr>
      <w:sz w:val="18"/>
      <w:szCs w:val="18"/>
    </w:rPr>
  </w:style>
  <w:style w:type="character" w:customStyle="1" w:styleId="25">
    <w:name w:val="font21"/>
    <w:basedOn w:val="17"/>
    <w:qFormat/>
    <w:uiPriority w:val="0"/>
    <w:rPr>
      <w:rFonts w:hint="default" w:ascii="Calibri" w:hAnsi="Calibri" w:cs="Calibri"/>
      <w:color w:val="000000"/>
      <w:sz w:val="15"/>
      <w:szCs w:val="15"/>
      <w:u w:val="none"/>
    </w:rPr>
  </w:style>
  <w:style w:type="character" w:customStyle="1" w:styleId="26">
    <w:name w:val="font11"/>
    <w:basedOn w:val="17"/>
    <w:qFormat/>
    <w:uiPriority w:val="0"/>
    <w:rPr>
      <w:rFonts w:hint="eastAsia" w:ascii="华文细黑" w:hAnsi="华文细黑" w:eastAsia="华文细黑" w:cs="华文细黑"/>
      <w:color w:val="000000"/>
      <w:sz w:val="15"/>
      <w:szCs w:val="15"/>
      <w:u w:val="none"/>
    </w:rPr>
  </w:style>
  <w:style w:type="character" w:customStyle="1" w:styleId="27">
    <w:name w:val="font51"/>
    <w:basedOn w:val="17"/>
    <w:qFormat/>
    <w:uiPriority w:val="0"/>
    <w:rPr>
      <w:rFonts w:hint="eastAsia" w:ascii="宋体" w:hAnsi="宋体" w:eastAsia="宋体" w:cs="宋体"/>
      <w:color w:val="000000"/>
      <w:sz w:val="15"/>
      <w:szCs w:val="15"/>
      <w:u w:val="none"/>
    </w:rPr>
  </w:style>
  <w:style w:type="character" w:customStyle="1" w:styleId="28">
    <w:name w:val="font61"/>
    <w:basedOn w:val="17"/>
    <w:qFormat/>
    <w:uiPriority w:val="0"/>
    <w:rPr>
      <w:rFonts w:hint="default" w:ascii="Calibri" w:hAnsi="Calibri" w:cs="Calibri"/>
      <w:color w:val="000000"/>
      <w:sz w:val="16"/>
      <w:szCs w:val="16"/>
      <w:u w:val="none"/>
    </w:rPr>
  </w:style>
  <w:style w:type="character" w:customStyle="1" w:styleId="29">
    <w:name w:val="font31"/>
    <w:basedOn w:val="17"/>
    <w:qFormat/>
    <w:uiPriority w:val="0"/>
    <w:rPr>
      <w:rFonts w:hint="eastAsia" w:ascii="华文细黑" w:hAnsi="华文细黑" w:eastAsia="华文细黑" w:cs="华文细黑"/>
      <w:color w:val="000000"/>
      <w:sz w:val="16"/>
      <w:szCs w:val="16"/>
      <w:u w:val="none"/>
    </w:rPr>
  </w:style>
  <w:style w:type="character" w:customStyle="1" w:styleId="30">
    <w:name w:val="font41"/>
    <w:basedOn w:val="17"/>
    <w:qFormat/>
    <w:uiPriority w:val="0"/>
    <w:rPr>
      <w:rFonts w:hint="eastAsia" w:ascii="华文细黑" w:hAnsi="华文细黑" w:eastAsia="华文细黑" w:cs="华文细黑"/>
      <w:color w:val="000000"/>
      <w:sz w:val="15"/>
      <w:szCs w:val="15"/>
      <w:u w:val="none"/>
    </w:rPr>
  </w:style>
  <w:style w:type="character" w:customStyle="1" w:styleId="31">
    <w:name w:val="font71"/>
    <w:basedOn w:val="17"/>
    <w:qFormat/>
    <w:uiPriority w:val="0"/>
    <w:rPr>
      <w:rFonts w:hint="default" w:ascii="Calibri" w:hAnsi="Calibri" w:cs="Calibri"/>
      <w:color w:val="000000"/>
      <w:sz w:val="15"/>
      <w:szCs w:val="15"/>
      <w:u w:val="none"/>
    </w:rPr>
  </w:style>
  <w:style w:type="paragraph" w:styleId="32">
    <w:name w:val="List Paragraph"/>
    <w:basedOn w:val="1"/>
    <w:qFormat/>
    <w:uiPriority w:val="99"/>
    <w:pPr>
      <w:ind w:firstLine="420" w:firstLineChars="200"/>
    </w:pPr>
  </w:style>
  <w:style w:type="paragraph" w:customStyle="1" w:styleId="33">
    <w:name w:val="文档正文"/>
    <w:basedOn w:val="1"/>
    <w:autoRedefine/>
    <w:qFormat/>
    <w:uiPriority w:val="0"/>
    <w:pPr>
      <w:adjustRightInd w:val="0"/>
      <w:spacing w:line="480" w:lineRule="atLeast"/>
      <w:ind w:firstLine="567"/>
      <w:textAlignment w:val="baseline"/>
    </w:pPr>
    <w:rPr>
      <w:rFonts w:ascii="长城仿宋"/>
      <w:kern w:val="0"/>
      <w:sz w:val="24"/>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1b1eecf3-e733-4f7d-8049-6d1209aae841</errorID>
      <errorWord>:</errorWord>
      <group>L1_Format</group>
      <groupName>格式问题</groupName>
      <ability>L2_HalfPunc_CN</ability>
      <abilityName>全半角问题</abilityName>
      <candidateList>
        <item>：</item>
      </candidateList>
      <explain>文本全半角错误。</explain>
      <paraID>76A07D18</paraID>
      <start>9</start>
      <end>10</end>
      <status>ignored</status>
      <modifiedWord/>
      <trackRevisions>false</trackRevisions>
    </reviewItem>
    <reviewItem>
      <errorID>bbb0de52-5f14-48e4-9536-7e0d0ef218df</errorID>
      <errorWord>12套视频监控设备</errorWord>
      <group>L1_Other</group>
      <groupName>其他问题</groupName>
      <ability>L2_Consistency</ability>
      <abilityName>一致性检查</abilityName>
      <candidateList>
        <item>12个摄像头</item>
      </candidateList>
      <explain>术语一致性，原文对应位置对监控设备的统一表述为12个摄像头，此处表述不一致</explain>
      <paraID>6B390681</paraID>
      <start>74</start>
      <end>83</end>
      <status>ignored</status>
      <modifiedWord/>
      <trackRevisions>false</trackRevisions>
    </reviewItem>
    <reviewItem>
      <errorID>c49902ed-a8e4-499d-82d1-68ec1445db71</errorID>
      <errorWord>需具备</errorWord>
      <group>L1_Word</group>
      <groupName>字词问题</groupName>
      <ability>L2_Typo</ability>
      <abilityName>字词错误</abilityName>
      <candidateList>
        <item>须具备</item>
      </candidateList>
      <explain/>
      <paraID>2276A81B</paraID>
      <start>14</start>
      <end>17</end>
      <status>unmodified</status>
      <modifiedWord/>
      <trackRevisions>false</trackRevisions>
    </reviewItem>
    <reviewItem>
      <errorID>9c5c7819-fc26-4142-b178-e6aaa6947a4c</errorID>
      <errorWord>在线和</errorWord>
      <group>L1_Word</group>
      <groupName>字词问题</groupName>
      <ability>L2_Typo</ability>
      <abilityName>字词错误</abilityName>
      <candidateList>
        <item>在线</item>
      </candidateList>
      <explain/>
      <paraID>64352E3B</paraID>
      <start>51</start>
      <end>54</end>
      <status>unmodified</status>
      <modifiedWord/>
      <trackRevisions>false</trackRevisions>
    </reviewItem>
    <reviewItem>
      <errorID>c92fe5a9-f2ac-4e55-93ad-8261042bcb02</errorID>
      <errorWord>（</errorWord>
      <group>L1_Word</group>
      <groupName>字词问题</groupName>
      <ability>L2_Typo</ability>
      <abilityName>字词错误</abilityName>
      <candidateList>
        <item>（以</item>
      </candidateList>
      <explain/>
      <paraID>49192B3F</paraID>
      <start>16</start>
      <end>17</end>
      <status>unmodified</status>
      <modifiedWord/>
      <trackRevisions>false</trackRevisions>
    </reviewItem>
    <reviewItem>
      <errorID>ca466f90-c1e5-4070-ab4d-d669a4fc6857</errorID>
      <errorWord>（</errorWord>
      <group>L1_Word</group>
      <groupName>字词问题</groupName>
      <ability>L2_Typo</ability>
      <abilityName>字词错误</abilityName>
      <candidateList>
        <item>（以</item>
      </candidateList>
      <explain/>
      <paraID>35A7EC26</paraID>
      <start>13</start>
      <end>14</end>
      <status>unmodified</status>
      <modifiedWord/>
      <trackRevisions>false</trackRevisions>
    </reviewItem>
    <reviewItem>
      <errorID>6063a8dc-206b-46a3-9048-753765c923d2</errorID>
      <errorWord>（</errorWord>
      <group>L1_Word</group>
      <groupName>字词问题</groupName>
      <ability>L2_Typo</ability>
      <abilityName>字词错误</abilityName>
      <candidateList>
        <item>（以</item>
      </candidateList>
      <explain/>
      <paraID>4EA60A22</paraID>
      <start>13</start>
      <end>14</end>
      <status>unmodified</status>
      <modifiedWord/>
      <trackRevisions>false</trackRevisions>
    </reviewItem>
    <reviewItem>
      <errorID>2e84351f-5db0-403f-9026-c0395750017e</errorID>
      <errorWord>)</errorWord>
      <group>L1_Format</group>
      <groupName>格式问题</groupName>
      <ability>L2_HalfPunc_CN</ability>
      <abilityName>全半角问题</abilityName>
      <candidateList>
        <item>）</item>
      </candidateList>
      <explain>文本全半角错误。</explain>
      <paraID>4A87A820</paraID>
      <start>28</start>
      <end>29</end>
      <status>unmodified</status>
      <modifiedWord/>
      <trackRevisions>false</trackRevisions>
    </reviewItem>
    <reviewItem>
      <errorID>14883713-9aba-42c4-81af-9e97a1e4e7ce</errorID>
      <errorWord> </errorWord>
      <group>L1_Word</group>
      <groupName>字词问题</groupName>
      <ability>L2_Typo</ability>
      <abilityName>字词错误</abilityName>
      <candidateList>
        <item>°</item>
      </candidateList>
      <explain/>
      <paraID>395BD772</paraID>
      <start>6</start>
      <end>7</end>
      <status>unmodified</status>
      <modifiedWord/>
      <trackRevisions>false</trackRevisions>
    </reviewItem>
    <reviewItem>
      <errorID>f6454770-b4d2-4d6e-ab40-34cc79a130dd</errorID>
      <errorWord> </errorWord>
      <group>L1_Word</group>
      <groupName>字词问题</groupName>
      <ability>L2_Typo</ability>
      <abilityName>字词错误</abilityName>
      <candidateList>
        <item>° </item>
      </candidateList>
      <explain/>
      <paraID>395BD772</paraID>
      <start>19</start>
      <end>20</end>
      <status>unmodified</status>
      <modifiedWord/>
      <trackRevisions>false</trackRevisions>
    </reviewItem>
    <reviewItem>
      <errorID>5f007d29-94ba-4085-a016-cd29a189c72d</errorID>
      <errorWord> </errorWord>
      <group>L1_Word</group>
      <groupName>字词问题</groupName>
      <ability>L2_Typo</ability>
      <abilityName>字词错误</abilityName>
      <candidateList>
        <item>°</item>
      </candidateList>
      <explain/>
      <paraID>395BD772</paraID>
      <start>23</start>
      <end>24</end>
      <status>unmodified</status>
      <modifiedWord/>
      <trackRevisions>false</trackRevisions>
    </reviewItem>
    <reviewItem>
      <errorID>51431191-0bd9-4cab-a4f1-4f5e6fad7247</errorID>
      <errorWord>,</errorWord>
      <group>L1_Format</group>
      <groupName>格式问题</groupName>
      <ability>L2_HalfPunc_CN</ability>
      <abilityName>全半角问题</abilityName>
      <candidateList>
        <item>，</item>
      </candidateList>
      <explain>文本全半角错误。</explain>
      <paraID>75073BCE</paraID>
      <start>8</start>
      <end>9</end>
      <status>unmodified</status>
      <modifiedWord/>
      <trackRevisions>false</trackRevisions>
    </reviewItem>
    <reviewItem>
      <errorID>5caaa293-a74e-4aae-a2da-2b2a4572822d</errorID>
      <errorWord>(</errorWord>
      <group>L1_Format</group>
      <groupName>格式问题</groupName>
      <ability>L2_HalfPunc_CN</ability>
      <abilityName>全半角问题</abilityName>
      <candidateList>
        <item>（</item>
      </candidateList>
      <explain>文本全半角错误。</explain>
      <paraID>75073BCE</paraID>
      <start>23</start>
      <end>24</end>
      <status>unmodified</status>
      <modifiedWord/>
      <trackRevisions>false</trackRevisions>
    </reviewItem>
    <reviewItem>
      <errorID>57289d80-0b87-4089-96fa-1d3086c4a8f1</errorID>
      <errorWord>)</errorWord>
      <group>L1_Format</group>
      <groupName>格式问题</groupName>
      <ability>L2_HalfPunc_CN</ability>
      <abilityName>全半角问题</abilityName>
      <candidateList>
        <item>）</item>
      </candidateList>
      <explain>文本全半角错误。</explain>
      <paraID>75073BCE</paraID>
      <start>26</start>
      <end>27</end>
      <status>unmodified</status>
      <modifiedWord/>
      <trackRevisions>false</trackRevisions>
    </reviewItem>
    <reviewItem>
      <errorID>491328d8-0b73-4459-ac15-dae24c6c5fa5</errorID>
      <errorWord>(</errorWord>
      <group>L1_Format</group>
      <groupName>格式问题</groupName>
      <ability>L2_HalfPunc_CN</ability>
      <abilityName>全半角问题</abilityName>
      <candidateList>
        <item>（</item>
      </candidateList>
      <explain>文本全半角错误。</explain>
      <paraID>75073BCE</paraID>
      <start>42</start>
      <end>43</end>
      <status>unmodified</status>
      <modifiedWord/>
      <trackRevisions>false</trackRevisions>
    </reviewItem>
    <reviewItem>
      <errorID>5d5873c8-9355-4f2f-92af-2528f6e767cc</errorID>
      <errorWord>)</errorWord>
      <group>L1_Format</group>
      <groupName>格式问题</groupName>
      <ability>L2_HalfPunc_CN</ability>
      <abilityName>全半角问题</abilityName>
      <candidateList>
        <item>）</item>
      </candidateList>
      <explain>文本全半角错误。</explain>
      <paraID>75073BCE</paraID>
      <start>45</start>
      <end>46</end>
      <status>unmodified</status>
      <modifiedWord/>
      <trackRevisions>false</trackRevisions>
    </reviewItem>
    <reviewItem>
      <errorID>e73ada73-9c1c-4cd9-83f9-509f53a1205d</errorID>
      <errorWord>符</errorWord>
      <group>L1_Word</group>
      <groupName>字词问题</groupName>
      <ability>L2_Typo</ability>
      <abilityName>字词错误</abilityName>
      <candidateList>
        <item>符合</item>
      </candidateList>
      <explain/>
      <paraID>1169F2AF</paraID>
      <start>28</start>
      <end>29</end>
      <status>unmodified</status>
      <modifiedWord/>
      <trackRevisions>false</trackRevisions>
    </reviewItem>
    <reviewItem>
      <errorID>734a86e2-3ee1-4edf-bcf4-d6dbb3b1433e</errorID>
      <errorWord>2、AI</errorWord>
      <group>L1_Format</group>
      <groupName>格式问题</groupName>
      <ability>L2_Ordinal</ability>
      <abilityName>序号格式</abilityName>
      <candidateList>
        <item>（二）AI</item>
      </candidateList>
      <explain>标题顺序错误，请检查标题顺序是否合理。</explain>
      <paraID>1646265D</paraID>
      <start>0</start>
      <end>4</end>
      <status>unmodified</status>
      <modifiedWord/>
      <trackRevisions>false</trackRevisions>
    </reviewItem>
    <reviewItem>
      <errorID>e135c55d-2144-475d-9115-8a960ea91171</errorID>
      <errorWord>3、</errorWord>
      <group>L1_Format</group>
      <groupName>格式问题</groupName>
      <ability>L2_Ordinal</ability>
      <abilityName>序号格式</abilityName>
      <candidateList>
        <item>（三）</item>
      </candidateList>
      <explain>标题顺序错误，请检查标题顺序是否合理。</explain>
      <paraID>12476706</paraID>
      <start>0</start>
      <end>2</end>
      <status>unmodified</status>
      <modifiedWord/>
      <trackRevisions>false</trackRevisions>
    </reviewItem>
    <reviewItem>
      <errorID>6fafde80-67a8-473d-b231-bf670fe130fb</errorID>
      <errorWord>通过系统</errorWord>
      <group>L1_Word</group>
      <groupName>字词问题</groupName>
      <ability>L2_Typo</ability>
      <abilityName>字词错误</abilityName>
      <candidateList>
        <item>系统通过</item>
      </candidateList>
      <explain/>
      <paraID>5AE48DE4</paraID>
      <start>6</start>
      <end>10</end>
      <status>unmodified</status>
      <modifiedWord/>
      <trackRevisions>false</trackRevisions>
    </reviewItem>
    <reviewItem>
      <errorID>6c066784-44ac-44cd-8b02-9cf07a2c114d</errorID>
      <errorWord>;</errorWord>
      <group>L1_Format</group>
      <groupName>格式问题</groupName>
      <ability>L2_HalfPunc_CN</ability>
      <abilityName>全半角问题</abilityName>
      <candidateList>
        <item>；</item>
      </candidateList>
      <explain>文本全半角错误。</explain>
      <paraID>2C663227</paraID>
      <start>53</start>
      <end>54</end>
      <status>unmodified</status>
      <modifiedWord/>
      <trackRevisions>false</trackRevisions>
    </reviewItem>
    <reviewItem>
      <errorID>855523da-b3c7-4d75-a018-18ea04790d89</errorID>
      <errorWord>:</errorWord>
      <group>L1_Format</group>
      <groupName>格式问题</groupName>
      <ability>L2_HalfPunc_CN</ability>
      <abilityName>全半角问题</abilityName>
      <candidateList>
        <item>：</item>
      </candidateList>
      <explain>文本全半角错误。</explain>
      <paraID>7A6DC748</paraID>
      <start>8</start>
      <end>9</end>
      <status>unmodified</status>
      <modifiedWord/>
      <trackRevisions>false</trackRevisions>
    </reviewItem>
    <reviewItem>
      <errorID>d411db9e-2dee-4d28-be15-ebd71977dcc1</errorID>
      <errorWord>:</errorWord>
      <group>L1_Format</group>
      <groupName>格式问题</groupName>
      <ability>L2_HalfPunc_CN</ability>
      <abilityName>全半角问题</abilityName>
      <candidateList>
        <item>：</item>
      </candidateList>
      <explain>文本全半角错误。</explain>
      <paraID>5C655B95</paraID>
      <start>8</start>
      <end>9</end>
      <status>unmodified</status>
      <modifiedWord/>
      <trackRevisions>false</trackRevisions>
    </reviewItem>
    <reviewItem>
      <errorID>0414af72-8969-49cf-9e54-ec1a7ce8d74f</errorID>
      <errorWord>:</errorWord>
      <group>L1_Format</group>
      <groupName>格式问题</groupName>
      <ability>L2_HalfPunc_CN</ability>
      <abilityName>全半角问题</abilityName>
      <candidateList>
        <item>：</item>
      </candidateList>
      <explain>文本全半角错误。</explain>
      <paraID>38051C20</paraID>
      <start>7</start>
      <end>8</end>
      <status>unmodified</status>
      <modifiedWord/>
      <trackRevisions>false</trackRevisions>
    </reviewItem>
    <reviewItem>
      <errorID>f9d63059-3830-42f9-b574-55ebe6797d8c</errorID>
      <errorWord>:</errorWord>
      <group>L1_Punc</group>
      <groupName>标点问题</groupName>
      <ability>L2_Punc_CN</ability>
      <abilityName>标点符号问题</abilityName>
      <candidateList>
        <item>：</item>
      </candidateList>
      <explain/>
      <paraID>729D10A5</paraID>
      <start>5</start>
      <end>6</end>
      <status>unmodified</status>
      <modifiedWord/>
      <trackRevisions>false</trackRevisions>
    </reviewItem>
    <reviewItem>
      <errorID>5120a8d5-3f3b-4922-8e5d-9e38f13100d8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433CC241</paraID>
      <start>0</start>
      <end>2</end>
      <status>unmodified</status>
      <modifiedWord/>
      <trackRevisions>false</trackRevisions>
    </reviewItem>
    <reviewItem>
      <errorID>487db505-6edf-45e4-b33a-6e956c65620c</errorID>
      <errorWord>期</errorWord>
      <group>L1_Word</group>
      <groupName>字词问题</groupName>
      <ability>L2_Typo</ability>
      <abilityName>字词错误</abilityName>
      <candidateList>
        <item>期限</item>
      </candidateList>
      <explain/>
      <paraID>2DD434C6</paraID>
      <start>43</start>
      <end>44</end>
      <status>unmodified</status>
      <modifiedWord/>
      <trackRevisions>false</trackRevisions>
    </reviewItem>
    <reviewItem>
      <errorID>b8c5af0b-5b69-4115-b291-dbe33823d9da</errorID>
      <errorWord>一年</errorWord>
      <group>L1_Punc</group>
      <groupName>标点问题</groupName>
      <ability>L2_Punc_CN</ability>
      <abilityName>标点符号问题</abilityName>
      <candidateList>
        <item>一年。</item>
      </candidateList>
      <explain/>
      <paraID>2DD434C6</paraID>
      <start>54</start>
      <end>56</end>
      <status>unmodified</status>
      <modifiedWord/>
      <trackRevisions>false</trackRevisions>
    </reviewItem>
    <reviewItem>
      <errorID>2fc5bd6e-6d95-4b6e-aa10-bbd2113aa5db</errorID>
      <errorWord>:</errorWord>
      <group>L1_Format</group>
      <groupName>格式问题</groupName>
      <ability>L2_HalfPunc_CN</ability>
      <abilityName>全半角问题</abilityName>
      <candidateList>
        <item>：</item>
      </candidateList>
      <explain>文本全半角错误。</explain>
      <paraID>47CF566B</paraID>
      <start>40</start>
      <end>41</end>
      <status>unmodified</status>
      <modifiedWord/>
      <trackRevisions>false</trackRevisions>
    </reviewItem>
    <reviewItem>
      <errorID>67791702-043c-478a-9096-95bce0f03537</errorID>
      <errorWord>:</errorWord>
      <group>L1_Format</group>
      <groupName>格式问题</groupName>
      <ability>L2_HalfPunc_CN</ability>
      <abilityName>全半角问题</abilityName>
      <candidateList>
        <item>：</item>
      </candidateList>
      <explain>文本全半角错误。</explain>
      <paraID>4E08861D</paraID>
      <start>21</start>
      <end>22</end>
      <status>unmodified</status>
      <modifiedWord/>
      <trackRevisions>false</trackRevisions>
    </reviewItem>
    <reviewItem>
      <errorID>6dfca96b-4199-45f3-a2de-3a305b28356e</errorID>
      <errorWord>(</errorWord>
      <group>L1_Format</group>
      <groupName>格式问题</groupName>
      <ability>L2_HalfPunc_CN</ability>
      <abilityName>全半角问题</abilityName>
      <candidateList>
        <item>（</item>
      </candidateList>
      <explain>文本全半角错误。</explain>
      <paraID>4E08861D</paraID>
      <start>39</start>
      <end>40</end>
      <status>unmodified</status>
      <modifiedWord/>
      <trackRevisions>false</trackRevisions>
    </reviewItem>
    <reviewItem>
      <errorID>efe291a9-2704-4064-9abf-0b2ad31316f3</errorID>
      <errorWord>)</errorWord>
      <group>L1_Format</group>
      <groupName>格式问题</groupName>
      <ability>L2_HalfPunc_CN</ability>
      <abilityName>全半角问题</abilityName>
      <candidateList>
        <item>）</item>
      </candidateList>
      <explain>文本全半角错误。</explain>
      <paraID>4E08861D</paraID>
      <start>41</start>
      <end>42</end>
      <status>unmodified</status>
      <modifiedWord/>
      <trackRevisions>false</trackRevisions>
    </reviewItem>
    <reviewItem>
      <errorID>9beb1f42-8208-4b64-8e57-27010d090fad</errorID>
      <errorWord>(</errorWord>
      <group>L1_Format</group>
      <groupName>格式问题</groupName>
      <ability>L2_HalfPunc_CN</ability>
      <abilityName>全半角问题</abilityName>
      <candidateList>
        <item>（</item>
      </candidateList>
      <explain>文本全半角错误。</explain>
      <paraID>4E08861D</paraID>
      <start>97</start>
      <end>98</end>
      <status>unmodified</status>
      <modifiedWord/>
      <trackRevisions>false</trackRevisions>
    </reviewItem>
    <reviewItem>
      <errorID>90662e94-6cfc-4f0f-baff-b651ae631125</errorID>
      <errorWord>)</errorWord>
      <group>L1_Format</group>
      <groupName>格式问题</groupName>
      <ability>L2_HalfPunc_CN</ability>
      <abilityName>全半角问题</abilityName>
      <candidateList>
        <item>）</item>
      </candidateList>
      <explain>文本全半角错误。</explain>
      <paraID>4E08861D</paraID>
      <start>99</start>
      <end>100</end>
      <status>unmodified</status>
      <modifiedWord/>
      <trackRevisions>false</trackRevisions>
    </reviewItem>
    <reviewItem>
      <errorID>e4229007-4d24-42f5-af6c-b49b8aaa065c</errorID>
      <errorWord>:</errorWord>
      <group>L1_Format</group>
      <groupName>格式问题</groupName>
      <ability>L2_HalfPunc_CN</ability>
      <abilityName>全半角问题</abilityName>
      <candidateList>
        <item>：</item>
      </candidateList>
      <explain>文本全半角错误。</explain>
      <paraID>1CDF914B</paraID>
      <start>19</start>
      <end>20</end>
      <status>unmodified</status>
      <modifiedWord/>
      <trackRevisions>false</trackRevisions>
    </reviewItem>
    <reviewItem>
      <errorID>694820dd-734c-44fd-a51f-361a0dd4c951</errorID>
      <errorWord>:</errorWord>
      <group>L1_Format</group>
      <groupName>格式问题</groupName>
      <ability>L2_HalfPunc_CN</ability>
      <abilityName>全半角问题</abilityName>
      <candidateList>
        <item>：</item>
      </candidateList>
      <explain>文本全半角错误。</explain>
      <paraID>5386A37F</paraID>
      <start>27</start>
      <end>28</end>
      <status>unmodified</status>
      <modifiedWord/>
      <trackRevisions>false</trackRevisions>
    </reviewItem>
    <reviewItem>
      <errorID>99e1418b-c435-4a88-89e9-d98b0080ae9d</errorID>
      <errorWord>:</errorWord>
      <group>L1_Format</group>
      <groupName>格式问题</groupName>
      <ability>L2_HalfPunc_CN</ability>
      <abilityName>全半角问题</abilityName>
      <candidateList>
        <item>：</item>
      </candidateList>
      <explain>文本全半角错误。</explain>
      <paraID>28A46886</paraID>
      <start>9</start>
      <end>10</end>
      <status>unmodified</status>
      <modifiedWord/>
      <trackRevisions>false</trackRevisions>
    </reviewItem>
    <reviewItem>
      <errorID>14a1104a-c4d6-4af5-9dbb-24727c139de0</errorID>
      <errorWord>名单</errorWord>
      <group>L1_Punc</group>
      <groupName>标点问题</groupName>
      <ability>L2_Punc_CN</ability>
      <abilityName>标点符号问题</abilityName>
      <candidateList>
        <item>名单。</item>
      </candidateList>
      <explain/>
      <paraID> D20C2CE</paraID>
      <start>56</start>
      <end>58</end>
      <status>unmodified</status>
      <modifiedWord/>
      <trackRevisions>false</trackRevisions>
    </reviewItem>
    <reviewItem>
      <errorID>cccc807d-172e-4403-a560-8427e5415552</errorID>
      <errorWord>“</errorWord>
      <group>L1_Grammar</group>
      <groupName>语法问题</groupName>
      <ability>L2_Grammar</ability>
      <abilityName>语法错误</abilityName>
      <candidateList>
        <item>网站“</item>
      </candidateList>
      <explain/>
      <paraID>4D8FCBBD</paraID>
      <start>13</start>
      <end>14</end>
      <status>unmodified</status>
      <modifiedWord/>
      <trackRevisions>false</trackRevisions>
    </reviewItem>
    <reviewItem>
      <errorID>2fc35b8e-61e5-4e15-a519-17610817be56</errorID>
      <errorWord>：</errorWord>
      <group>L1_Format</group>
      <groupName>格式问题</groupName>
      <ability>L2_HalfPunc_CN</ability>
      <abilityName>全半角问题</abilityName>
      <candidateList>
        <item>:</item>
      </candidateList>
      <explain>文本全半角错误。</explain>
      <paraID>5CECE3A8</paraID>
      <start>38</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a32200-2a11-439e-bec0-0b1a135fe07d}">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5397</Words>
  <Characters>5818</Characters>
  <Lines>347</Lines>
  <Paragraphs>323</Paragraphs>
  <TotalTime>7</TotalTime>
  <ScaleCrop>false</ScaleCrop>
  <LinksUpToDate>false</LinksUpToDate>
  <CharactersWithSpaces>5856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2026-03-26T03:36:00Z</dcterms:created>
  <dc:creator>Apache POI</dc:creator>
  <cp:lastModifiedBy>RM</cp:lastModifiedBy>
  <cp:lastPrinted>2026-07-24T01:08:00Z</cp:lastPrinted>
  <dcterms:modified xsi:type="dcterms:W3CDTF">2026-07-24T03:01:44Z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63A85453CC284CE79B31B4CBB018DC2D_13</vt:lpwstr>
  </property>
  <property fmtid="{D5CDD505-2E9C-101B-9397-08002B2CF9AE}" pid="4" name="KSOTemplateDocerSaveRecord">
    <vt:lpwstr>eyJoZGlkIjoiMjM0MGU0ZmI2NTdkMDMyYmE3NWY1OWFmOGJmMWIyY2QiLCJ1c2VySWQiOiIzNTQzMjA5MTEifQ==</vt:lpwstr>
  </property>
</Properties>
</file>