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96981C">
      <w:pPr>
        <w:widowControl w:val="0"/>
        <w:jc w:val="both"/>
        <w:rPr>
          <w:rFonts w:hint="default" w:ascii="Times New Roman" w:hAnsi="Times New Roman" w:eastAsia="方正黑体_GBK" w:cs="Times New Roman"/>
          <w:i w:val="0"/>
          <w:iCs w:val="0"/>
          <w:caps w:val="0"/>
          <w:color w:val="auto"/>
          <w:spacing w:val="0"/>
          <w:kern w:val="2"/>
          <w:sz w:val="30"/>
          <w:szCs w:val="30"/>
          <w:shd w:val="clear" w:color="auto" w:fill="FFFFFF"/>
          <w:lang w:eastAsia="zh-CN"/>
        </w:rPr>
      </w:pPr>
      <w:r>
        <w:rPr>
          <w:rFonts w:hint="eastAsia" w:ascii="Times New Roman" w:hAnsi="Times New Roman" w:eastAsia="方正黑体_GBK" w:cs="Times New Roman"/>
          <w:i w:val="0"/>
          <w:iCs w:val="0"/>
          <w:caps w:val="0"/>
          <w:color w:val="auto"/>
          <w:spacing w:val="0"/>
          <w:kern w:val="2"/>
          <w:sz w:val="30"/>
          <w:szCs w:val="30"/>
          <w:shd w:val="clear" w:color="auto" w:fill="FFFFFF"/>
          <w:lang w:eastAsia="zh-CN"/>
        </w:rPr>
        <w:t xml:space="preserve">附件2                </w:t>
      </w:r>
      <w:r>
        <w:rPr>
          <w:rFonts w:hint="eastAsia" w:eastAsia="方正黑体_GBK" w:cs="Times New Roman"/>
          <w:i w:val="0"/>
          <w:iCs w:val="0"/>
          <w:caps w:val="0"/>
          <w:color w:val="auto"/>
          <w:spacing w:val="0"/>
          <w:kern w:val="2"/>
          <w:sz w:val="30"/>
          <w:szCs w:val="30"/>
          <w:shd w:val="clear" w:color="auto" w:fill="FFFFFF"/>
          <w:lang w:val="en-US" w:eastAsia="zh-CN"/>
        </w:rPr>
        <w:t xml:space="preserve">    </w:t>
      </w:r>
      <w:r>
        <w:rPr>
          <w:rFonts w:hint="eastAsia" w:ascii="Times New Roman" w:hAnsi="Times New Roman" w:eastAsia="方正黑体_GBK" w:cs="Times New Roman"/>
          <w:i w:val="0"/>
          <w:iCs w:val="0"/>
          <w:caps w:val="0"/>
          <w:color w:val="auto"/>
          <w:spacing w:val="0"/>
          <w:kern w:val="2"/>
          <w:sz w:val="30"/>
          <w:szCs w:val="30"/>
          <w:shd w:val="clear" w:color="auto" w:fill="FFFFFF"/>
          <w:lang w:eastAsia="zh-CN"/>
        </w:rPr>
        <w:t>评分</w:t>
      </w:r>
      <w:r>
        <w:rPr>
          <w:rFonts w:hint="eastAsia" w:eastAsia="方正黑体_GBK" w:cs="Times New Roman"/>
          <w:i w:val="0"/>
          <w:iCs w:val="0"/>
          <w:caps w:val="0"/>
          <w:color w:val="auto"/>
          <w:spacing w:val="0"/>
          <w:kern w:val="2"/>
          <w:sz w:val="30"/>
          <w:szCs w:val="30"/>
          <w:shd w:val="clear" w:color="auto" w:fill="FFFFFF"/>
          <w:lang w:val="en-US" w:eastAsia="zh-CN"/>
        </w:rPr>
        <w:t>表</w:t>
      </w:r>
    </w:p>
    <w:p w14:paraId="0878D163">
      <w:pPr>
        <w:pStyle w:val="2"/>
        <w:rPr>
          <w:b/>
          <w:bCs/>
        </w:rPr>
      </w:pPr>
    </w:p>
    <w:tbl>
      <w:tblPr>
        <w:tblStyle w:val="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20" w:type="dxa"/>
          <w:left w:w="108" w:type="dxa"/>
          <w:bottom w:w="20" w:type="dxa"/>
          <w:right w:w="108" w:type="dxa"/>
        </w:tblCellMar>
      </w:tblPr>
      <w:tblGrid>
        <w:gridCol w:w="1855"/>
        <w:gridCol w:w="1675"/>
        <w:gridCol w:w="4992"/>
      </w:tblGrid>
      <w:tr w14:paraId="2DBEE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0" w:type="dxa"/>
            <w:left w:w="108" w:type="dxa"/>
            <w:bottom w:w="20" w:type="dxa"/>
            <w:right w:w="108" w:type="dxa"/>
          </w:tblCellMar>
        </w:tblPrEx>
        <w:trPr>
          <w:trHeight w:val="0" w:hRule="atLeast"/>
          <w:tblHeader/>
          <w:jc w:val="center"/>
        </w:trPr>
        <w:tc>
          <w:tcPr>
            <w:tcW w:w="1855" w:type="dxa"/>
            <w:shd w:val="clear" w:color="auto" w:fill="auto"/>
            <w:vAlign w:val="center"/>
          </w:tcPr>
          <w:p w14:paraId="41E2F156">
            <w:pPr>
              <w:snapToGrid w:val="0"/>
              <w:spacing w:line="240" w:lineRule="auto"/>
              <w:ind w:left="0" w:leftChars="0" w:right="0" w:rightChars="0" w:firstLine="0" w:firstLineChars="0"/>
              <w:jc w:val="center"/>
              <w:rPr>
                <w:rFonts w:hint="eastAsia" w:ascii="方正仿宋_GBK" w:hAnsi="方正仿宋_GBK" w:eastAsia="方正仿宋_GBK" w:cs="方正仿宋_GBK"/>
                <w:b/>
                <w:bCs/>
                <w:color w:val="auto"/>
              </w:rPr>
            </w:pPr>
            <w:r>
              <w:rPr>
                <w:rFonts w:hint="eastAsia" w:ascii="Times New Roman" w:hAnsi="Times New Roman" w:eastAsia="仿宋_GB2312" w:cs="Times New Roman"/>
                <w:b/>
                <w:bCs/>
                <w:color w:val="000000"/>
                <w:kern w:val="0"/>
                <w:sz w:val="24"/>
                <w:lang w:val="en-US" w:eastAsia="zh-CN" w:bidi="ar"/>
              </w:rPr>
              <w:t>名称</w:t>
            </w:r>
          </w:p>
        </w:tc>
        <w:tc>
          <w:tcPr>
            <w:tcW w:w="1675" w:type="dxa"/>
            <w:shd w:val="clear" w:color="auto" w:fill="auto"/>
            <w:vAlign w:val="center"/>
          </w:tcPr>
          <w:p w14:paraId="75EACDA7">
            <w:pPr>
              <w:snapToGrid w:val="0"/>
              <w:spacing w:line="240" w:lineRule="auto"/>
              <w:ind w:left="0" w:leftChars="0" w:right="0" w:rightChars="0" w:firstLine="0" w:firstLineChars="0"/>
              <w:jc w:val="center"/>
              <w:rPr>
                <w:rFonts w:hint="eastAsia" w:ascii="方正仿宋_GBK" w:hAnsi="方正仿宋_GBK" w:eastAsia="方正仿宋_GBK" w:cs="方正仿宋_GBK"/>
                <w:b/>
                <w:bCs/>
                <w:color w:val="auto"/>
              </w:rPr>
            </w:pPr>
            <w:r>
              <w:rPr>
                <w:rFonts w:hint="eastAsia" w:ascii="Times New Roman" w:hAnsi="Times New Roman" w:eastAsia="仿宋_GB2312" w:cs="Times New Roman"/>
                <w:b/>
                <w:bCs/>
                <w:color w:val="000000"/>
                <w:kern w:val="0"/>
                <w:sz w:val="24"/>
                <w:lang w:val="en-US" w:eastAsia="zh-CN" w:bidi="ar"/>
              </w:rPr>
              <w:t>评审因素</w:t>
            </w:r>
          </w:p>
        </w:tc>
        <w:tc>
          <w:tcPr>
            <w:tcW w:w="4992" w:type="dxa"/>
            <w:shd w:val="clear" w:color="auto" w:fill="auto"/>
            <w:vAlign w:val="center"/>
          </w:tcPr>
          <w:p w14:paraId="26208401">
            <w:pPr>
              <w:snapToGrid w:val="0"/>
              <w:spacing w:line="240" w:lineRule="auto"/>
              <w:ind w:left="0" w:leftChars="0" w:right="0" w:rightChars="0" w:firstLine="0" w:firstLineChars="0"/>
              <w:jc w:val="center"/>
              <w:rPr>
                <w:rFonts w:hint="default" w:ascii="方正仿宋_GBK" w:hAnsi="方正仿宋_GBK" w:eastAsia="方正仿宋_GBK" w:cs="方正仿宋_GBK"/>
                <w:b/>
                <w:bCs/>
                <w:color w:val="auto"/>
                <w:lang w:val="en-US" w:eastAsia="zh-CN"/>
              </w:rPr>
            </w:pPr>
            <w:r>
              <w:rPr>
                <w:rFonts w:hint="eastAsia" w:ascii="Times New Roman" w:hAnsi="Times New Roman" w:eastAsia="仿宋_GB2312" w:cs="Times New Roman"/>
                <w:b/>
                <w:bCs/>
                <w:color w:val="000000"/>
                <w:kern w:val="0"/>
                <w:sz w:val="24"/>
                <w:lang w:val="en-US" w:eastAsia="zh-CN" w:bidi="ar"/>
              </w:rPr>
              <w:t>评分细则</w:t>
            </w:r>
          </w:p>
        </w:tc>
      </w:tr>
      <w:tr w14:paraId="3B233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0" w:type="dxa"/>
            <w:left w:w="108" w:type="dxa"/>
            <w:bottom w:w="20" w:type="dxa"/>
            <w:right w:w="108" w:type="dxa"/>
          </w:tblCellMar>
        </w:tblPrEx>
        <w:trPr>
          <w:trHeight w:val="90" w:hRule="atLeast"/>
          <w:jc w:val="center"/>
        </w:trPr>
        <w:tc>
          <w:tcPr>
            <w:tcW w:w="1855" w:type="dxa"/>
            <w:shd w:val="clear" w:color="auto" w:fill="auto"/>
            <w:vAlign w:val="center"/>
          </w:tcPr>
          <w:p w14:paraId="0E495F06">
            <w:pPr>
              <w:snapToGrid w:val="0"/>
              <w:spacing w:line="240" w:lineRule="auto"/>
              <w:ind w:left="0" w:leftChars="0" w:right="0" w:rightChars="0" w:firstLine="0" w:firstLineChars="0"/>
              <w:jc w:val="center"/>
              <w:rPr>
                <w:rFonts w:hint="eastAsia" w:ascii="方正仿宋_GBK" w:hAnsi="方正仿宋_GBK" w:eastAsia="方正仿宋_GBK" w:cs="方正仿宋_GBK"/>
                <w:b w:val="0"/>
                <w:bCs w:val="0"/>
                <w:color w:val="auto"/>
                <w:sz w:val="24"/>
                <w:lang w:val="en-US" w:eastAsia="zh-CN"/>
              </w:rPr>
            </w:pPr>
            <w:r>
              <w:rPr>
                <w:rFonts w:hint="eastAsia" w:ascii="方正仿宋_GBK" w:hAnsi="方正仿宋_GBK" w:eastAsia="方正仿宋_GBK" w:cs="方正仿宋_GBK"/>
                <w:b w:val="0"/>
                <w:bCs w:val="0"/>
                <w:color w:val="auto"/>
                <w:sz w:val="24"/>
              </w:rPr>
              <w:t>价格</w:t>
            </w:r>
            <w:r>
              <w:rPr>
                <w:rFonts w:hint="eastAsia" w:ascii="方正仿宋_GBK" w:hAnsi="方正仿宋_GBK" w:eastAsia="方正仿宋_GBK" w:cs="方正仿宋_GBK"/>
                <w:b w:val="0"/>
                <w:bCs w:val="0"/>
                <w:color w:val="auto"/>
                <w:sz w:val="24"/>
                <w:lang w:val="en-US" w:eastAsia="zh-CN"/>
              </w:rPr>
              <w:t>部分</w:t>
            </w:r>
          </w:p>
          <w:p w14:paraId="6CE619F1">
            <w:pPr>
              <w:snapToGrid w:val="0"/>
              <w:spacing w:line="240" w:lineRule="auto"/>
              <w:ind w:left="0" w:leftChars="0" w:right="0" w:rightChars="0" w:firstLine="0" w:firstLineChars="0"/>
              <w:jc w:val="center"/>
              <w:rPr>
                <w:rFonts w:hint="eastAsia" w:ascii="方正仿宋_GBK" w:hAnsi="方正仿宋_GBK" w:eastAsia="方正仿宋_GBK" w:cs="方正仿宋_GBK"/>
                <w:b w:val="0"/>
                <w:bCs w:val="0"/>
                <w:color w:val="auto"/>
                <w:sz w:val="24"/>
                <w:lang w:val="en-US" w:eastAsia="zh-CN"/>
              </w:rPr>
            </w:pPr>
            <w:r>
              <w:rPr>
                <w:rFonts w:hint="eastAsia" w:ascii="方正仿宋_GBK" w:hAnsi="方正仿宋_GBK" w:eastAsia="方正仿宋_GBK" w:cs="方正仿宋_GBK"/>
                <w:b w:val="0"/>
                <w:bCs w:val="0"/>
                <w:color w:val="auto"/>
                <w:sz w:val="24"/>
                <w:lang w:val="en-US" w:eastAsia="zh-CN"/>
              </w:rPr>
              <w:t>（合计10分）</w:t>
            </w:r>
          </w:p>
        </w:tc>
        <w:tc>
          <w:tcPr>
            <w:tcW w:w="1675" w:type="dxa"/>
            <w:shd w:val="clear" w:color="auto" w:fill="auto"/>
            <w:vAlign w:val="center"/>
          </w:tcPr>
          <w:p w14:paraId="7D18E215">
            <w:pPr>
              <w:snapToGrid w:val="0"/>
              <w:spacing w:line="240" w:lineRule="auto"/>
              <w:ind w:left="0" w:leftChars="0" w:right="0" w:rightChars="0" w:firstLine="0" w:firstLineChars="0"/>
              <w:jc w:val="center"/>
              <w:rPr>
                <w:rFonts w:hint="eastAsia" w:ascii="方正仿宋_GBK" w:hAnsi="方正仿宋_GBK" w:eastAsia="方正仿宋_GBK" w:cs="方正仿宋_GBK"/>
                <w:b w:val="0"/>
                <w:bCs w:val="0"/>
                <w:color w:val="auto"/>
                <w:sz w:val="24"/>
                <w:lang w:eastAsia="zh-CN"/>
              </w:rPr>
            </w:pPr>
            <w:r>
              <w:rPr>
                <w:rFonts w:hint="eastAsia" w:ascii="Times New Roman" w:hAnsi="Times New Roman" w:eastAsia="仿宋_GB2312" w:cs="Times New Roman"/>
                <w:color w:val="000000"/>
                <w:kern w:val="0"/>
                <w:sz w:val="24"/>
                <w:lang w:val="en-US" w:eastAsia="zh-CN" w:bidi="ar"/>
              </w:rPr>
              <w:t>投标报价</w:t>
            </w:r>
            <w:r>
              <w:rPr>
                <w:rFonts w:hint="eastAsia" w:ascii="方正仿宋_GBK" w:hAnsi="方正仿宋_GBK" w:eastAsia="方正仿宋_GBK" w:cs="方正仿宋_GBK"/>
                <w:b w:val="0"/>
                <w:bCs w:val="0"/>
                <w:color w:val="auto"/>
                <w:sz w:val="24"/>
                <w:lang w:eastAsia="zh-CN"/>
              </w:rPr>
              <w:t>（</w:t>
            </w:r>
            <w:r>
              <w:rPr>
                <w:rFonts w:hint="eastAsia" w:ascii="方正仿宋_GBK" w:hAnsi="方正仿宋_GBK" w:eastAsia="方正仿宋_GBK" w:cs="方正仿宋_GBK"/>
                <w:b w:val="0"/>
                <w:bCs w:val="0"/>
                <w:color w:val="auto"/>
                <w:sz w:val="24"/>
                <w:lang w:val="en-US" w:eastAsia="zh-CN"/>
              </w:rPr>
              <w:t>10.0分</w:t>
            </w:r>
            <w:r>
              <w:rPr>
                <w:rFonts w:hint="eastAsia" w:ascii="方正仿宋_GBK" w:hAnsi="方正仿宋_GBK" w:eastAsia="方正仿宋_GBK" w:cs="方正仿宋_GBK"/>
                <w:b w:val="0"/>
                <w:bCs w:val="0"/>
                <w:color w:val="auto"/>
                <w:sz w:val="24"/>
                <w:lang w:eastAsia="zh-CN"/>
              </w:rPr>
              <w:t>）</w:t>
            </w:r>
          </w:p>
        </w:tc>
        <w:tc>
          <w:tcPr>
            <w:tcW w:w="4992" w:type="dxa"/>
            <w:shd w:val="clear" w:color="auto" w:fill="auto"/>
            <w:vAlign w:val="center"/>
          </w:tcPr>
          <w:p w14:paraId="672C4E6C">
            <w:pPr>
              <w:snapToGrid w:val="0"/>
              <w:spacing w:line="240" w:lineRule="auto"/>
              <w:ind w:left="0" w:leftChars="0" w:right="0" w:rightChars="0" w:firstLine="0" w:firstLineChars="0"/>
              <w:jc w:val="both"/>
              <w:rPr>
                <w:rFonts w:hint="eastAsia" w:ascii="方正仿宋_GBK" w:hAnsi="方正仿宋_GBK" w:eastAsia="方正仿宋_GBK" w:cs="方正仿宋_GBK"/>
                <w:b w:val="0"/>
                <w:bCs w:val="0"/>
                <w:color w:val="auto"/>
                <w:sz w:val="24"/>
                <w:lang w:val="en-US" w:eastAsia="zh-CN"/>
              </w:rPr>
            </w:pPr>
            <w:r>
              <w:rPr>
                <w:rFonts w:hint="default" w:ascii="Times New Roman" w:hAnsi="Times New Roman" w:eastAsia="仿宋_GB2312" w:cs="Times New Roman"/>
                <w:color w:val="000000"/>
                <w:kern w:val="0"/>
                <w:sz w:val="24"/>
                <w:lang w:val="en-US" w:eastAsia="zh-CN" w:bidi="ar"/>
              </w:rPr>
              <w:t>取满足采购文件要求且价格扣除后的最低投标报价作为评标基准价，其价格分为满分。其他供应商的价格分统一按照下列公式计算：价格扣除后的投标报价得分=（评标基准价/价格扣除后的投标报价）×1</w:t>
            </w:r>
            <w:r>
              <w:rPr>
                <w:rFonts w:hint="eastAsia" w:eastAsia="仿宋_GB2312" w:cs="Times New Roman"/>
                <w:color w:val="000000"/>
                <w:kern w:val="0"/>
                <w:sz w:val="24"/>
                <w:lang w:val="en-US" w:eastAsia="zh-CN" w:bidi="ar"/>
              </w:rPr>
              <w:t>0</w:t>
            </w:r>
            <w:r>
              <w:rPr>
                <w:rFonts w:hint="default" w:ascii="Times New Roman" w:hAnsi="Times New Roman" w:eastAsia="仿宋_GB2312" w:cs="Times New Roman"/>
                <w:color w:val="000000"/>
                <w:kern w:val="0"/>
                <w:sz w:val="24"/>
                <w:lang w:val="en-US" w:eastAsia="zh-CN" w:bidi="ar"/>
              </w:rPr>
              <w:t>（对符合规定的小型和微型企业（监狱企业、残疾人福利单位视同小型、微型企业）报价给予10%的价格扣除）</w:t>
            </w:r>
          </w:p>
        </w:tc>
      </w:tr>
      <w:tr w14:paraId="2462E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0" w:type="dxa"/>
            <w:left w:w="108" w:type="dxa"/>
            <w:bottom w:w="20" w:type="dxa"/>
            <w:right w:w="108" w:type="dxa"/>
          </w:tblCellMar>
        </w:tblPrEx>
        <w:trPr>
          <w:trHeight w:val="0" w:hRule="atLeast"/>
          <w:jc w:val="center"/>
        </w:trPr>
        <w:tc>
          <w:tcPr>
            <w:tcW w:w="1855" w:type="dxa"/>
            <w:vMerge w:val="restart"/>
            <w:shd w:val="clear" w:color="auto" w:fill="auto"/>
            <w:vAlign w:val="center"/>
          </w:tcPr>
          <w:p w14:paraId="69906928">
            <w:pPr>
              <w:snapToGrid w:val="0"/>
              <w:spacing w:line="240" w:lineRule="auto"/>
              <w:ind w:left="0" w:leftChars="0" w:right="0" w:rightChars="0" w:firstLine="0" w:firstLineChars="0"/>
              <w:jc w:val="center"/>
              <w:rPr>
                <w:rFonts w:hint="eastAsia" w:ascii="方正仿宋_GBK" w:hAnsi="方正仿宋_GBK" w:eastAsia="方正仿宋_GBK" w:cs="方正仿宋_GBK"/>
                <w:b w:val="0"/>
                <w:bCs w:val="0"/>
                <w:color w:val="auto"/>
                <w:sz w:val="24"/>
                <w:highlight w:val="none"/>
              </w:rPr>
            </w:pPr>
            <w:r>
              <w:rPr>
                <w:rFonts w:hint="eastAsia" w:ascii="方正仿宋_GBK" w:hAnsi="方正仿宋_GBK" w:eastAsia="方正仿宋_GBK" w:cs="方正仿宋_GBK"/>
                <w:b w:val="0"/>
                <w:bCs w:val="0"/>
                <w:color w:val="auto"/>
                <w:sz w:val="24"/>
                <w:highlight w:val="none"/>
              </w:rPr>
              <w:t>技术部分</w:t>
            </w:r>
          </w:p>
          <w:p w14:paraId="5FA4D501">
            <w:pPr>
              <w:snapToGrid w:val="0"/>
              <w:spacing w:line="240" w:lineRule="auto"/>
              <w:ind w:left="0" w:leftChars="0" w:right="0" w:rightChars="0" w:firstLine="0" w:firstLineChars="0"/>
              <w:jc w:val="center"/>
              <w:rPr>
                <w:rFonts w:hint="default"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（合计30分）</w:t>
            </w:r>
          </w:p>
        </w:tc>
        <w:tc>
          <w:tcPr>
            <w:tcW w:w="1675" w:type="dxa"/>
            <w:shd w:val="clear" w:color="auto" w:fill="auto"/>
            <w:vAlign w:val="center"/>
          </w:tcPr>
          <w:p w14:paraId="020B1794">
            <w:pPr>
              <w:snapToGrid w:val="0"/>
              <w:spacing w:line="240" w:lineRule="auto"/>
              <w:ind w:left="0" w:leftChars="0" w:right="0" w:rightChars="0" w:firstLine="0" w:firstLineChars="0"/>
              <w:jc w:val="center"/>
              <w:rPr>
                <w:rFonts w:hint="eastAsia"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实施方案（10.0分）</w:t>
            </w:r>
          </w:p>
        </w:tc>
        <w:tc>
          <w:tcPr>
            <w:tcW w:w="4992" w:type="dxa"/>
            <w:shd w:val="clear" w:color="auto" w:fill="auto"/>
            <w:vAlign w:val="center"/>
          </w:tcPr>
          <w:p w14:paraId="52481BBF">
            <w:pPr>
              <w:snapToGrid w:val="0"/>
              <w:spacing w:line="240" w:lineRule="auto"/>
              <w:ind w:left="0" w:leftChars="0" w:right="0" w:rightChars="0" w:firstLine="0" w:firstLineChars="0"/>
              <w:jc w:val="left"/>
              <w:rPr>
                <w:rFonts w:hint="default"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1.</w:t>
            </w:r>
            <w:r>
              <w:rPr>
                <w:rFonts w:hint="default" w:ascii="方正仿宋_GBK" w:hAnsi="方正仿宋_GBK" w:eastAsia="方正仿宋_GBK" w:cs="方正仿宋_GBK"/>
                <w:b w:val="0"/>
                <w:bCs w:val="0"/>
                <w:color w:val="auto"/>
                <w:sz w:val="24"/>
                <w:highlight w:val="none"/>
                <w:lang w:val="en-US" w:eastAsia="zh-CN"/>
              </w:rPr>
              <w:t>对本项目的工作背景及目标、工作内容、工作方法、工作流程理解透彻、认识深刻，区域特点针对性强，依据充分，对项目重点和难点进行详细分析，工作基础扎实，得10分。</w:t>
            </w:r>
          </w:p>
          <w:p w14:paraId="506005C6">
            <w:pPr>
              <w:snapToGrid w:val="0"/>
              <w:spacing w:line="240" w:lineRule="auto"/>
              <w:ind w:left="0" w:leftChars="0" w:right="0" w:rightChars="0" w:firstLine="0" w:firstLineChars="0"/>
              <w:jc w:val="left"/>
              <w:rPr>
                <w:rFonts w:hint="default"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2.</w:t>
            </w:r>
            <w:r>
              <w:rPr>
                <w:rFonts w:hint="default" w:ascii="方正仿宋_GBK" w:hAnsi="方正仿宋_GBK" w:eastAsia="方正仿宋_GBK" w:cs="方正仿宋_GBK"/>
                <w:b w:val="0"/>
                <w:bCs w:val="0"/>
                <w:color w:val="auto"/>
                <w:sz w:val="24"/>
                <w:highlight w:val="none"/>
                <w:lang w:val="en-US" w:eastAsia="zh-CN"/>
              </w:rPr>
              <w:t>对本项目的工作背景及目标、工作内容、工作方法、工作流程理解到位、认识清晰，区域特点针对性较强，依据较为充分，对项目重点和难点进行较详细分析，具有一定的工作基础，得7分。</w:t>
            </w:r>
          </w:p>
          <w:p w14:paraId="7D6A5116">
            <w:pPr>
              <w:snapToGrid w:val="0"/>
              <w:spacing w:line="240" w:lineRule="auto"/>
              <w:ind w:left="0" w:leftChars="0" w:right="0" w:rightChars="0" w:firstLine="0" w:firstLineChars="0"/>
              <w:jc w:val="left"/>
              <w:rPr>
                <w:rFonts w:hint="default"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3.</w:t>
            </w:r>
            <w:r>
              <w:rPr>
                <w:rFonts w:hint="default" w:ascii="方正仿宋_GBK" w:hAnsi="方正仿宋_GBK" w:eastAsia="方正仿宋_GBK" w:cs="方正仿宋_GBK"/>
                <w:b w:val="0"/>
                <w:bCs w:val="0"/>
                <w:color w:val="auto"/>
                <w:sz w:val="24"/>
                <w:highlight w:val="none"/>
                <w:lang w:val="en-US" w:eastAsia="zh-CN"/>
              </w:rPr>
              <w:t>对本项目的工作背景及目标、工作内容、工作方法、工作流程基本理解、认识基本清晰，区域特点针对性一般，依据不够充分，对项目重点和难点分析简略，工作基础薄弱，得4分。</w:t>
            </w:r>
          </w:p>
          <w:p w14:paraId="65C42749">
            <w:pPr>
              <w:snapToGrid w:val="0"/>
              <w:spacing w:line="240" w:lineRule="auto"/>
              <w:ind w:left="0" w:leftChars="0" w:right="0" w:rightChars="0" w:firstLine="0" w:firstLineChars="0"/>
              <w:jc w:val="left"/>
              <w:rPr>
                <w:rFonts w:hint="default"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4.</w:t>
            </w:r>
            <w:r>
              <w:rPr>
                <w:rFonts w:hint="default" w:ascii="方正仿宋_GBK" w:hAnsi="方正仿宋_GBK" w:eastAsia="方正仿宋_GBK" w:cs="方正仿宋_GBK"/>
                <w:b w:val="0"/>
                <w:bCs w:val="0"/>
                <w:color w:val="auto"/>
                <w:sz w:val="24"/>
                <w:highlight w:val="none"/>
                <w:lang w:val="en-US" w:eastAsia="zh-CN"/>
              </w:rPr>
              <w:t>对本项目的工作背景及目标、工作内容、工作方法、工作流程理解不清、认识模糊，区域特点针对性差，依据不足，对项目重点和难点缺乏系统分析，无工作基础，得1分。</w:t>
            </w:r>
          </w:p>
          <w:p w14:paraId="4EA7F7DF">
            <w:pPr>
              <w:snapToGrid w:val="0"/>
              <w:spacing w:line="240" w:lineRule="auto"/>
              <w:ind w:left="0" w:leftChars="0" w:right="0" w:rightChars="0" w:firstLine="0" w:firstLineChars="0"/>
              <w:jc w:val="left"/>
              <w:rPr>
                <w:rFonts w:hint="default"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5.</w:t>
            </w:r>
            <w:r>
              <w:rPr>
                <w:rFonts w:hint="default" w:ascii="方正仿宋_GBK" w:hAnsi="方正仿宋_GBK" w:eastAsia="方正仿宋_GBK" w:cs="方正仿宋_GBK"/>
                <w:b w:val="0"/>
                <w:bCs w:val="0"/>
                <w:color w:val="auto"/>
                <w:sz w:val="24"/>
                <w:highlight w:val="none"/>
                <w:lang w:val="en-US" w:eastAsia="zh-CN"/>
              </w:rPr>
              <w:t>未提供相关内容，不得分。</w:t>
            </w:r>
          </w:p>
        </w:tc>
      </w:tr>
      <w:tr w14:paraId="1B19A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0" w:type="dxa"/>
            <w:left w:w="108" w:type="dxa"/>
            <w:bottom w:w="20" w:type="dxa"/>
            <w:right w:w="108" w:type="dxa"/>
          </w:tblCellMar>
        </w:tblPrEx>
        <w:trPr>
          <w:trHeight w:val="0" w:hRule="atLeast"/>
          <w:jc w:val="center"/>
        </w:trPr>
        <w:tc>
          <w:tcPr>
            <w:tcW w:w="1855" w:type="dxa"/>
            <w:vMerge w:val="continue"/>
            <w:shd w:val="clear" w:color="auto" w:fill="auto"/>
            <w:vAlign w:val="center"/>
          </w:tcPr>
          <w:p w14:paraId="1FD5299D">
            <w:pPr>
              <w:snapToGrid w:val="0"/>
              <w:spacing w:line="240" w:lineRule="auto"/>
              <w:ind w:left="0" w:leftChars="0" w:right="0" w:rightChars="0" w:firstLine="0" w:firstLineChars="0"/>
              <w:jc w:val="center"/>
              <w:rPr>
                <w:rFonts w:hint="eastAsia" w:ascii="方正仿宋_GBK" w:hAnsi="方正仿宋_GBK" w:eastAsia="方正仿宋_GBK" w:cs="方正仿宋_GBK"/>
                <w:b w:val="0"/>
                <w:bCs w:val="0"/>
                <w:color w:val="auto"/>
                <w:sz w:val="24"/>
              </w:rPr>
            </w:pPr>
          </w:p>
        </w:tc>
        <w:tc>
          <w:tcPr>
            <w:tcW w:w="1675" w:type="dxa"/>
            <w:shd w:val="clear" w:color="auto" w:fill="auto"/>
            <w:vAlign w:val="center"/>
          </w:tcPr>
          <w:p w14:paraId="0C9A88E4">
            <w:pPr>
              <w:snapToGrid w:val="0"/>
              <w:spacing w:line="240" w:lineRule="auto"/>
              <w:ind w:left="0" w:leftChars="0" w:right="0" w:rightChars="0" w:firstLine="0" w:firstLineChars="0"/>
              <w:jc w:val="center"/>
              <w:rPr>
                <w:rFonts w:hint="eastAsia" w:ascii="方正仿宋_GBK" w:hAnsi="方正仿宋_GBK" w:eastAsia="方正仿宋_GBK" w:cs="方正仿宋_GBK"/>
                <w:b w:val="0"/>
                <w:bCs w:val="0"/>
                <w:color w:val="auto"/>
                <w:sz w:val="24"/>
                <w:lang w:val="en-US" w:eastAsia="zh-CN"/>
              </w:rPr>
            </w:pPr>
            <w:r>
              <w:rPr>
                <w:rFonts w:hint="eastAsia" w:ascii="方正仿宋_GBK" w:hAnsi="方正仿宋_GBK" w:eastAsia="方正仿宋_GBK" w:cs="方正仿宋_GBK"/>
                <w:b w:val="0"/>
                <w:bCs w:val="0"/>
                <w:color w:val="auto"/>
                <w:sz w:val="24"/>
                <w:lang w:val="en-US" w:eastAsia="zh-CN"/>
              </w:rPr>
              <w:t>服务方案 (15.0分)</w:t>
            </w:r>
          </w:p>
        </w:tc>
        <w:tc>
          <w:tcPr>
            <w:tcW w:w="4992" w:type="dxa"/>
            <w:shd w:val="clear" w:color="auto" w:fill="auto"/>
            <w:vAlign w:val="center"/>
          </w:tcPr>
          <w:p w14:paraId="1873EAE8">
            <w:pPr>
              <w:numPr>
                <w:ilvl w:val="0"/>
                <w:numId w:val="0"/>
              </w:numPr>
              <w:snapToGrid w:val="0"/>
              <w:spacing w:line="240" w:lineRule="auto"/>
              <w:ind w:right="0" w:rightChars="0"/>
              <w:jc w:val="left"/>
              <w:rPr>
                <w:rFonts w:hint="eastAsia" w:ascii="方正仿宋_GBK" w:hAnsi="方正仿宋_GBK" w:eastAsia="方正仿宋_GBK" w:cs="方正仿宋_GBK"/>
                <w:b w:val="0"/>
                <w:bCs w:val="0"/>
                <w:color w:val="auto"/>
                <w:sz w:val="24"/>
                <w:lang w:val="en-US" w:eastAsia="zh-CN"/>
              </w:rPr>
            </w:pPr>
            <w:r>
              <w:rPr>
                <w:rFonts w:hint="eastAsia" w:ascii="方正仿宋_GBK" w:hAnsi="方正仿宋_GBK" w:eastAsia="方正仿宋_GBK" w:cs="方正仿宋_GBK"/>
                <w:b w:val="0"/>
                <w:bCs w:val="0"/>
                <w:color w:val="auto"/>
                <w:sz w:val="24"/>
                <w:lang w:val="en-US" w:eastAsia="zh-CN"/>
              </w:rPr>
              <w:t>1.对本项目研究工作的思路、研究内容把握准确，服务方案整体设计科学合理，能与项目工作要求和本地特点相结合的，得15分；</w:t>
            </w:r>
          </w:p>
          <w:p w14:paraId="41E43714">
            <w:pPr>
              <w:numPr>
                <w:ilvl w:val="0"/>
                <w:numId w:val="0"/>
              </w:numPr>
              <w:snapToGrid w:val="0"/>
              <w:spacing w:line="240" w:lineRule="auto"/>
              <w:ind w:right="0" w:rightChars="0"/>
              <w:jc w:val="left"/>
              <w:rPr>
                <w:rFonts w:hint="eastAsia" w:ascii="方正仿宋_GBK" w:hAnsi="方正仿宋_GBK" w:eastAsia="方正仿宋_GBK" w:cs="方正仿宋_GBK"/>
                <w:b w:val="0"/>
                <w:bCs w:val="0"/>
                <w:color w:val="auto"/>
                <w:sz w:val="24"/>
                <w:lang w:val="en-US" w:eastAsia="zh-CN"/>
              </w:rPr>
            </w:pPr>
            <w:r>
              <w:rPr>
                <w:rFonts w:hint="eastAsia" w:ascii="方正仿宋_GBK" w:hAnsi="方正仿宋_GBK" w:eastAsia="方正仿宋_GBK" w:cs="方正仿宋_GBK"/>
                <w:b w:val="0"/>
                <w:bCs w:val="0"/>
                <w:color w:val="auto"/>
                <w:sz w:val="24"/>
                <w:lang w:val="en-US" w:eastAsia="zh-CN"/>
              </w:rPr>
              <w:t>2.对本项目研究工作的思路、研究内容把握基本准确，服务方案整体设计总体合理，能与项目工作要求和本地特点相结合的，得10分；3.对本项目研究工作的思路、研究内容把握不到位，或服务方案整体设计欠缺合理性，或不能与项目工作要求和本地特点相结合的，得5分；</w:t>
            </w:r>
          </w:p>
          <w:p w14:paraId="0D55D431">
            <w:pPr>
              <w:numPr>
                <w:ilvl w:val="0"/>
                <w:numId w:val="0"/>
              </w:numPr>
              <w:snapToGrid w:val="0"/>
              <w:spacing w:line="240" w:lineRule="auto"/>
              <w:ind w:right="0" w:rightChars="0"/>
              <w:jc w:val="left"/>
              <w:rPr>
                <w:rFonts w:hint="eastAsia" w:ascii="方正仿宋_GBK" w:hAnsi="方正仿宋_GBK" w:eastAsia="方正仿宋_GBK" w:cs="方正仿宋_GBK"/>
                <w:b w:val="0"/>
                <w:bCs w:val="0"/>
                <w:color w:val="auto"/>
                <w:sz w:val="24"/>
                <w:lang w:val="en-US" w:eastAsia="zh-CN"/>
              </w:rPr>
            </w:pPr>
            <w:r>
              <w:rPr>
                <w:rFonts w:hint="eastAsia" w:ascii="方正仿宋_GBK" w:hAnsi="方正仿宋_GBK" w:eastAsia="方正仿宋_GBK" w:cs="方正仿宋_GBK"/>
                <w:b w:val="0"/>
                <w:bCs w:val="0"/>
                <w:color w:val="auto"/>
                <w:sz w:val="24"/>
                <w:lang w:val="en-US" w:eastAsia="zh-CN"/>
              </w:rPr>
              <w:t>4.对本项目研究工作的思路、研究内容把握不到位，且服务方案整体设计欠缺合理性，不能与项目工作要求和本地特点相结合的，得3分；5.不提供不得分。</w:t>
            </w:r>
          </w:p>
        </w:tc>
      </w:tr>
      <w:tr w14:paraId="4DBE0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0" w:type="dxa"/>
            <w:left w:w="108" w:type="dxa"/>
            <w:bottom w:w="20" w:type="dxa"/>
            <w:right w:w="108" w:type="dxa"/>
          </w:tblCellMar>
        </w:tblPrEx>
        <w:trPr>
          <w:trHeight w:val="0" w:hRule="atLeast"/>
          <w:jc w:val="center"/>
        </w:trPr>
        <w:tc>
          <w:tcPr>
            <w:tcW w:w="1855" w:type="dxa"/>
            <w:vMerge w:val="continue"/>
            <w:shd w:val="clear" w:color="auto" w:fill="auto"/>
            <w:vAlign w:val="center"/>
          </w:tcPr>
          <w:p w14:paraId="55D6DEAA">
            <w:pPr>
              <w:snapToGrid w:val="0"/>
              <w:spacing w:line="240" w:lineRule="auto"/>
              <w:ind w:left="0" w:leftChars="0" w:right="0" w:rightChars="0" w:firstLine="0" w:firstLineChars="0"/>
              <w:jc w:val="center"/>
              <w:rPr>
                <w:rFonts w:hint="eastAsia" w:ascii="方正仿宋_GBK" w:hAnsi="方正仿宋_GBK" w:eastAsia="方正仿宋_GBK" w:cs="方正仿宋_GBK"/>
                <w:b w:val="0"/>
                <w:bCs w:val="0"/>
                <w:color w:val="auto"/>
                <w:sz w:val="24"/>
              </w:rPr>
            </w:pPr>
          </w:p>
        </w:tc>
        <w:tc>
          <w:tcPr>
            <w:tcW w:w="1675" w:type="dxa"/>
            <w:shd w:val="clear" w:color="auto" w:fill="auto"/>
            <w:vAlign w:val="center"/>
          </w:tcPr>
          <w:p w14:paraId="703C0F4D">
            <w:pPr>
              <w:snapToGrid w:val="0"/>
              <w:spacing w:line="240" w:lineRule="auto"/>
              <w:ind w:left="0" w:leftChars="0" w:right="0" w:rightChars="0" w:firstLine="0" w:firstLineChars="0"/>
              <w:jc w:val="center"/>
              <w:rPr>
                <w:rFonts w:hint="eastAsia" w:ascii="方正仿宋_GBK" w:hAnsi="方正仿宋_GBK" w:eastAsia="方正仿宋_GBK" w:cs="方正仿宋_GBK"/>
                <w:b w:val="0"/>
                <w:bCs w:val="0"/>
                <w:color w:val="auto"/>
                <w:sz w:val="24"/>
                <w:lang w:val="en-US" w:eastAsia="zh-CN"/>
              </w:rPr>
            </w:pPr>
            <w:r>
              <w:rPr>
                <w:rFonts w:hint="eastAsia" w:ascii="方正仿宋_GBK" w:hAnsi="方正仿宋_GBK" w:eastAsia="方正仿宋_GBK" w:cs="方正仿宋_GBK"/>
                <w:b w:val="0"/>
                <w:bCs w:val="0"/>
                <w:color w:val="auto"/>
                <w:sz w:val="24"/>
                <w:lang w:val="en-US" w:eastAsia="zh-CN"/>
              </w:rPr>
              <w:t>质量保障措施 （5.0分）</w:t>
            </w:r>
          </w:p>
        </w:tc>
        <w:tc>
          <w:tcPr>
            <w:tcW w:w="4992" w:type="dxa"/>
            <w:shd w:val="clear" w:color="auto" w:fill="auto"/>
            <w:vAlign w:val="center"/>
          </w:tcPr>
          <w:p w14:paraId="22019833">
            <w:pPr>
              <w:snapToGrid w:val="0"/>
              <w:spacing w:line="240" w:lineRule="auto"/>
              <w:ind w:left="0" w:leftChars="0" w:right="0" w:rightChars="0" w:firstLine="0" w:firstLineChars="0"/>
              <w:jc w:val="left"/>
              <w:rPr>
                <w:rFonts w:hint="eastAsia" w:ascii="方正仿宋_GBK" w:hAnsi="方正仿宋_GBK" w:eastAsia="方正仿宋_GBK" w:cs="方正仿宋_GBK"/>
                <w:b w:val="0"/>
                <w:bCs w:val="0"/>
                <w:color w:val="auto"/>
                <w:sz w:val="24"/>
                <w:lang w:val="en-US" w:eastAsia="zh-CN"/>
              </w:rPr>
            </w:pPr>
            <w:r>
              <w:rPr>
                <w:rFonts w:hint="eastAsia" w:ascii="方正仿宋_GBK" w:hAnsi="方正仿宋_GBK" w:eastAsia="方正仿宋_GBK" w:cs="方正仿宋_GBK"/>
                <w:b w:val="0"/>
                <w:bCs w:val="0"/>
                <w:color w:val="auto"/>
                <w:sz w:val="24"/>
                <w:lang w:val="en-US" w:eastAsia="zh-CN"/>
              </w:rPr>
              <w:t>根据投标人提供的质量保障措施进行评审：</w:t>
            </w:r>
          </w:p>
          <w:p w14:paraId="3FEBECB9">
            <w:pPr>
              <w:numPr>
                <w:ilvl w:val="0"/>
                <w:numId w:val="0"/>
              </w:numPr>
              <w:snapToGrid w:val="0"/>
              <w:spacing w:line="240" w:lineRule="auto"/>
              <w:ind w:leftChars="0" w:right="0" w:rightChars="0"/>
              <w:jc w:val="left"/>
              <w:rPr>
                <w:rFonts w:hint="eastAsia" w:ascii="方正仿宋_GBK" w:hAnsi="方正仿宋_GBK" w:eastAsia="方正仿宋_GBK" w:cs="方正仿宋_GBK"/>
                <w:b w:val="0"/>
                <w:bCs w:val="0"/>
                <w:color w:val="auto"/>
                <w:sz w:val="24"/>
                <w:lang w:val="en-US" w:eastAsia="zh-CN"/>
              </w:rPr>
            </w:pPr>
            <w:r>
              <w:rPr>
                <w:rFonts w:hint="eastAsia" w:ascii="方正仿宋_GBK" w:hAnsi="方正仿宋_GBK" w:eastAsia="方正仿宋_GBK" w:cs="方正仿宋_GBK"/>
                <w:b w:val="0"/>
                <w:bCs w:val="0"/>
                <w:color w:val="auto"/>
                <w:sz w:val="24"/>
                <w:lang w:val="en-US" w:eastAsia="zh-CN"/>
              </w:rPr>
              <w:t>1.质量保障措施详细、合理，针对性强的，得5分；</w:t>
            </w:r>
          </w:p>
          <w:p w14:paraId="1CC9A00B">
            <w:pPr>
              <w:numPr>
                <w:ilvl w:val="0"/>
                <w:numId w:val="0"/>
              </w:numPr>
              <w:snapToGrid w:val="0"/>
              <w:spacing w:line="240" w:lineRule="auto"/>
              <w:ind w:leftChars="0" w:right="0" w:rightChars="0"/>
              <w:jc w:val="left"/>
              <w:rPr>
                <w:rFonts w:hint="eastAsia" w:ascii="方正仿宋_GBK" w:hAnsi="方正仿宋_GBK" w:eastAsia="方正仿宋_GBK" w:cs="方正仿宋_GBK"/>
                <w:b w:val="0"/>
                <w:bCs w:val="0"/>
                <w:color w:val="auto"/>
                <w:sz w:val="24"/>
                <w:lang w:val="en-US" w:eastAsia="zh-CN"/>
              </w:rPr>
            </w:pPr>
            <w:r>
              <w:rPr>
                <w:rFonts w:hint="eastAsia" w:ascii="方正仿宋_GBK" w:hAnsi="方正仿宋_GBK" w:eastAsia="方正仿宋_GBK" w:cs="方正仿宋_GBK"/>
                <w:b w:val="0"/>
                <w:bCs w:val="0"/>
                <w:color w:val="auto"/>
                <w:sz w:val="24"/>
                <w:lang w:val="en-US" w:eastAsia="zh-CN"/>
              </w:rPr>
              <w:t>2.质量保障措施不详细、不合理，或欠缺针对性，得3分；</w:t>
            </w:r>
          </w:p>
          <w:p w14:paraId="364D7B98">
            <w:pPr>
              <w:numPr>
                <w:ilvl w:val="0"/>
                <w:numId w:val="0"/>
              </w:numPr>
              <w:snapToGrid w:val="0"/>
              <w:spacing w:line="240" w:lineRule="auto"/>
              <w:ind w:leftChars="0" w:right="0" w:rightChars="0"/>
              <w:jc w:val="left"/>
              <w:rPr>
                <w:rFonts w:hint="eastAsia" w:ascii="方正仿宋_GBK" w:hAnsi="方正仿宋_GBK" w:eastAsia="方正仿宋_GBK" w:cs="方正仿宋_GBK"/>
                <w:b w:val="0"/>
                <w:bCs w:val="0"/>
                <w:color w:val="auto"/>
                <w:sz w:val="24"/>
                <w:lang w:val="en-US" w:eastAsia="zh-CN"/>
              </w:rPr>
            </w:pPr>
            <w:r>
              <w:rPr>
                <w:rFonts w:hint="eastAsia" w:ascii="方正仿宋_GBK" w:hAnsi="方正仿宋_GBK" w:eastAsia="方正仿宋_GBK" w:cs="方正仿宋_GBK"/>
                <w:b w:val="0"/>
                <w:bCs w:val="0"/>
                <w:color w:val="auto"/>
                <w:sz w:val="24"/>
                <w:lang w:val="en-US" w:eastAsia="zh-CN"/>
              </w:rPr>
              <w:t>3.质量保障措施不详细、不合理，且欠缺针对性，得1分；</w:t>
            </w:r>
          </w:p>
          <w:p w14:paraId="17606067">
            <w:pPr>
              <w:numPr>
                <w:ilvl w:val="0"/>
                <w:numId w:val="0"/>
              </w:numPr>
              <w:snapToGrid w:val="0"/>
              <w:spacing w:line="240" w:lineRule="auto"/>
              <w:ind w:leftChars="0" w:right="0" w:rightChars="0"/>
              <w:jc w:val="left"/>
              <w:rPr>
                <w:rFonts w:hint="eastAsia" w:ascii="方正仿宋_GBK" w:hAnsi="方正仿宋_GBK" w:eastAsia="方正仿宋_GBK" w:cs="方正仿宋_GBK"/>
                <w:b w:val="0"/>
                <w:bCs w:val="0"/>
                <w:color w:val="auto"/>
                <w:sz w:val="24"/>
                <w:lang w:val="en-US" w:eastAsia="zh-CN"/>
              </w:rPr>
            </w:pPr>
            <w:r>
              <w:rPr>
                <w:rFonts w:hint="eastAsia" w:ascii="方正仿宋_GBK" w:hAnsi="方正仿宋_GBK" w:eastAsia="方正仿宋_GBK" w:cs="方正仿宋_GBK"/>
                <w:b w:val="0"/>
                <w:bCs w:val="0"/>
                <w:color w:val="auto"/>
                <w:sz w:val="24"/>
                <w:lang w:val="en-US" w:eastAsia="zh-CN"/>
              </w:rPr>
              <w:t>4.不提供不得分。</w:t>
            </w:r>
          </w:p>
        </w:tc>
      </w:tr>
      <w:tr w14:paraId="2EA44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0" w:type="dxa"/>
            <w:left w:w="108" w:type="dxa"/>
            <w:bottom w:w="20" w:type="dxa"/>
            <w:right w:w="108" w:type="dxa"/>
          </w:tblCellMar>
        </w:tblPrEx>
        <w:trPr>
          <w:trHeight w:val="0" w:hRule="atLeast"/>
          <w:jc w:val="center"/>
        </w:trPr>
        <w:tc>
          <w:tcPr>
            <w:tcW w:w="1855" w:type="dxa"/>
            <w:vMerge w:val="restart"/>
            <w:shd w:val="clear" w:color="auto" w:fill="auto"/>
            <w:vAlign w:val="center"/>
          </w:tcPr>
          <w:p w14:paraId="27F0176D">
            <w:pPr>
              <w:snapToGrid w:val="0"/>
              <w:spacing w:line="240" w:lineRule="auto"/>
              <w:ind w:left="0" w:leftChars="0" w:right="0" w:rightChars="0" w:firstLine="0" w:firstLineChars="0"/>
              <w:jc w:val="center"/>
              <w:rPr>
                <w:rFonts w:hint="eastAsia" w:ascii="方正仿宋_GBK" w:hAnsi="方正仿宋_GBK" w:eastAsia="方正仿宋_GBK" w:cs="方正仿宋_GBK"/>
                <w:b w:val="0"/>
                <w:bCs w:val="0"/>
                <w:color w:val="auto"/>
                <w:sz w:val="24"/>
                <w:lang w:val="en-US" w:eastAsia="zh-CN"/>
              </w:rPr>
            </w:pPr>
            <w:r>
              <w:rPr>
                <w:rFonts w:hint="eastAsia" w:ascii="方正仿宋_GBK" w:hAnsi="方正仿宋_GBK" w:eastAsia="方正仿宋_GBK" w:cs="方正仿宋_GBK"/>
                <w:b w:val="0"/>
                <w:bCs w:val="0"/>
                <w:color w:val="auto"/>
                <w:sz w:val="24"/>
                <w:lang w:val="en-US" w:eastAsia="zh-CN"/>
              </w:rPr>
              <w:t>综合实力</w:t>
            </w:r>
          </w:p>
          <w:p w14:paraId="3EAB7CB6">
            <w:pPr>
              <w:snapToGrid w:val="0"/>
              <w:spacing w:line="240" w:lineRule="auto"/>
              <w:ind w:left="0" w:leftChars="0" w:right="0" w:rightChars="0" w:firstLine="0" w:firstLineChars="0"/>
              <w:jc w:val="center"/>
              <w:rPr>
                <w:rFonts w:hint="default" w:ascii="方正仿宋_GBK" w:hAnsi="方正仿宋_GBK" w:eastAsia="方正仿宋_GBK" w:cs="方正仿宋_GBK"/>
                <w:b w:val="0"/>
                <w:bCs w:val="0"/>
                <w:color w:val="auto"/>
                <w:sz w:val="24"/>
                <w:lang w:val="en-US" w:eastAsia="zh-CN"/>
              </w:rPr>
            </w:pPr>
            <w:r>
              <w:rPr>
                <w:rFonts w:hint="eastAsia" w:ascii="方正仿宋_GBK" w:hAnsi="方正仿宋_GBK" w:eastAsia="方正仿宋_GBK" w:cs="方正仿宋_GBK"/>
                <w:b w:val="0"/>
                <w:bCs w:val="0"/>
                <w:color w:val="auto"/>
                <w:sz w:val="24"/>
                <w:lang w:val="en-US" w:eastAsia="zh-CN"/>
              </w:rPr>
              <w:t>（合计58分）</w:t>
            </w:r>
          </w:p>
        </w:tc>
        <w:tc>
          <w:tcPr>
            <w:tcW w:w="1675" w:type="dxa"/>
            <w:shd w:val="clear" w:color="auto" w:fill="auto"/>
            <w:vAlign w:val="center"/>
          </w:tcPr>
          <w:p w14:paraId="0097DF66">
            <w:pPr>
              <w:snapToGrid w:val="0"/>
              <w:spacing w:line="240" w:lineRule="auto"/>
              <w:ind w:left="0" w:leftChars="0" w:right="0" w:rightChars="0" w:firstLine="0" w:firstLineChars="0"/>
              <w:jc w:val="center"/>
              <w:rPr>
                <w:rFonts w:hint="eastAsia" w:ascii="方正仿宋_GBK" w:hAnsi="方正仿宋_GBK" w:eastAsia="方正仿宋_GBK" w:cs="方正仿宋_GBK"/>
                <w:b w:val="0"/>
                <w:bCs w:val="0"/>
                <w:color w:val="auto"/>
                <w:sz w:val="24"/>
                <w:lang w:val="en-US" w:eastAsia="zh-CN"/>
              </w:rPr>
            </w:pPr>
            <w:r>
              <w:rPr>
                <w:rFonts w:hint="eastAsia" w:ascii="方正仿宋_GBK" w:hAnsi="方正仿宋_GBK" w:eastAsia="方正仿宋_GBK" w:cs="方正仿宋_GBK"/>
                <w:b w:val="0"/>
                <w:bCs w:val="0"/>
                <w:color w:val="auto"/>
                <w:sz w:val="24"/>
                <w:lang w:val="en-US" w:eastAsia="zh-CN"/>
              </w:rPr>
              <w:t>投标人通过相关认证情况</w:t>
            </w:r>
          </w:p>
          <w:p w14:paraId="7319CEC2">
            <w:pPr>
              <w:snapToGrid w:val="0"/>
              <w:spacing w:line="240" w:lineRule="auto"/>
              <w:ind w:left="0" w:leftChars="0" w:right="0" w:rightChars="0" w:firstLine="0" w:firstLineChars="0"/>
              <w:jc w:val="center"/>
              <w:rPr>
                <w:rFonts w:hint="eastAsia" w:ascii="方正仿宋_GBK" w:hAnsi="方正仿宋_GBK" w:eastAsia="方正仿宋_GBK" w:cs="方正仿宋_GBK"/>
                <w:b w:val="0"/>
                <w:bCs w:val="0"/>
                <w:color w:val="auto"/>
                <w:sz w:val="24"/>
                <w:lang w:val="en-US" w:eastAsia="zh-CN"/>
              </w:rPr>
            </w:pPr>
            <w:r>
              <w:rPr>
                <w:rFonts w:hint="eastAsia" w:ascii="方正仿宋_GBK" w:hAnsi="方正仿宋_GBK" w:eastAsia="方正仿宋_GBK" w:cs="方正仿宋_GBK"/>
                <w:b w:val="0"/>
                <w:bCs w:val="0"/>
                <w:color w:val="auto"/>
                <w:sz w:val="24"/>
                <w:lang w:val="en-US" w:eastAsia="zh-CN"/>
              </w:rPr>
              <w:t>（5分）</w:t>
            </w:r>
          </w:p>
        </w:tc>
        <w:tc>
          <w:tcPr>
            <w:tcW w:w="4992" w:type="dxa"/>
            <w:shd w:val="clear" w:color="auto" w:fill="auto"/>
            <w:vAlign w:val="center"/>
          </w:tcPr>
          <w:p w14:paraId="72A6E4F1">
            <w:pPr>
              <w:numPr>
                <w:ilvl w:val="0"/>
                <w:numId w:val="0"/>
              </w:numPr>
              <w:snapToGrid w:val="0"/>
              <w:spacing w:line="240" w:lineRule="auto"/>
              <w:ind w:leftChars="0" w:right="0" w:rightChars="0"/>
              <w:jc w:val="left"/>
              <w:rPr>
                <w:rFonts w:hint="eastAsia" w:ascii="方正仿宋_GBK" w:hAnsi="方正仿宋_GBK" w:eastAsia="方正仿宋_GBK" w:cs="方正仿宋_GBK"/>
                <w:b w:val="0"/>
                <w:bCs w:val="0"/>
                <w:color w:val="auto"/>
                <w:sz w:val="24"/>
                <w:lang w:val="en-US" w:eastAsia="zh-CN"/>
              </w:rPr>
            </w:pPr>
            <w:r>
              <w:rPr>
                <w:rFonts w:hint="eastAsia" w:ascii="方正仿宋_GBK" w:hAnsi="方正仿宋_GBK" w:eastAsia="方正仿宋_GBK" w:cs="方正仿宋_GBK"/>
                <w:b w:val="0"/>
                <w:bCs w:val="0"/>
                <w:color w:val="auto"/>
                <w:sz w:val="24"/>
                <w:lang w:val="en-US" w:eastAsia="zh-CN"/>
              </w:rPr>
              <w:t>投标人（联合体任一方）具有有效的质量管理体系认证证书、环境管理体系认证证书的，每个得2.5分，最高得5分。</w:t>
            </w:r>
          </w:p>
          <w:p w14:paraId="52C76CC1">
            <w:pPr>
              <w:numPr>
                <w:ilvl w:val="0"/>
                <w:numId w:val="0"/>
              </w:numPr>
              <w:snapToGrid w:val="0"/>
              <w:spacing w:line="240" w:lineRule="auto"/>
              <w:ind w:leftChars="0" w:right="0" w:rightChars="0"/>
              <w:jc w:val="left"/>
              <w:rPr>
                <w:rFonts w:hint="eastAsia" w:ascii="方正仿宋_GBK" w:hAnsi="方正仿宋_GBK" w:eastAsia="方正仿宋_GBK" w:cs="方正仿宋_GBK"/>
                <w:b w:val="0"/>
                <w:bCs w:val="0"/>
                <w:color w:val="auto"/>
                <w:sz w:val="24"/>
                <w:lang w:val="en-US" w:eastAsia="zh-CN"/>
              </w:rPr>
            </w:pPr>
            <w:r>
              <w:rPr>
                <w:rFonts w:hint="eastAsia" w:ascii="方正仿宋_GBK" w:hAnsi="方正仿宋_GBK" w:eastAsia="方正仿宋_GBK" w:cs="方正仿宋_GBK"/>
                <w:b w:val="0"/>
                <w:bCs w:val="0"/>
                <w:color w:val="auto"/>
                <w:sz w:val="24"/>
                <w:lang w:val="en-US" w:eastAsia="zh-CN"/>
              </w:rPr>
              <w:t>注：本项最高得5分。须提供相关证书及全国认证认可信息公共服务平台（http://www.cnca.gov.cn/）查询截图复印件或扫描件加盖公章，否则不得分。</w:t>
            </w:r>
          </w:p>
        </w:tc>
      </w:tr>
      <w:tr w14:paraId="589EF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0" w:type="dxa"/>
            <w:left w:w="108" w:type="dxa"/>
            <w:bottom w:w="20" w:type="dxa"/>
            <w:right w:w="108" w:type="dxa"/>
          </w:tblCellMar>
        </w:tblPrEx>
        <w:trPr>
          <w:trHeight w:val="0" w:hRule="atLeast"/>
          <w:jc w:val="center"/>
        </w:trPr>
        <w:tc>
          <w:tcPr>
            <w:tcW w:w="1855" w:type="dxa"/>
            <w:vMerge w:val="continue"/>
            <w:shd w:val="clear" w:color="auto" w:fill="auto"/>
            <w:vAlign w:val="center"/>
          </w:tcPr>
          <w:p w14:paraId="19963FF9">
            <w:pPr>
              <w:snapToGrid w:val="0"/>
              <w:spacing w:line="240" w:lineRule="auto"/>
              <w:ind w:left="0" w:leftChars="0" w:right="0" w:rightChars="0" w:firstLine="0" w:firstLineChars="0"/>
              <w:jc w:val="center"/>
              <w:rPr>
                <w:rFonts w:hint="eastAsia" w:ascii="方正仿宋_GBK" w:hAnsi="方正仿宋_GBK" w:eastAsia="方正仿宋_GBK" w:cs="方正仿宋_GBK"/>
                <w:b w:val="0"/>
                <w:bCs w:val="0"/>
                <w:color w:val="auto"/>
                <w:sz w:val="24"/>
                <w:lang w:val="en-US" w:eastAsia="zh-CN"/>
              </w:rPr>
            </w:pPr>
          </w:p>
        </w:tc>
        <w:tc>
          <w:tcPr>
            <w:tcW w:w="1675" w:type="dxa"/>
            <w:shd w:val="clear" w:color="auto" w:fill="auto"/>
            <w:vAlign w:val="center"/>
          </w:tcPr>
          <w:p w14:paraId="1E06D283">
            <w:pPr>
              <w:snapToGrid w:val="0"/>
              <w:spacing w:line="240" w:lineRule="auto"/>
              <w:ind w:left="0" w:leftChars="0" w:right="0" w:rightChars="0" w:firstLine="0" w:firstLineChars="0"/>
              <w:jc w:val="center"/>
              <w:rPr>
                <w:rFonts w:hint="eastAsia" w:ascii="方正仿宋_GBK" w:hAnsi="方正仿宋_GBK" w:eastAsia="方正仿宋_GBK" w:cs="方正仿宋_GBK"/>
                <w:b w:val="0"/>
                <w:bCs w:val="0"/>
                <w:color w:val="auto"/>
                <w:sz w:val="24"/>
                <w:lang w:val="en-US" w:eastAsia="zh-CN"/>
              </w:rPr>
            </w:pPr>
            <w:r>
              <w:rPr>
                <w:rFonts w:hint="eastAsia" w:ascii="方正仿宋_GBK" w:hAnsi="方正仿宋_GBK" w:eastAsia="方正仿宋_GBK" w:cs="方正仿宋_GBK"/>
                <w:b w:val="0"/>
                <w:bCs w:val="0"/>
                <w:color w:val="auto"/>
                <w:sz w:val="24"/>
                <w:lang w:val="en-US" w:eastAsia="zh-CN"/>
              </w:rPr>
              <w:t>同类项目业绩情况</w:t>
            </w:r>
          </w:p>
          <w:p w14:paraId="7ED08A12">
            <w:pPr>
              <w:snapToGrid w:val="0"/>
              <w:spacing w:line="240" w:lineRule="auto"/>
              <w:ind w:left="0" w:leftChars="0" w:right="0" w:rightChars="0" w:firstLine="0" w:firstLineChars="0"/>
              <w:jc w:val="center"/>
              <w:rPr>
                <w:rFonts w:hint="eastAsia" w:ascii="方正仿宋_GBK" w:hAnsi="方正仿宋_GBK" w:eastAsia="方正仿宋_GBK" w:cs="方正仿宋_GBK"/>
                <w:b w:val="0"/>
                <w:bCs w:val="0"/>
                <w:color w:val="auto"/>
                <w:sz w:val="24"/>
                <w:lang w:val="en-US" w:eastAsia="zh-CN"/>
              </w:rPr>
            </w:pPr>
            <w:r>
              <w:rPr>
                <w:rFonts w:hint="eastAsia" w:ascii="方正仿宋_GBK" w:hAnsi="方正仿宋_GBK" w:eastAsia="方正仿宋_GBK" w:cs="方正仿宋_GBK"/>
                <w:b w:val="0"/>
                <w:bCs w:val="0"/>
                <w:color w:val="auto"/>
                <w:sz w:val="24"/>
                <w:lang w:val="en-US" w:eastAsia="zh-CN"/>
              </w:rPr>
              <w:t>（10分）</w:t>
            </w:r>
          </w:p>
        </w:tc>
        <w:tc>
          <w:tcPr>
            <w:tcW w:w="4992" w:type="dxa"/>
            <w:shd w:val="clear" w:color="auto" w:fill="auto"/>
            <w:vAlign w:val="center"/>
          </w:tcPr>
          <w:p w14:paraId="464CF201">
            <w:pPr>
              <w:numPr>
                <w:ilvl w:val="0"/>
                <w:numId w:val="0"/>
              </w:numPr>
              <w:snapToGrid w:val="0"/>
              <w:spacing w:line="240" w:lineRule="auto"/>
              <w:ind w:leftChars="0" w:right="0" w:rightChars="0"/>
              <w:jc w:val="left"/>
              <w:rPr>
                <w:rFonts w:hint="eastAsia" w:ascii="方正仿宋_GBK" w:hAnsi="方正仿宋_GBK" w:eastAsia="方正仿宋_GBK" w:cs="方正仿宋_GBK"/>
                <w:b w:val="0"/>
                <w:bCs w:val="0"/>
                <w:color w:val="auto"/>
                <w:sz w:val="24"/>
                <w:lang w:val="en-US" w:eastAsia="zh-CN"/>
              </w:rPr>
            </w:pPr>
            <w:r>
              <w:rPr>
                <w:rFonts w:hint="eastAsia" w:ascii="方正仿宋_GBK" w:hAnsi="方正仿宋_GBK" w:eastAsia="方正仿宋_GBK" w:cs="方正仿宋_GBK"/>
                <w:b w:val="0"/>
                <w:bCs w:val="0"/>
                <w:color w:val="auto"/>
                <w:sz w:val="24"/>
                <w:lang w:val="en-US" w:eastAsia="zh-CN"/>
              </w:rPr>
              <w:t>自2023年1月1日至投标截止之日投标人承接过同类项目业绩的，每份得2.5分，最高得10分。</w:t>
            </w:r>
          </w:p>
          <w:p w14:paraId="4BCE5241">
            <w:pPr>
              <w:numPr>
                <w:ilvl w:val="0"/>
                <w:numId w:val="0"/>
              </w:numPr>
              <w:snapToGrid w:val="0"/>
              <w:spacing w:line="240" w:lineRule="auto"/>
              <w:ind w:leftChars="0" w:right="0" w:rightChars="0"/>
              <w:jc w:val="left"/>
              <w:rPr>
                <w:rFonts w:hint="eastAsia" w:ascii="方正仿宋_GBK" w:hAnsi="方正仿宋_GBK" w:eastAsia="方正仿宋_GBK" w:cs="方正仿宋_GBK"/>
                <w:b w:val="0"/>
                <w:bCs w:val="0"/>
                <w:color w:val="auto"/>
                <w:sz w:val="24"/>
                <w:lang w:val="en-US" w:eastAsia="zh-CN"/>
              </w:rPr>
            </w:pPr>
            <w:r>
              <w:rPr>
                <w:rFonts w:hint="eastAsia" w:ascii="方正仿宋_GBK" w:hAnsi="方正仿宋_GBK" w:eastAsia="方正仿宋_GBK" w:cs="方正仿宋_GBK"/>
                <w:b w:val="0"/>
                <w:bCs w:val="0"/>
                <w:color w:val="auto"/>
                <w:sz w:val="24"/>
                <w:lang w:val="en-US" w:eastAsia="zh-CN"/>
              </w:rPr>
              <w:t>注：本项最高得10分。时间以合同签订的时间为准。同类项目包括但不限于环保体检（合同名称或内容须有“环保体检”）、环境影响评价文件审查（审批）类项目、涉气污染源核查或监督帮扶、污染天气应对对策及技术研究类项目等。单个项目多次签约仅算作一个项目。须提供合同关键页（含签订合同双方的单位名称、合同项目名称、签订合同双方的落款盖章）复印件或扫描件加盖公章，否则不得分。</w:t>
            </w:r>
          </w:p>
        </w:tc>
      </w:tr>
      <w:tr w14:paraId="7BC01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0" w:type="dxa"/>
            <w:left w:w="108" w:type="dxa"/>
            <w:bottom w:w="20" w:type="dxa"/>
            <w:right w:w="108" w:type="dxa"/>
          </w:tblCellMar>
        </w:tblPrEx>
        <w:trPr>
          <w:trHeight w:val="0" w:hRule="atLeast"/>
          <w:jc w:val="center"/>
        </w:trPr>
        <w:tc>
          <w:tcPr>
            <w:tcW w:w="1855" w:type="dxa"/>
            <w:vMerge w:val="continue"/>
            <w:shd w:val="clear" w:color="auto" w:fill="auto"/>
            <w:vAlign w:val="center"/>
          </w:tcPr>
          <w:p w14:paraId="68AE0E34">
            <w:pPr>
              <w:snapToGrid w:val="0"/>
              <w:spacing w:line="240" w:lineRule="auto"/>
              <w:ind w:left="0" w:leftChars="0" w:right="0" w:rightChars="0" w:firstLine="0" w:firstLineChars="0"/>
              <w:jc w:val="center"/>
              <w:rPr>
                <w:rFonts w:hint="eastAsia" w:ascii="方正仿宋_GBK" w:hAnsi="方正仿宋_GBK" w:eastAsia="方正仿宋_GBK" w:cs="方正仿宋_GBK"/>
                <w:b w:val="0"/>
                <w:bCs w:val="0"/>
                <w:color w:val="auto"/>
                <w:sz w:val="24"/>
                <w:highlight w:val="none"/>
                <w:lang w:val="en-US" w:eastAsia="zh-CN"/>
              </w:rPr>
            </w:pPr>
          </w:p>
        </w:tc>
        <w:tc>
          <w:tcPr>
            <w:tcW w:w="1675" w:type="dxa"/>
            <w:shd w:val="clear" w:color="auto" w:fill="auto"/>
            <w:vAlign w:val="center"/>
          </w:tcPr>
          <w:p w14:paraId="50205BF7">
            <w:pPr>
              <w:snapToGrid w:val="0"/>
              <w:spacing w:line="240" w:lineRule="auto"/>
              <w:ind w:left="0" w:leftChars="0" w:right="0" w:rightChars="0" w:firstLine="0" w:firstLineChars="0"/>
              <w:jc w:val="center"/>
              <w:rPr>
                <w:rFonts w:hint="eastAsia"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拟投入的项目负责人情况（仅限一人）</w:t>
            </w:r>
          </w:p>
          <w:p w14:paraId="65EDF6D7">
            <w:pPr>
              <w:snapToGrid w:val="0"/>
              <w:spacing w:line="240" w:lineRule="auto"/>
              <w:ind w:left="0" w:leftChars="0" w:right="0" w:rightChars="0" w:firstLine="0" w:firstLineChars="0"/>
              <w:jc w:val="center"/>
              <w:rPr>
                <w:rFonts w:hint="eastAsia"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（10分）</w:t>
            </w:r>
          </w:p>
        </w:tc>
        <w:tc>
          <w:tcPr>
            <w:tcW w:w="4992" w:type="dxa"/>
            <w:shd w:val="clear" w:color="auto" w:fill="auto"/>
            <w:vAlign w:val="center"/>
          </w:tcPr>
          <w:p w14:paraId="1624315B">
            <w:pPr>
              <w:numPr>
                <w:ilvl w:val="0"/>
                <w:numId w:val="0"/>
              </w:numPr>
              <w:snapToGrid w:val="0"/>
              <w:spacing w:line="240" w:lineRule="auto"/>
              <w:ind w:leftChars="0" w:right="0" w:rightChars="0"/>
              <w:jc w:val="left"/>
              <w:rPr>
                <w:rFonts w:hint="eastAsia"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本项按如下3类小项累加计分。</w:t>
            </w:r>
          </w:p>
          <w:p w14:paraId="38F81EDB">
            <w:pPr>
              <w:numPr>
                <w:ilvl w:val="0"/>
                <w:numId w:val="0"/>
              </w:numPr>
              <w:snapToGrid w:val="0"/>
              <w:spacing w:line="240" w:lineRule="auto"/>
              <w:ind w:leftChars="0" w:right="0" w:rightChars="0"/>
              <w:jc w:val="left"/>
              <w:rPr>
                <w:rFonts w:hint="eastAsia"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1.具有博士研究生学位及环境类专业副高级或以上职称的，具备其中一项得2分，其他不得分。本项最高4分，按学位证书及职称证书统计；</w:t>
            </w:r>
          </w:p>
          <w:p w14:paraId="0984FC85">
            <w:pPr>
              <w:numPr>
                <w:ilvl w:val="0"/>
                <w:numId w:val="0"/>
              </w:numPr>
              <w:snapToGrid w:val="0"/>
              <w:spacing w:line="240" w:lineRule="auto"/>
              <w:ind w:leftChars="0" w:right="0" w:rightChars="0"/>
              <w:jc w:val="left"/>
              <w:rPr>
                <w:rFonts w:hint="eastAsia"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2.具有环境影响评价工程师职业资格证书（须体现该人员证书注册在投标人单位的），得2分，其他不得分，本项最高2分，按资格证书统计；</w:t>
            </w:r>
          </w:p>
          <w:p w14:paraId="1C7402BC">
            <w:pPr>
              <w:numPr>
                <w:ilvl w:val="0"/>
                <w:numId w:val="0"/>
              </w:numPr>
              <w:snapToGrid w:val="0"/>
              <w:spacing w:line="240" w:lineRule="auto"/>
              <w:ind w:leftChars="0" w:right="0" w:rightChars="0"/>
              <w:jc w:val="left"/>
              <w:rPr>
                <w:rFonts w:hint="eastAsia"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3.每有1个国家机关单位或事业单位委托的环保体检、环境影响评价文件审查（审批）、涉气污染源核查或监督帮扶、污染天气应对对策及技术研究等相关项目的工作经验的，得2分，其他不得分。本项最高4分，需提供有效项目合同关键信息页，通过合同关键信息无法判断是否得分的，还须同时提供合同甲方出具的证明文件。</w:t>
            </w:r>
          </w:p>
          <w:p w14:paraId="6E0A2428">
            <w:pPr>
              <w:numPr>
                <w:ilvl w:val="0"/>
                <w:numId w:val="0"/>
              </w:numPr>
              <w:snapToGrid w:val="0"/>
              <w:spacing w:line="240" w:lineRule="auto"/>
              <w:ind w:leftChars="0" w:right="0" w:rightChars="0"/>
              <w:jc w:val="left"/>
              <w:rPr>
                <w:rFonts w:hint="eastAsia"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注：按上述要求提供有效证明文件和人员由社保部门或税务部门出具的在投标人处购买的投标截止日前一个月社保证明作为得分依据；社保未出月份则往前顺延一个月，若入职未满一个月，提供入职承诺函；如投标人为新成立企业且成立时间不足一个月可提供投标人加盖投标人公章的情况说明或者证明材料亦视为符合；合同关键信息包括但不限于：含签订合同双方的单位名称、合同项目名称、签订合同双方的落款盖章、签订日期的关键页、需体现项目负责人名称等；4.以上资料均要求提供扫描件，原件备查。不提供或专家无法凭所提供资料判断是否得分的情况，一律作不得分处理。</w:t>
            </w:r>
          </w:p>
        </w:tc>
      </w:tr>
      <w:tr w14:paraId="492DF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0" w:type="dxa"/>
            <w:left w:w="108" w:type="dxa"/>
            <w:bottom w:w="20" w:type="dxa"/>
            <w:right w:w="108" w:type="dxa"/>
          </w:tblCellMar>
        </w:tblPrEx>
        <w:trPr>
          <w:trHeight w:val="0" w:hRule="atLeast"/>
          <w:jc w:val="center"/>
        </w:trPr>
        <w:tc>
          <w:tcPr>
            <w:tcW w:w="1855" w:type="dxa"/>
            <w:vMerge w:val="continue"/>
            <w:shd w:val="clear" w:color="auto" w:fill="auto"/>
            <w:vAlign w:val="center"/>
          </w:tcPr>
          <w:p w14:paraId="349DBEDE">
            <w:pPr>
              <w:snapToGrid w:val="0"/>
              <w:spacing w:line="240" w:lineRule="auto"/>
              <w:ind w:left="0" w:leftChars="0" w:right="0" w:rightChars="0" w:firstLine="0" w:firstLineChars="0"/>
              <w:jc w:val="center"/>
              <w:rPr>
                <w:rFonts w:hint="eastAsia" w:ascii="方正仿宋_GBK" w:hAnsi="方正仿宋_GBK" w:eastAsia="方正仿宋_GBK" w:cs="方正仿宋_GBK"/>
                <w:b w:val="0"/>
                <w:bCs w:val="0"/>
                <w:color w:val="auto"/>
                <w:sz w:val="24"/>
                <w:highlight w:val="none"/>
                <w:lang w:val="en-US" w:eastAsia="zh-CN"/>
              </w:rPr>
            </w:pPr>
          </w:p>
        </w:tc>
        <w:tc>
          <w:tcPr>
            <w:tcW w:w="1675" w:type="dxa"/>
            <w:shd w:val="clear" w:color="auto" w:fill="auto"/>
            <w:vAlign w:val="center"/>
          </w:tcPr>
          <w:p w14:paraId="1AC49D31">
            <w:pPr>
              <w:snapToGrid w:val="0"/>
              <w:spacing w:line="240" w:lineRule="auto"/>
              <w:ind w:left="0" w:leftChars="0" w:right="0" w:rightChars="0" w:firstLine="0" w:firstLineChars="0"/>
              <w:jc w:val="center"/>
              <w:rPr>
                <w:rFonts w:hint="eastAsia"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拟安排的项目主要团队成员（主要技术人员）情况（项目负责人除外）</w:t>
            </w:r>
          </w:p>
          <w:p w14:paraId="18DCBFF9">
            <w:pPr>
              <w:snapToGrid w:val="0"/>
              <w:spacing w:line="240" w:lineRule="auto"/>
              <w:ind w:left="0" w:leftChars="0" w:right="0" w:rightChars="0" w:firstLine="0" w:firstLineChars="0"/>
              <w:jc w:val="center"/>
              <w:rPr>
                <w:rFonts w:hint="eastAsia"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（18分）</w:t>
            </w:r>
          </w:p>
        </w:tc>
        <w:tc>
          <w:tcPr>
            <w:tcW w:w="4992" w:type="dxa"/>
            <w:shd w:val="clear" w:color="auto" w:fill="auto"/>
            <w:vAlign w:val="center"/>
          </w:tcPr>
          <w:p w14:paraId="5647660B">
            <w:pPr>
              <w:numPr>
                <w:ilvl w:val="0"/>
                <w:numId w:val="0"/>
              </w:numPr>
              <w:snapToGrid w:val="0"/>
              <w:spacing w:line="240" w:lineRule="auto"/>
              <w:ind w:leftChars="0" w:right="0" w:rightChars="0"/>
              <w:jc w:val="left"/>
              <w:rPr>
                <w:rFonts w:hint="eastAsia"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按如下3类小项累加计分，同一人员不重复得分。</w:t>
            </w:r>
          </w:p>
          <w:p w14:paraId="0CF23A27">
            <w:pPr>
              <w:numPr>
                <w:ilvl w:val="0"/>
                <w:numId w:val="0"/>
              </w:numPr>
              <w:snapToGrid w:val="0"/>
              <w:spacing w:line="240" w:lineRule="auto"/>
              <w:ind w:right="0" w:rightChars="0"/>
              <w:jc w:val="left"/>
              <w:rPr>
                <w:rFonts w:hint="eastAsia"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1.项目团队成员具有环境类专业副高级或以上职称的，每提供一人得2分，本小项最高得6分，按提供职称证书统计；</w:t>
            </w:r>
          </w:p>
          <w:p w14:paraId="524010AA">
            <w:pPr>
              <w:numPr>
                <w:ilvl w:val="0"/>
                <w:numId w:val="0"/>
              </w:numPr>
              <w:snapToGrid w:val="0"/>
              <w:spacing w:line="240" w:lineRule="auto"/>
              <w:ind w:leftChars="0" w:right="0" w:rightChars="0"/>
              <w:jc w:val="left"/>
              <w:rPr>
                <w:rFonts w:hint="eastAsia"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2.项目团队成员具有环境相关专业中级职称的每提供一人得1.5分，本小项最高得6分，按提供职称证书统计。</w:t>
            </w:r>
          </w:p>
          <w:p w14:paraId="14E92F1E">
            <w:pPr>
              <w:numPr>
                <w:ilvl w:val="0"/>
                <w:numId w:val="0"/>
              </w:numPr>
              <w:snapToGrid w:val="0"/>
              <w:spacing w:line="240" w:lineRule="auto"/>
              <w:ind w:leftChars="0" w:right="0" w:rightChars="0"/>
              <w:jc w:val="left"/>
              <w:rPr>
                <w:rFonts w:hint="eastAsia"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3.项目团队成员具有具有环境相关专业初级职称的，每提供一人得1分，本小项最高得6分。按提供职称证书统计。</w:t>
            </w:r>
          </w:p>
          <w:p w14:paraId="3980FBE4">
            <w:pPr>
              <w:numPr>
                <w:ilvl w:val="0"/>
                <w:numId w:val="0"/>
              </w:numPr>
              <w:snapToGrid w:val="0"/>
              <w:spacing w:line="240" w:lineRule="auto"/>
              <w:ind w:leftChars="0" w:right="0" w:rightChars="0"/>
              <w:jc w:val="left"/>
              <w:rPr>
                <w:rFonts w:hint="eastAsia"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注：按上述要求提供有效证明文件和人员由社保部门或税务部门出具的在投标人处购买的投标截止日前一个月社保证明作为得分依据；社保未出月份则往前顺延一个月，若入职未满一个月，提供入职承诺函；如投标人为新成立企业且成立时间不足一个月可提供加盖投标人公章的情况说明或者证明材料亦视为符合；上述评分依据提供扫描件，原件备查。评分中出现无证明资料或专家无法凭所提供资料判断是否得分的情况，一律作不得分处理。</w:t>
            </w:r>
          </w:p>
        </w:tc>
      </w:tr>
      <w:tr w14:paraId="24A64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0" w:type="dxa"/>
            <w:left w:w="108" w:type="dxa"/>
            <w:bottom w:w="20" w:type="dxa"/>
            <w:right w:w="108" w:type="dxa"/>
          </w:tblCellMar>
        </w:tblPrEx>
        <w:trPr>
          <w:trHeight w:val="0" w:hRule="atLeast"/>
          <w:jc w:val="center"/>
        </w:trPr>
        <w:tc>
          <w:tcPr>
            <w:tcW w:w="1855" w:type="dxa"/>
            <w:vMerge w:val="continue"/>
            <w:shd w:val="clear" w:color="auto" w:fill="auto"/>
            <w:vAlign w:val="center"/>
          </w:tcPr>
          <w:p w14:paraId="0157F5C1">
            <w:pPr>
              <w:snapToGrid w:val="0"/>
              <w:spacing w:line="240" w:lineRule="auto"/>
              <w:ind w:left="0" w:leftChars="0" w:right="0" w:rightChars="0" w:firstLine="0" w:firstLineChars="0"/>
              <w:jc w:val="left"/>
              <w:rPr>
                <w:rFonts w:hint="eastAsia" w:ascii="方正仿宋_GBK" w:hAnsi="方正仿宋_GBK" w:eastAsia="方正仿宋_GBK" w:cs="方正仿宋_GBK"/>
                <w:b w:val="0"/>
                <w:bCs w:val="0"/>
                <w:color w:val="auto"/>
                <w:sz w:val="24"/>
                <w:highlight w:val="none"/>
                <w:lang w:val="en-US" w:eastAsia="zh-CN"/>
              </w:rPr>
            </w:pPr>
          </w:p>
        </w:tc>
        <w:tc>
          <w:tcPr>
            <w:tcW w:w="1675" w:type="dxa"/>
            <w:shd w:val="clear" w:color="auto" w:fill="auto"/>
            <w:vAlign w:val="center"/>
          </w:tcPr>
          <w:p w14:paraId="5C20E657">
            <w:pPr>
              <w:snapToGrid w:val="0"/>
              <w:spacing w:line="240" w:lineRule="auto"/>
              <w:ind w:left="0" w:leftChars="0" w:right="0" w:rightChars="0" w:firstLine="0" w:firstLineChars="0"/>
              <w:jc w:val="left"/>
              <w:rPr>
                <w:rFonts w:hint="eastAsia"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专业实力情况</w:t>
            </w:r>
          </w:p>
          <w:p w14:paraId="2E65B852">
            <w:pPr>
              <w:snapToGrid w:val="0"/>
              <w:spacing w:line="240" w:lineRule="auto"/>
              <w:ind w:left="0" w:leftChars="0" w:right="0" w:rightChars="0" w:firstLine="0" w:firstLineChars="0"/>
              <w:jc w:val="left"/>
              <w:rPr>
                <w:rFonts w:hint="default"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（10分）</w:t>
            </w:r>
          </w:p>
        </w:tc>
        <w:tc>
          <w:tcPr>
            <w:tcW w:w="4992" w:type="dxa"/>
            <w:shd w:val="clear" w:color="auto" w:fill="auto"/>
            <w:vAlign w:val="center"/>
          </w:tcPr>
          <w:p w14:paraId="33D751CE">
            <w:pPr>
              <w:numPr>
                <w:ilvl w:val="0"/>
                <w:numId w:val="0"/>
              </w:numPr>
              <w:snapToGrid w:val="0"/>
              <w:spacing w:line="240" w:lineRule="auto"/>
              <w:ind w:leftChars="0" w:right="0" w:rightChars="0"/>
              <w:jc w:val="left"/>
              <w:rPr>
                <w:rFonts w:hint="eastAsia"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按如下2类小项累加计分：</w:t>
            </w:r>
          </w:p>
          <w:p w14:paraId="008EA03A">
            <w:pPr>
              <w:numPr>
                <w:ilvl w:val="0"/>
                <w:numId w:val="1"/>
              </w:numPr>
              <w:snapToGrid w:val="0"/>
              <w:spacing w:line="240" w:lineRule="auto"/>
              <w:ind w:leftChars="0" w:right="0" w:rightChars="0"/>
              <w:jc w:val="left"/>
              <w:rPr>
                <w:rFonts w:hint="eastAsia"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投标人具有重点实验室、研究中心、技术委员会、重点智库单位等环境保护领域或大气污染防治研究领域科研和技术服务平台的，每个2.5分，最高5分。</w:t>
            </w:r>
          </w:p>
          <w:p w14:paraId="5A417FE8">
            <w:pPr>
              <w:numPr>
                <w:ilvl w:val="0"/>
                <w:numId w:val="0"/>
              </w:numPr>
              <w:snapToGrid w:val="0"/>
              <w:spacing w:line="240" w:lineRule="auto"/>
              <w:ind w:leftChars="0" w:right="0" w:rightChars="0"/>
              <w:jc w:val="left"/>
              <w:rPr>
                <w:rFonts w:hint="eastAsia"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2.每提供一个环保方面的发明专利证书或实用新型专利证书得2.5分，本项最高得5分。</w:t>
            </w:r>
          </w:p>
          <w:p w14:paraId="3086DE79">
            <w:pPr>
              <w:numPr>
                <w:ilvl w:val="0"/>
                <w:numId w:val="0"/>
              </w:numPr>
              <w:snapToGrid w:val="0"/>
              <w:spacing w:line="240" w:lineRule="auto"/>
              <w:ind w:leftChars="0" w:right="0" w:rightChars="0"/>
              <w:jc w:val="left"/>
              <w:rPr>
                <w:rFonts w:hint="default"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注：要求提供有效的证明材料作为得分依据，均要求提供扫描件（或官方网站截图），原件备查。评分中出现无证明资料或专家无法凭所提供资料判断是否得分的情况，一律作不得分处理。提供的相关证书及颁发机构须是合法设立的机构，且具有颁发相应证书的资质。《中华人民共和国境外非政府组织境内活动管理法》规定的“离岸社团”“山寨社团”，《取缔非法民间组织暂行办法》（民政部令第 21 号）规定的“非法社会组织”颁发的证书不认可为得分因素。</w:t>
            </w:r>
          </w:p>
        </w:tc>
      </w:tr>
      <w:tr w14:paraId="7513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0" w:type="dxa"/>
            <w:left w:w="108" w:type="dxa"/>
            <w:bottom w:w="20" w:type="dxa"/>
            <w:right w:w="108" w:type="dxa"/>
          </w:tblCellMar>
        </w:tblPrEx>
        <w:trPr>
          <w:trHeight w:val="0" w:hRule="atLeast"/>
          <w:jc w:val="center"/>
        </w:trPr>
        <w:tc>
          <w:tcPr>
            <w:tcW w:w="1855" w:type="dxa"/>
            <w:vMerge w:val="continue"/>
            <w:shd w:val="clear" w:color="auto" w:fill="auto"/>
            <w:vAlign w:val="center"/>
          </w:tcPr>
          <w:p w14:paraId="19494611">
            <w:pPr>
              <w:snapToGrid w:val="0"/>
              <w:spacing w:line="240" w:lineRule="auto"/>
              <w:ind w:left="0" w:leftChars="0" w:right="0" w:rightChars="0" w:firstLine="0" w:firstLineChars="0"/>
              <w:jc w:val="center"/>
              <w:rPr>
                <w:rFonts w:hint="eastAsia" w:ascii="方正仿宋_GBK" w:hAnsi="方正仿宋_GBK" w:eastAsia="方正仿宋_GBK" w:cs="方正仿宋_GBK"/>
                <w:b w:val="0"/>
                <w:bCs w:val="0"/>
                <w:color w:val="auto"/>
                <w:sz w:val="24"/>
                <w:highlight w:val="none"/>
                <w:lang w:val="en-US" w:eastAsia="zh-CN"/>
              </w:rPr>
            </w:pPr>
          </w:p>
        </w:tc>
        <w:tc>
          <w:tcPr>
            <w:tcW w:w="1675" w:type="dxa"/>
            <w:shd w:val="clear" w:color="auto" w:fill="auto"/>
            <w:vAlign w:val="center"/>
          </w:tcPr>
          <w:p w14:paraId="36067368">
            <w:pPr>
              <w:snapToGrid w:val="0"/>
              <w:spacing w:line="240" w:lineRule="auto"/>
              <w:ind w:left="0" w:leftChars="0" w:right="0" w:rightChars="0" w:firstLine="0" w:firstLineChars="0"/>
              <w:jc w:val="center"/>
              <w:rPr>
                <w:rFonts w:hint="eastAsia"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服务响应时间</w:t>
            </w:r>
          </w:p>
          <w:p w14:paraId="4974C6E8">
            <w:pPr>
              <w:snapToGrid w:val="0"/>
              <w:spacing w:line="240" w:lineRule="auto"/>
              <w:ind w:left="0" w:leftChars="0" w:right="0" w:rightChars="0" w:firstLine="0" w:firstLineChars="0"/>
              <w:jc w:val="center"/>
              <w:rPr>
                <w:rFonts w:hint="default"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（5分）</w:t>
            </w:r>
          </w:p>
        </w:tc>
        <w:tc>
          <w:tcPr>
            <w:tcW w:w="4992" w:type="dxa"/>
            <w:shd w:val="clear" w:color="auto" w:fill="auto"/>
            <w:vAlign w:val="center"/>
          </w:tcPr>
          <w:p w14:paraId="32F76B24">
            <w:pPr>
              <w:numPr>
                <w:ilvl w:val="0"/>
                <w:numId w:val="0"/>
              </w:numPr>
              <w:snapToGrid w:val="0"/>
              <w:spacing w:line="240" w:lineRule="auto"/>
              <w:ind w:leftChars="0" w:right="0" w:rightChars="0"/>
              <w:jc w:val="left"/>
              <w:rPr>
                <w:rFonts w:hint="eastAsia"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1.投标人接到采购人通知1小时（含）内提供服务，得5分；</w:t>
            </w:r>
          </w:p>
          <w:p w14:paraId="55F345FF">
            <w:pPr>
              <w:numPr>
                <w:ilvl w:val="0"/>
                <w:numId w:val="0"/>
              </w:numPr>
              <w:snapToGrid w:val="0"/>
              <w:spacing w:line="240" w:lineRule="auto"/>
              <w:ind w:leftChars="0" w:right="0" w:rightChars="0"/>
              <w:jc w:val="left"/>
              <w:rPr>
                <w:rFonts w:hint="eastAsia"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2.投标人接到采购人通知2小</w:t>
            </w:r>
            <w:bookmarkStart w:id="0" w:name="_GoBack"/>
            <w:bookmarkEnd w:id="0"/>
            <w:r>
              <w:rPr>
                <w:rFonts w:hint="eastAsia" w:ascii="方正仿宋_GBK" w:hAnsi="方正仿宋_GBK" w:eastAsia="方正仿宋_GBK" w:cs="方正仿宋_GBK"/>
                <w:b w:val="0"/>
                <w:bCs w:val="0"/>
                <w:color w:val="auto"/>
                <w:sz w:val="24"/>
                <w:highlight w:val="none"/>
                <w:lang w:val="en-US" w:eastAsia="zh-CN"/>
              </w:rPr>
              <w:t>时（含）内提供服务，得3分;</w:t>
            </w:r>
          </w:p>
          <w:p w14:paraId="1148294D">
            <w:pPr>
              <w:numPr>
                <w:ilvl w:val="0"/>
                <w:numId w:val="0"/>
              </w:numPr>
              <w:snapToGrid w:val="0"/>
              <w:spacing w:line="240" w:lineRule="auto"/>
              <w:ind w:leftChars="0" w:right="0" w:rightChars="0"/>
              <w:jc w:val="left"/>
              <w:rPr>
                <w:rFonts w:hint="eastAsia"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3.投标人接到采购人通知3小时（含）内提供服务，得1分。</w:t>
            </w:r>
          </w:p>
          <w:p w14:paraId="144B38BC">
            <w:pPr>
              <w:numPr>
                <w:ilvl w:val="0"/>
                <w:numId w:val="0"/>
              </w:numPr>
              <w:snapToGrid w:val="0"/>
              <w:spacing w:line="240" w:lineRule="auto"/>
              <w:ind w:leftChars="0" w:right="0" w:rightChars="0"/>
              <w:jc w:val="left"/>
              <w:rPr>
                <w:rFonts w:hint="eastAsia"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4.其他情况，不得分。</w:t>
            </w:r>
          </w:p>
          <w:p w14:paraId="6BE6517B">
            <w:pPr>
              <w:numPr>
                <w:ilvl w:val="0"/>
                <w:numId w:val="0"/>
              </w:numPr>
              <w:snapToGrid w:val="0"/>
              <w:spacing w:line="240" w:lineRule="auto"/>
              <w:ind w:leftChars="0" w:right="0" w:rightChars="0"/>
              <w:jc w:val="left"/>
              <w:rPr>
                <w:rFonts w:hint="eastAsia"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注：提供服务响应时间承诺（格式自拟）作为证明材料，专家应对保障方案作的合理性进行判断，若判断为不合理，此项不得分。</w:t>
            </w:r>
          </w:p>
        </w:tc>
      </w:tr>
      <w:tr w14:paraId="36C1E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0" w:type="dxa"/>
            <w:left w:w="108" w:type="dxa"/>
            <w:bottom w:w="20" w:type="dxa"/>
            <w:right w:w="108" w:type="dxa"/>
          </w:tblCellMar>
        </w:tblPrEx>
        <w:trPr>
          <w:trHeight w:val="0" w:hRule="atLeast"/>
          <w:jc w:val="center"/>
        </w:trPr>
        <w:tc>
          <w:tcPr>
            <w:tcW w:w="1855" w:type="dxa"/>
            <w:shd w:val="clear" w:color="auto" w:fill="auto"/>
            <w:vAlign w:val="center"/>
          </w:tcPr>
          <w:p w14:paraId="171848FC">
            <w:pPr>
              <w:snapToGrid w:val="0"/>
              <w:spacing w:line="240" w:lineRule="auto"/>
              <w:ind w:left="0" w:leftChars="0" w:right="0" w:rightChars="0" w:firstLine="0" w:firstLineChars="0"/>
              <w:jc w:val="center"/>
              <w:rPr>
                <w:rFonts w:hint="eastAsia"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售后部分</w:t>
            </w:r>
          </w:p>
          <w:p w14:paraId="2F07D4D1">
            <w:pPr>
              <w:snapToGrid w:val="0"/>
              <w:spacing w:line="240" w:lineRule="auto"/>
              <w:ind w:left="0" w:leftChars="0" w:right="0" w:rightChars="0" w:firstLine="0" w:firstLineChars="0"/>
              <w:jc w:val="center"/>
              <w:rPr>
                <w:rFonts w:hint="default"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（合计2分）</w:t>
            </w:r>
          </w:p>
        </w:tc>
        <w:tc>
          <w:tcPr>
            <w:tcW w:w="1675" w:type="dxa"/>
            <w:shd w:val="clear" w:color="auto" w:fill="auto"/>
            <w:vAlign w:val="center"/>
          </w:tcPr>
          <w:p w14:paraId="5758B8FE">
            <w:pPr>
              <w:snapToGrid w:val="0"/>
              <w:spacing w:line="240" w:lineRule="auto"/>
              <w:ind w:left="0" w:leftChars="0" w:right="0" w:rightChars="0" w:firstLine="0" w:firstLineChars="0"/>
              <w:jc w:val="center"/>
              <w:rPr>
                <w:rFonts w:hint="eastAsia"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项目完成（服务期满）后的服务承诺</w:t>
            </w:r>
          </w:p>
          <w:p w14:paraId="4D2E3781">
            <w:pPr>
              <w:snapToGrid w:val="0"/>
              <w:spacing w:line="240" w:lineRule="auto"/>
              <w:ind w:left="0" w:leftChars="0" w:right="0" w:rightChars="0" w:firstLine="0" w:firstLineChars="0"/>
              <w:jc w:val="center"/>
              <w:rPr>
                <w:rFonts w:hint="default"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（2分）</w:t>
            </w:r>
          </w:p>
        </w:tc>
        <w:tc>
          <w:tcPr>
            <w:tcW w:w="4992" w:type="dxa"/>
            <w:shd w:val="clear" w:color="auto" w:fill="auto"/>
            <w:vAlign w:val="center"/>
          </w:tcPr>
          <w:p w14:paraId="3073C689">
            <w:pPr>
              <w:numPr>
                <w:ilvl w:val="0"/>
                <w:numId w:val="0"/>
              </w:numPr>
              <w:snapToGrid w:val="0"/>
              <w:spacing w:line="240" w:lineRule="auto"/>
              <w:ind w:leftChars="0" w:right="0" w:rightChars="0"/>
              <w:jc w:val="left"/>
              <w:rPr>
                <w:rFonts w:hint="eastAsia"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投标文件中对项目完成（服务期满）后的服务承诺进行评审，包括但不限于：承诺中标后将对照采购人规定的每一项要求履行义务，项目验收后，主动与采购人进行详细交接、资料整理归档，若采购人有问题需要咨询，将提供免费的咨询和修改服务。</w:t>
            </w:r>
          </w:p>
          <w:p w14:paraId="515BFD6C">
            <w:pPr>
              <w:numPr>
                <w:ilvl w:val="0"/>
                <w:numId w:val="0"/>
              </w:numPr>
              <w:snapToGrid w:val="0"/>
              <w:spacing w:line="240" w:lineRule="auto"/>
              <w:ind w:leftChars="0" w:right="0" w:rightChars="0"/>
              <w:jc w:val="left"/>
              <w:rPr>
                <w:rFonts w:hint="eastAsia" w:ascii="方正仿宋_GBK" w:hAnsi="方正仿宋_GBK" w:eastAsia="方正仿宋_GBK" w:cs="方正仿宋_GBK"/>
                <w:b w:val="0"/>
                <w:bCs w:val="0"/>
                <w:color w:val="auto"/>
                <w:sz w:val="24"/>
                <w:highlight w:val="none"/>
                <w:lang w:val="en-US" w:eastAsia="zh-CN"/>
              </w:rPr>
            </w:pPr>
            <w:r>
              <w:rPr>
                <w:rFonts w:hint="eastAsia" w:ascii="方正仿宋_GBK" w:hAnsi="方正仿宋_GBK" w:eastAsia="方正仿宋_GBK" w:cs="方正仿宋_GBK"/>
                <w:b w:val="0"/>
                <w:bCs w:val="0"/>
                <w:color w:val="auto"/>
                <w:sz w:val="24"/>
                <w:highlight w:val="none"/>
                <w:lang w:val="en-US" w:eastAsia="zh-CN"/>
              </w:rPr>
              <w:t>注：提供承诺（格式自拟），承诺满足要求的得2分，未提供承诺或承诺内容不满足要求均不得分。</w:t>
            </w:r>
          </w:p>
        </w:tc>
      </w:tr>
    </w:tbl>
    <w:p w14:paraId="276BCC3E">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36BC3749-D075-4A92-84BD-351CE5CABB42}"/>
  </w:font>
  <w:font w:name="方正黑体_GBK">
    <w:panose1 w:val="02010600010101010101"/>
    <w:charset w:val="86"/>
    <w:family w:val="auto"/>
    <w:pitch w:val="default"/>
    <w:sig w:usb0="00000001" w:usb1="080E0000" w:usb2="00000000" w:usb3="00000000" w:csb0="00040000" w:csb1="00000000"/>
    <w:embedRegular r:id="rId2" w:fontKey="{1FB027FD-D820-4A1E-8ADE-CBDC634DB1DE}"/>
  </w:font>
  <w:font w:name="方正仿宋_GBK">
    <w:panose1 w:val="02000000000000000000"/>
    <w:charset w:val="86"/>
    <w:family w:val="auto"/>
    <w:pitch w:val="default"/>
    <w:sig w:usb0="A00002BF" w:usb1="38CF7CFA" w:usb2="00082016" w:usb3="00000000" w:csb0="00040001" w:csb1="00000000"/>
    <w:embedRegular r:id="rId3" w:fontKey="{5C0CB6AC-CF0E-4B97-A017-4A974D9E2ED1}"/>
  </w:font>
  <w:font w:name="仿宋_GB2312">
    <w:panose1 w:val="02010609030101010101"/>
    <w:charset w:val="86"/>
    <w:family w:val="auto"/>
    <w:pitch w:val="default"/>
    <w:sig w:usb0="00000001" w:usb1="080E0000" w:usb2="00000000" w:usb3="00000000" w:csb0="00040000" w:csb1="00000000"/>
    <w:embedRegular r:id="rId4" w:fontKey="{3FD00014-3BFF-4F50-9F2C-333BB8A57567}"/>
  </w:font>
  <w:font w:name="WPSEMBED10">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BF1810"/>
    <w:multiLevelType w:val="singleLevel"/>
    <w:tmpl w:val="C7BF1810"/>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7B2714C"/>
    <w:rsid w:val="467F78DA"/>
    <w:rsid w:val="59B969D3"/>
    <w:rsid w:val="71C721C2"/>
    <w:rsid w:val="7D9A72EE"/>
    <w:rsid w:val="B7AFCF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4"/>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99"/>
    <w:rPr>
      <w:rFonts w:ascii="宋体" w:hAnsi="Courier New"/>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2895</Words>
  <Characters>2986</Characters>
  <Lines>0</Lines>
  <Paragraphs>0</Paragraphs>
  <TotalTime>17</TotalTime>
  <ScaleCrop>false</ScaleCrop>
  <LinksUpToDate>false</LinksUpToDate>
  <CharactersWithSpaces>3010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2026-07-07T11:11:00Z</dcterms:created>
  <dc:creator>Administrator</dc:creator>
  <cp:lastModifiedBy>吴子行</cp:lastModifiedBy>
  <dcterms:modified xsi:type="dcterms:W3CDTF">2026-07-28T02:13:21Z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eyJoZGlkIjoiN2IwMjA0OWRlY2Q1OTUyOTE4NTFhYTI4Y2E4MjVmMDEiLCJ1c2VySWQiOiIyMTEzNzY5MjEifQ==</vt:lpwstr>
  </property>
  <property fmtid="{D5CDD505-2E9C-101B-9397-08002B2CF9AE}" pid="4" name="ICV">
    <vt:lpwstr>9F80890B0C774EB796413BF0614A62FB_12</vt:lpwstr>
  </property>
</Properties>
</file>