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8AD05">
      <w:pPr>
        <w:widowControl/>
        <w:spacing w:line="0" w:lineRule="atLeast"/>
        <w:jc w:val="center"/>
        <w:rPr>
          <w:rFonts w:hint="eastAsia" w:ascii="方正小标宋简体" w:hAnsi="仿宋" w:eastAsia="方正小标宋简体" w:cs="宋体"/>
          <w:color w:val="000000"/>
          <w:kern w:val="0"/>
          <w:sz w:val="52"/>
          <w:szCs w:val="52"/>
        </w:rPr>
      </w:pPr>
      <w:r>
        <w:rPr>
          <w:rFonts w:hint="eastAsia" w:ascii="方正小标宋简体" w:hAnsi="仿宋" w:eastAsia="方正小标宋简体" w:cs="宋体"/>
          <w:color w:val="000000"/>
          <w:kern w:val="0"/>
          <w:sz w:val="52"/>
          <w:szCs w:val="52"/>
        </w:rPr>
        <w:t>学院简介</w:t>
      </w:r>
    </w:p>
    <w:p w14:paraId="6A51D3DF">
      <w:pPr>
        <w:keepNext w:val="0"/>
        <w:keepLines w:val="0"/>
        <w:pageBreakBefore w:val="0"/>
        <w:widowControl/>
        <w:kinsoku/>
        <w:wordWrap/>
        <w:overflowPunct/>
        <w:topLinePunct w:val="0"/>
        <w:autoSpaceDE/>
        <w:autoSpaceDN/>
        <w:bidi w:val="0"/>
        <w:adjustRightInd/>
        <w:snapToGrid/>
        <w:spacing w:line="240" w:lineRule="auto"/>
        <w:ind w:firstLine="620" w:firstLineChars="200"/>
        <w:textAlignment w:val="auto"/>
        <w:rPr>
          <w:rFonts w:hint="default" w:ascii="仿宋_GB2312" w:hAnsi="仿宋_GB2312" w:eastAsia="仿宋_GB2312" w:cs="仿宋_GB2312"/>
          <w:i w:val="0"/>
          <w:iCs w:val="0"/>
          <w:caps w:val="0"/>
          <w:color w:val="333333"/>
          <w:spacing w:val="0"/>
          <w:sz w:val="31"/>
          <w:szCs w:val="31"/>
          <w:shd w:val="clear" w:fill="FFFFFF"/>
        </w:rPr>
      </w:pPr>
      <w:r>
        <w:rPr>
          <w:rFonts w:ascii="仿宋_GB2312" w:hAnsi="仿宋_GB2312" w:eastAsia="仿宋_GB2312" w:cs="仿宋_GB2312"/>
          <w:i w:val="0"/>
          <w:iCs w:val="0"/>
          <w:caps w:val="0"/>
          <w:color w:val="000000"/>
          <w:spacing w:val="0"/>
          <w:sz w:val="31"/>
          <w:szCs w:val="31"/>
          <w:shd w:val="clear" w:fill="FFFFFF"/>
        </w:rPr>
        <w:t>茂名职业技术学院是一所以工科为主的公办高职院校</w:t>
      </w:r>
      <w:r>
        <w:rPr>
          <w:rFonts w:hint="default" w:ascii="仿宋_GB2312" w:hAnsi="仿宋_GB2312" w:eastAsia="仿宋_GB2312" w:cs="仿宋_GB2312"/>
          <w:i w:val="0"/>
          <w:iCs w:val="0"/>
          <w:caps w:val="0"/>
          <w:color w:val="000000"/>
          <w:spacing w:val="0"/>
          <w:sz w:val="31"/>
          <w:szCs w:val="31"/>
          <w:shd w:val="clear" w:fill="FFFFFF"/>
          <w:lang w:val="en-US"/>
        </w:rPr>
        <w:t>,</w:t>
      </w:r>
      <w:r>
        <w:rPr>
          <w:rFonts w:hint="default" w:ascii="仿宋_GB2312" w:hAnsi="仿宋_GB2312" w:eastAsia="仿宋_GB2312" w:cs="仿宋_GB2312"/>
          <w:i w:val="0"/>
          <w:iCs w:val="0"/>
          <w:caps w:val="0"/>
          <w:color w:val="000000"/>
          <w:spacing w:val="0"/>
          <w:sz w:val="31"/>
          <w:szCs w:val="31"/>
          <w:shd w:val="clear" w:fill="FFFFFF"/>
        </w:rPr>
        <w:t>广东省省域高水平高职院校建设高校（培育单位），获评为茂名市文明校园。</w:t>
      </w:r>
      <w:r>
        <w:rPr>
          <w:rFonts w:ascii="仿宋_GB2312" w:hAnsi="仿宋_GB2312" w:eastAsia="仿宋_GB2312" w:cs="仿宋_GB2312"/>
          <w:i w:val="0"/>
          <w:iCs w:val="0"/>
          <w:caps w:val="0"/>
          <w:color w:val="333333"/>
          <w:spacing w:val="0"/>
          <w:sz w:val="31"/>
          <w:szCs w:val="31"/>
          <w:shd w:val="clear" w:fill="FFFFFF"/>
        </w:rPr>
        <w:t>学校</w:t>
      </w:r>
      <w:r>
        <w:rPr>
          <w:rFonts w:ascii="仿宋_GB2312" w:hAnsi="仿宋_GB2312" w:eastAsia="仿宋_GB2312" w:cs="仿宋_GB2312"/>
          <w:i w:val="0"/>
          <w:iCs w:val="0"/>
          <w:caps w:val="0"/>
          <w:color w:val="000000"/>
          <w:spacing w:val="0"/>
          <w:sz w:val="31"/>
          <w:szCs w:val="31"/>
          <w:shd w:val="clear" w:fill="FFFFFF"/>
        </w:rPr>
        <w:t>秉承“修德 强技 求实 创新”校训，坚持“价值观</w:t>
      </w:r>
      <w:r>
        <w:rPr>
          <w:rFonts w:hint="default" w:ascii="仿宋_GB2312" w:hAnsi="仿宋_GB2312" w:eastAsia="仿宋_GB2312" w:cs="仿宋_GB2312"/>
          <w:i w:val="0"/>
          <w:iCs w:val="0"/>
          <w:caps w:val="0"/>
          <w:color w:val="000000"/>
          <w:spacing w:val="0"/>
          <w:sz w:val="31"/>
          <w:szCs w:val="31"/>
          <w:shd w:val="clear" w:fill="FFFFFF"/>
          <w:lang w:val="en-US"/>
        </w:rPr>
        <w:t>+</w:t>
      </w:r>
      <w:r>
        <w:rPr>
          <w:rFonts w:hint="default" w:ascii="仿宋_GB2312" w:hAnsi="仿宋_GB2312" w:eastAsia="仿宋_GB2312" w:cs="仿宋_GB2312"/>
          <w:i w:val="0"/>
          <w:iCs w:val="0"/>
          <w:caps w:val="0"/>
          <w:color w:val="000000"/>
          <w:spacing w:val="0"/>
          <w:sz w:val="31"/>
          <w:szCs w:val="31"/>
          <w:shd w:val="clear" w:fill="FFFFFF"/>
        </w:rPr>
        <w:t>知识</w:t>
      </w:r>
      <w:r>
        <w:rPr>
          <w:rFonts w:hint="default" w:ascii="仿宋_GB2312" w:hAnsi="仿宋_GB2312" w:eastAsia="仿宋_GB2312" w:cs="仿宋_GB2312"/>
          <w:i w:val="0"/>
          <w:iCs w:val="0"/>
          <w:caps w:val="0"/>
          <w:color w:val="000000"/>
          <w:spacing w:val="0"/>
          <w:sz w:val="31"/>
          <w:szCs w:val="31"/>
          <w:shd w:val="clear" w:fill="FFFFFF"/>
          <w:lang w:val="en-US"/>
        </w:rPr>
        <w:t>+</w:t>
      </w:r>
      <w:r>
        <w:rPr>
          <w:rFonts w:hint="default" w:ascii="仿宋_GB2312" w:hAnsi="仿宋_GB2312" w:eastAsia="仿宋_GB2312" w:cs="仿宋_GB2312"/>
          <w:i w:val="0"/>
          <w:iCs w:val="0"/>
          <w:caps w:val="0"/>
          <w:color w:val="000000"/>
          <w:spacing w:val="0"/>
          <w:sz w:val="31"/>
          <w:szCs w:val="31"/>
          <w:shd w:val="clear" w:fill="FFFFFF"/>
        </w:rPr>
        <w:t>技能</w:t>
      </w:r>
      <w:r>
        <w:rPr>
          <w:rFonts w:hint="default" w:ascii="仿宋_GB2312" w:hAnsi="仿宋_GB2312" w:eastAsia="仿宋_GB2312" w:cs="仿宋_GB2312"/>
          <w:i w:val="0"/>
          <w:iCs w:val="0"/>
          <w:caps w:val="0"/>
          <w:color w:val="000000"/>
          <w:spacing w:val="0"/>
          <w:sz w:val="31"/>
          <w:szCs w:val="31"/>
          <w:shd w:val="clear" w:fill="FFFFFF"/>
          <w:lang w:val="en-US"/>
        </w:rPr>
        <w:t>+</w:t>
      </w:r>
      <w:r>
        <w:rPr>
          <w:rFonts w:hint="default" w:ascii="仿宋_GB2312" w:hAnsi="仿宋_GB2312" w:eastAsia="仿宋_GB2312" w:cs="仿宋_GB2312"/>
          <w:i w:val="0"/>
          <w:iCs w:val="0"/>
          <w:caps w:val="0"/>
          <w:color w:val="000000"/>
          <w:spacing w:val="0"/>
          <w:sz w:val="31"/>
          <w:szCs w:val="31"/>
          <w:shd w:val="clear" w:fill="FFFFFF"/>
        </w:rPr>
        <w:t>创新”的人才培养目标，弘扬“艰苦奋斗、自强不息”学校精神，培养了大批高素质技术技能人才，为建筑行业、石化行业以及地方经济社会发展做出了重要贡献。</w:t>
      </w:r>
    </w:p>
    <w:p w14:paraId="54836652">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sz w:val="32"/>
          <w:szCs w:val="32"/>
        </w:rPr>
        <w:t>学</w:t>
      </w:r>
      <w:r>
        <w:rPr>
          <w:rFonts w:hint="eastAsia" w:ascii="仿宋_GB2312" w:hAnsi="仿宋_GB2312" w:eastAsia="仿宋_GB2312" w:cs="仿宋_GB2312"/>
          <w:sz w:val="32"/>
          <w:szCs w:val="32"/>
          <w:lang w:val="en-US" w:eastAsia="zh-CN"/>
        </w:rPr>
        <w:t>校</w:t>
      </w:r>
      <w:r>
        <w:rPr>
          <w:rFonts w:ascii="仿宋_GB2312" w:hAnsi="仿宋_GB2312" w:eastAsia="仿宋_GB2312" w:cs="仿宋_GB2312"/>
          <w:i w:val="0"/>
          <w:iCs w:val="0"/>
          <w:caps w:val="0"/>
          <w:color w:val="000000"/>
          <w:spacing w:val="0"/>
          <w:sz w:val="31"/>
          <w:szCs w:val="31"/>
          <w:shd w:val="clear" w:fill="FFFFFF"/>
        </w:rPr>
        <w:t>占地面积</w:t>
      </w:r>
      <w:r>
        <w:rPr>
          <w:rFonts w:hint="eastAsia" w:ascii="仿宋_GB2312" w:hAnsi="仿宋_GB2312" w:eastAsia="仿宋_GB2312" w:cs="仿宋_GB2312"/>
          <w:i w:val="0"/>
          <w:iCs w:val="0"/>
          <w:caps w:val="0"/>
          <w:color w:val="000000"/>
          <w:spacing w:val="0"/>
          <w:sz w:val="31"/>
          <w:szCs w:val="31"/>
          <w:shd w:val="clear" w:fill="FFFFFF"/>
          <w:lang w:val="en-US"/>
        </w:rPr>
        <w:t>66.6</w:t>
      </w:r>
      <w:r>
        <w:rPr>
          <w:rFonts w:hint="eastAsia" w:ascii="仿宋_GB2312" w:hAnsi="仿宋_GB2312" w:eastAsia="仿宋_GB2312" w:cs="仿宋_GB2312"/>
          <w:i w:val="0"/>
          <w:iCs w:val="0"/>
          <w:caps w:val="0"/>
          <w:color w:val="000000"/>
          <w:spacing w:val="0"/>
          <w:sz w:val="31"/>
          <w:szCs w:val="31"/>
          <w:shd w:val="clear" w:fill="FFFFFF"/>
        </w:rPr>
        <w:t>万平方米（约</w:t>
      </w:r>
      <w:r>
        <w:rPr>
          <w:rFonts w:hint="eastAsia" w:ascii="仿宋_GB2312" w:hAnsi="仿宋_GB2312" w:eastAsia="仿宋_GB2312" w:cs="仿宋_GB2312"/>
          <w:i w:val="0"/>
          <w:iCs w:val="0"/>
          <w:caps w:val="0"/>
          <w:color w:val="000000"/>
          <w:spacing w:val="0"/>
          <w:sz w:val="31"/>
          <w:szCs w:val="31"/>
          <w:shd w:val="clear" w:fill="FFFFFF"/>
          <w:lang w:val="en-US"/>
        </w:rPr>
        <w:t>1000</w:t>
      </w:r>
      <w:r>
        <w:rPr>
          <w:rFonts w:hint="eastAsia" w:ascii="仿宋_GB2312" w:hAnsi="仿宋_GB2312" w:eastAsia="仿宋_GB2312" w:cs="仿宋_GB2312"/>
          <w:i w:val="0"/>
          <w:iCs w:val="0"/>
          <w:caps w:val="0"/>
          <w:color w:val="000000"/>
          <w:spacing w:val="0"/>
          <w:sz w:val="31"/>
          <w:szCs w:val="31"/>
          <w:shd w:val="clear" w:fill="FFFFFF"/>
        </w:rPr>
        <w:t>亩）</w:t>
      </w:r>
      <w:r>
        <w:rPr>
          <w:rFonts w:hint="eastAsia" w:ascii="仿宋_GB2312" w:hAnsi="仿宋_GB2312" w:eastAsia="仿宋_GB2312" w:cs="仿宋_GB2312"/>
          <w:sz w:val="32"/>
          <w:szCs w:val="32"/>
        </w:rPr>
        <w:t>，</w:t>
      </w:r>
      <w:r>
        <w:rPr>
          <w:rFonts w:ascii="仿宋_GB2312" w:hAnsi="仿宋_GB2312" w:eastAsia="仿宋_GB2312" w:cs="仿宋_GB2312"/>
          <w:i w:val="0"/>
          <w:iCs w:val="0"/>
          <w:caps w:val="0"/>
          <w:color w:val="000000"/>
          <w:spacing w:val="0"/>
          <w:sz w:val="31"/>
          <w:szCs w:val="31"/>
          <w:shd w:val="clear" w:fill="FFFFFF"/>
        </w:rPr>
        <w:t>分北校区、南校区、人民南</w:t>
      </w:r>
      <w:r>
        <w:rPr>
          <w:rFonts w:hint="default" w:ascii="仿宋_GB2312" w:hAnsi="仿宋_GB2312" w:eastAsia="仿宋_GB2312" w:cs="仿宋_GB2312"/>
          <w:i w:val="0"/>
          <w:iCs w:val="0"/>
          <w:caps w:val="0"/>
          <w:color w:val="000000"/>
          <w:spacing w:val="0"/>
          <w:sz w:val="31"/>
          <w:szCs w:val="31"/>
          <w:shd w:val="clear" w:fill="FFFFFF"/>
          <w:lang w:val="en-US"/>
        </w:rPr>
        <w:t>3</w:t>
      </w:r>
      <w:r>
        <w:rPr>
          <w:rFonts w:hint="default" w:ascii="仿宋_GB2312" w:hAnsi="仿宋_GB2312" w:eastAsia="仿宋_GB2312" w:cs="仿宋_GB2312"/>
          <w:i w:val="0"/>
          <w:iCs w:val="0"/>
          <w:caps w:val="0"/>
          <w:color w:val="000000"/>
          <w:spacing w:val="0"/>
          <w:sz w:val="31"/>
          <w:szCs w:val="31"/>
          <w:shd w:val="clear" w:fill="FFFFFF"/>
        </w:rPr>
        <w:t>个校区。</w:t>
      </w:r>
      <w:r>
        <w:rPr>
          <w:rFonts w:hint="eastAsia" w:ascii="仿宋_GB2312" w:hAnsi="仿宋_GB2312" w:eastAsia="仿宋_GB2312" w:cs="仿宋_GB2312"/>
          <w:kern w:val="0"/>
          <w:sz w:val="32"/>
          <w:szCs w:val="32"/>
        </w:rPr>
        <w:t>面向全国招生，现有全日制在校学生</w:t>
      </w:r>
      <w:r>
        <w:rPr>
          <w:rFonts w:hint="eastAsia" w:ascii="仿宋_GB2312" w:hAnsi="仿宋_GB2312" w:eastAsia="仿宋_GB2312" w:cs="仿宋_GB2312"/>
          <w:kern w:val="0"/>
          <w:sz w:val="32"/>
          <w:szCs w:val="32"/>
          <w:lang w:val="en-US" w:eastAsia="zh-CN"/>
        </w:rPr>
        <w:t>近16000</w:t>
      </w:r>
      <w:r>
        <w:rPr>
          <w:rFonts w:hint="eastAsia" w:ascii="仿宋_GB2312" w:hAnsi="仿宋_GB2312" w:eastAsia="仿宋_GB2312" w:cs="仿宋_GB2312"/>
          <w:kern w:val="0"/>
          <w:sz w:val="32"/>
          <w:szCs w:val="32"/>
        </w:rPr>
        <w:t>人</w:t>
      </w:r>
      <w:r>
        <w:rPr>
          <w:rFonts w:hint="default" w:ascii="仿宋_GB2312" w:hAnsi="仿宋_GB2312" w:eastAsia="仿宋_GB2312" w:cs="仿宋_GB2312"/>
          <w:i w:val="0"/>
          <w:iCs w:val="0"/>
          <w:caps w:val="0"/>
          <w:color w:val="333333"/>
          <w:spacing w:val="0"/>
          <w:sz w:val="31"/>
          <w:szCs w:val="31"/>
          <w:shd w:val="clear" w:fill="FFFFFF"/>
        </w:rPr>
        <w:t>。</w:t>
      </w:r>
      <w:r>
        <w:rPr>
          <w:rFonts w:hint="eastAsia" w:ascii="仿宋_GB2312" w:hAnsi="仿宋_GB2312" w:eastAsia="仿宋_GB2312" w:cs="仿宋_GB2312"/>
          <w:color w:val="333333"/>
          <w:sz w:val="32"/>
          <w:szCs w:val="32"/>
        </w:rPr>
        <w:t>学校现设有土木工程系、化学工程系、机电信息系、经济管理系、计算机工程系、人文与传媒系、</w:t>
      </w:r>
      <w:r>
        <w:rPr>
          <w:rFonts w:hint="eastAsia" w:ascii="仿宋_GB2312" w:hAnsi="仿宋_GB2312" w:eastAsia="仿宋_GB2312" w:cs="仿宋_GB2312"/>
          <w:color w:val="333333"/>
          <w:sz w:val="32"/>
          <w:szCs w:val="32"/>
          <w:lang w:val="en-US" w:eastAsia="zh-CN"/>
        </w:rPr>
        <w:t>继续教育学院、马克思主义学院、基础课部</w:t>
      </w:r>
      <w:r>
        <w:rPr>
          <w:rFonts w:hint="eastAsia" w:ascii="仿宋_GB2312" w:hAnsi="仿宋_GB2312" w:eastAsia="仿宋_GB2312" w:cs="仿宋_GB2312"/>
          <w:color w:val="333333"/>
          <w:sz w:val="32"/>
          <w:szCs w:val="32"/>
        </w:rPr>
        <w:t>等</w:t>
      </w:r>
      <w:r>
        <w:rPr>
          <w:rFonts w:hint="eastAsia" w:ascii="仿宋_GB2312" w:hAnsi="仿宋_GB2312" w:eastAsia="仿宋_GB2312" w:cs="仿宋_GB2312"/>
          <w:color w:val="333333"/>
          <w:sz w:val="32"/>
          <w:szCs w:val="32"/>
          <w:lang w:val="en-US" w:eastAsia="zh-CN"/>
        </w:rPr>
        <w:t>9</w:t>
      </w:r>
      <w:r>
        <w:rPr>
          <w:rFonts w:hint="eastAsia" w:ascii="仿宋_GB2312" w:hAnsi="仿宋_GB2312" w:eastAsia="仿宋_GB2312" w:cs="仿宋_GB2312"/>
          <w:color w:val="333333"/>
          <w:sz w:val="32"/>
          <w:szCs w:val="32"/>
        </w:rPr>
        <w:t>个教学</w:t>
      </w:r>
      <w:r>
        <w:rPr>
          <w:rFonts w:hint="eastAsia" w:ascii="仿宋_GB2312" w:hAnsi="仿宋_GB2312" w:eastAsia="仿宋_GB2312" w:cs="仿宋_GB2312"/>
          <w:color w:val="333333"/>
          <w:sz w:val="32"/>
          <w:szCs w:val="32"/>
          <w:lang w:val="en-US" w:eastAsia="zh-CN"/>
        </w:rPr>
        <w:t>院</w:t>
      </w:r>
      <w:r>
        <w:rPr>
          <w:rFonts w:hint="eastAsia" w:ascii="仿宋_GB2312" w:hAnsi="仿宋_GB2312" w:eastAsia="仿宋_GB2312" w:cs="仿宋_GB2312"/>
          <w:color w:val="333333"/>
          <w:sz w:val="32"/>
          <w:szCs w:val="32"/>
        </w:rPr>
        <w:t>系</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lang w:val="en-US" w:eastAsia="zh-CN"/>
        </w:rPr>
        <w:t>部</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rPr>
        <w:t>，开设有建筑工程技术、建筑工程管理、道路桥梁工程技术、供热通风与空调工程技术、石油化工技术、应用化工技术、机械制造与自动化、电气自动化技术、会计电算化、电子商务、旅游管理、计算机应用技术、计算机通讯、社会工作</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lang w:val="en-US" w:eastAsia="zh-CN"/>
        </w:rPr>
        <w:t>人力资源管理</w:t>
      </w:r>
      <w:r>
        <w:rPr>
          <w:rFonts w:hint="eastAsia" w:ascii="仿宋_GB2312" w:hAnsi="仿宋_GB2312" w:eastAsia="仿宋_GB2312" w:cs="仿宋_GB2312"/>
          <w:color w:val="333333"/>
          <w:sz w:val="32"/>
          <w:szCs w:val="32"/>
        </w:rPr>
        <w:t>等</w:t>
      </w:r>
      <w:r>
        <w:rPr>
          <w:rFonts w:hint="eastAsia" w:ascii="仿宋_GB2312" w:hAnsi="仿宋_GB2312" w:eastAsia="仿宋_GB2312" w:cs="仿宋_GB2312"/>
          <w:color w:val="333333"/>
          <w:sz w:val="32"/>
          <w:szCs w:val="32"/>
          <w:lang w:val="en-US" w:eastAsia="zh-CN"/>
        </w:rPr>
        <w:t>46</w:t>
      </w:r>
      <w:r>
        <w:rPr>
          <w:rFonts w:hint="eastAsia" w:ascii="仿宋_GB2312" w:hAnsi="仿宋_GB2312" w:eastAsia="仿宋_GB2312" w:cs="仿宋_GB2312"/>
          <w:color w:val="333333"/>
          <w:sz w:val="32"/>
          <w:szCs w:val="32"/>
        </w:rPr>
        <w:t>个专业。专业结构和布局与广东省和茂名市经济增长点的需求相匹配，形成了“以工学为主，文、理、经济、管理等多学科协调发展”的专业格局。</w:t>
      </w:r>
    </w:p>
    <w:p w14:paraId="055FE780">
      <w:pPr>
        <w:keepNext w:val="0"/>
        <w:keepLines w:val="0"/>
        <w:pageBreakBefore w:val="0"/>
        <w:widowControl/>
        <w:kinsoku/>
        <w:wordWrap/>
        <w:overflowPunct/>
        <w:topLinePunct w:val="0"/>
        <w:autoSpaceDE/>
        <w:autoSpaceDN/>
        <w:bidi w:val="0"/>
        <w:adjustRightInd/>
        <w:snapToGrid/>
        <w:spacing w:line="240" w:lineRule="auto"/>
        <w:ind w:firstLine="608" w:firstLineChars="190"/>
        <w:jc w:val="left"/>
        <w:textAlignment w:val="auto"/>
        <w:rPr>
          <w:rFonts w:hint="eastAsia" w:ascii="仿宋_GB2312" w:hAnsi="仿宋_GB2312" w:eastAsia="仿宋_GB2312" w:cs="仿宋_GB2312"/>
          <w:color w:val="333333"/>
          <w:kern w:val="0"/>
          <w:sz w:val="32"/>
          <w:szCs w:val="32"/>
          <w:lang w:val="en-US" w:eastAsia="zh-CN"/>
        </w:rPr>
      </w:pPr>
      <w:r>
        <w:rPr>
          <w:rFonts w:hint="eastAsia" w:ascii="仿宋_GB2312" w:hAnsi="仿宋_GB2312" w:eastAsia="仿宋_GB2312" w:cs="仿宋_GB2312"/>
          <w:color w:val="333333"/>
          <w:kern w:val="0"/>
          <w:sz w:val="32"/>
          <w:szCs w:val="32"/>
        </w:rPr>
        <w:t>学校紧密结合地方经济社会发展状况，紧密依托行业企业，开展多形式、多途径的校企合作，形成了“对接、合作、共赢”的良好局面，先后与深圳地铁、宝钢</w:t>
      </w:r>
      <w:r>
        <w:rPr>
          <w:rFonts w:hint="eastAsia" w:ascii="仿宋_GB2312" w:hAnsi="仿宋_GB2312" w:eastAsia="仿宋_GB2312" w:cs="仿宋_GB2312"/>
          <w:color w:val="333333"/>
          <w:kern w:val="0"/>
          <w:sz w:val="32"/>
          <w:szCs w:val="32"/>
          <w:lang w:val="en-US" w:eastAsia="zh-CN"/>
        </w:rPr>
        <w:t>湛江</w:t>
      </w:r>
      <w:r>
        <w:rPr>
          <w:rFonts w:hint="eastAsia" w:ascii="仿宋_GB2312" w:hAnsi="仿宋_GB2312" w:eastAsia="仿宋_GB2312" w:cs="仿宋_GB2312"/>
          <w:color w:val="333333"/>
          <w:kern w:val="0"/>
          <w:sz w:val="32"/>
          <w:szCs w:val="32"/>
        </w:rPr>
        <w:t>钢铁、</w:t>
      </w:r>
      <w:r>
        <w:rPr>
          <w:rFonts w:hint="eastAsia" w:ascii="仿宋_GB2312" w:hAnsi="仿宋_GB2312" w:eastAsia="仿宋_GB2312" w:cs="仿宋_GB2312"/>
          <w:color w:val="333333"/>
          <w:kern w:val="0"/>
          <w:sz w:val="32"/>
          <w:szCs w:val="32"/>
          <w:lang w:eastAsia="zh-CN"/>
        </w:rPr>
        <w:t>中兴通讯、</w:t>
      </w:r>
      <w:r>
        <w:rPr>
          <w:rFonts w:hint="eastAsia" w:ascii="仿宋_GB2312" w:hAnsi="仿宋_GB2312" w:eastAsia="仿宋_GB2312" w:cs="仿宋_GB2312"/>
          <w:color w:val="333333"/>
          <w:kern w:val="0"/>
          <w:sz w:val="32"/>
          <w:szCs w:val="32"/>
          <w:lang w:val="en-US" w:eastAsia="zh-CN"/>
        </w:rPr>
        <w:t>中海油</w:t>
      </w:r>
      <w:r>
        <w:rPr>
          <w:rFonts w:hint="eastAsia" w:ascii="仿宋_GB2312" w:hAnsi="仿宋_GB2312" w:eastAsia="仿宋_GB2312" w:cs="仿宋_GB2312"/>
          <w:color w:val="333333"/>
          <w:kern w:val="0"/>
          <w:sz w:val="32"/>
          <w:szCs w:val="32"/>
        </w:rPr>
        <w:t>、中石化、</w:t>
      </w:r>
      <w:r>
        <w:rPr>
          <w:rFonts w:hint="eastAsia" w:ascii="仿宋_GB2312" w:hAnsi="仿宋_GB2312" w:eastAsia="仿宋_GB2312" w:cs="仿宋_GB2312"/>
          <w:color w:val="333333"/>
          <w:kern w:val="0"/>
          <w:sz w:val="32"/>
          <w:szCs w:val="32"/>
          <w:lang w:eastAsia="zh-CN"/>
        </w:rPr>
        <w:t>中科炼化、巴斯夫化工、中广核集团、</w:t>
      </w:r>
      <w:r>
        <w:rPr>
          <w:rFonts w:hint="eastAsia" w:ascii="仿宋_GB2312" w:hAnsi="仿宋_GB2312" w:eastAsia="仿宋_GB2312" w:cs="仿宋_GB2312"/>
          <w:color w:val="333333"/>
          <w:kern w:val="0"/>
          <w:sz w:val="32"/>
          <w:szCs w:val="32"/>
        </w:rPr>
        <w:t>万豪国际</w:t>
      </w: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lang w:val="en-US" w:eastAsia="zh-CN"/>
        </w:rPr>
        <w:t>海天味业</w:t>
      </w:r>
      <w:r>
        <w:rPr>
          <w:rFonts w:hint="eastAsia" w:ascii="仿宋_GB2312" w:hAnsi="仿宋_GB2312" w:eastAsia="仿宋_GB2312" w:cs="仿宋_GB2312"/>
          <w:color w:val="333333"/>
          <w:kern w:val="0"/>
          <w:sz w:val="32"/>
          <w:szCs w:val="32"/>
        </w:rPr>
        <w:t>等多家知名企业或世界500强企业</w:t>
      </w:r>
      <w:r>
        <w:rPr>
          <w:rFonts w:hint="eastAsia" w:ascii="仿宋_GB2312" w:hAnsi="仿宋_GB2312" w:eastAsia="仿宋_GB2312" w:cs="仿宋_GB2312"/>
          <w:color w:val="333333"/>
          <w:kern w:val="0"/>
          <w:sz w:val="32"/>
          <w:szCs w:val="32"/>
          <w:lang w:val="en-US" w:eastAsia="zh-CN"/>
        </w:rPr>
        <w:t>有稳定的合作关系</w:t>
      </w: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rPr>
        <w:t>现有国家级党建工作样板支部1个，省级党建工作标杆院系1个，省级党建工作样板支部1个。成立了“中德化工安全跨区域培训中心”；石油化工技术专业群、建筑工程技术专业群获省级高水平专业群立项，石油化工技术专业、建设工程管理专业通过了IEET(TAC-AD)专业认证。与293家企业共建校外实习实践基地201个，合作开设订单班118个，开设校企合作经典生产实践项目35个；与政府部门、知名企业合作共建产业学院9个。</w:t>
      </w:r>
    </w:p>
    <w:p w14:paraId="352A0461">
      <w:pPr>
        <w:ind w:firstLine="620" w:firstLineChars="200"/>
        <w:rPr>
          <w:rFonts w:hint="eastAsia" w:ascii="仿宋_GB2312" w:hAnsi="仿宋_GB2312" w:eastAsia="仿宋_GB2312" w:cs="仿宋_GB2312"/>
          <w:i w:val="0"/>
          <w:iCs w:val="0"/>
          <w:caps w:val="0"/>
          <w:color w:val="000000"/>
          <w:spacing w:val="0"/>
          <w:sz w:val="31"/>
          <w:szCs w:val="31"/>
          <w:shd w:val="clear" w:fill="FFFFFF"/>
          <w:lang w:val="en-US" w:eastAsia="zh-CN"/>
        </w:rPr>
      </w:pPr>
      <w:r>
        <w:rPr>
          <w:rFonts w:hint="eastAsia" w:ascii="仿宋_GB2312" w:hAnsi="仿宋_GB2312" w:eastAsia="仿宋_GB2312" w:cs="仿宋_GB2312"/>
          <w:i w:val="0"/>
          <w:iCs w:val="0"/>
          <w:caps w:val="0"/>
          <w:color w:val="000000"/>
          <w:spacing w:val="0"/>
          <w:sz w:val="31"/>
          <w:szCs w:val="31"/>
          <w:shd w:val="clear" w:fill="FFFFFF"/>
          <w:lang w:val="en-US" w:eastAsia="zh-CN"/>
        </w:rPr>
        <w:t>学校坚持以习近平新时代中国特色社会主义思想为指导，不忘初心、牢记使命，全面贯彻落实习近平总书记关于教育的重要论述特别是关于职业教育的重要指示批示精神，落实立德树人根本任务，坚持“特色化、集团化、国际化”发展方向,努力把学校建设成为省域高水平高职院校。</w:t>
      </w:r>
    </w:p>
    <w:p w14:paraId="62F5B022">
      <w:pPr>
        <w:ind w:firstLine="620" w:firstLineChars="200"/>
        <w:rPr>
          <w:rFonts w:hint="eastAsia" w:ascii="仿宋_GB2312" w:hAnsi="仿宋_GB2312" w:eastAsia="仿宋_GB2312" w:cs="仿宋_GB2312"/>
          <w:i w:val="0"/>
          <w:iCs w:val="0"/>
          <w:caps w:val="0"/>
          <w:color w:val="000000"/>
          <w:spacing w:val="0"/>
          <w:sz w:val="31"/>
          <w:szCs w:val="31"/>
          <w:shd w:val="clear" w:fill="FFFFFF"/>
          <w:lang w:val="en-US" w:eastAsia="zh-CN"/>
        </w:rPr>
      </w:pPr>
    </w:p>
    <w:p w14:paraId="40A11316">
      <w:pPr>
        <w:ind w:firstLine="620" w:firstLineChars="200"/>
        <w:rPr>
          <w:rFonts w:hint="eastAsia" w:ascii="仿宋_GB2312" w:hAnsi="仿宋_GB2312" w:eastAsia="仿宋_GB2312" w:cs="仿宋_GB2312"/>
          <w:i w:val="0"/>
          <w:iCs w:val="0"/>
          <w:caps w:val="0"/>
          <w:color w:val="000000"/>
          <w:spacing w:val="0"/>
          <w:sz w:val="31"/>
          <w:szCs w:val="31"/>
          <w:shd w:val="clear" w:fill="FFFFFF"/>
          <w:lang w:val="en-US" w:eastAsia="zh-CN"/>
        </w:rPr>
      </w:pPr>
      <w:r>
        <w:rPr>
          <w:rFonts w:hint="eastAsia" w:ascii="仿宋_GB2312" w:hAnsi="仿宋_GB2312" w:eastAsia="仿宋_GB2312" w:cs="仿宋_GB2312"/>
          <w:i w:val="0"/>
          <w:iCs w:val="0"/>
          <w:caps w:val="0"/>
          <w:color w:val="000000"/>
          <w:spacing w:val="0"/>
          <w:sz w:val="31"/>
          <w:szCs w:val="31"/>
          <w:shd w:val="clear" w:fill="FFFFFF"/>
          <w:lang w:val="en-US" w:eastAsia="zh-CN"/>
        </w:rPr>
        <w:t>注：需要了解学院更多咨询可以查询学院相关公众号</w:t>
      </w:r>
    </w:p>
    <w:p w14:paraId="08C4E9F5">
      <w:pPr>
        <w:numPr>
          <w:ilvl w:val="0"/>
          <w:numId w:val="1"/>
        </w:numPr>
        <w:ind w:firstLine="620" w:firstLineChars="200"/>
        <w:rPr>
          <w:rFonts w:hint="eastAsia" w:ascii="仿宋_GB2312" w:hAnsi="仿宋_GB2312" w:eastAsia="仿宋_GB2312" w:cs="仿宋_GB2312"/>
          <w:i w:val="0"/>
          <w:iCs w:val="0"/>
          <w:caps w:val="0"/>
          <w:color w:val="000000"/>
          <w:spacing w:val="0"/>
          <w:sz w:val="31"/>
          <w:szCs w:val="31"/>
          <w:shd w:val="clear" w:fill="FFFFFF"/>
          <w:lang w:val="en-US" w:eastAsia="zh-CN"/>
        </w:rPr>
      </w:pPr>
      <w:r>
        <w:rPr>
          <w:rFonts w:hint="eastAsia" w:ascii="仿宋_GB2312" w:hAnsi="仿宋_GB2312" w:eastAsia="仿宋_GB2312" w:cs="仿宋_GB2312"/>
          <w:i w:val="0"/>
          <w:iCs w:val="0"/>
          <w:caps w:val="0"/>
          <w:color w:val="000000"/>
          <w:spacing w:val="0"/>
          <w:sz w:val="31"/>
          <w:szCs w:val="31"/>
          <w:shd w:val="clear" w:fill="FFFFFF"/>
          <w:lang w:val="en-US" w:eastAsia="zh-CN"/>
        </w:rPr>
        <w:t>茂名职业技术学院（公众号）</w:t>
      </w:r>
    </w:p>
    <w:p w14:paraId="3B7F5962">
      <w:pPr>
        <w:numPr>
          <w:ilvl w:val="0"/>
          <w:numId w:val="1"/>
        </w:numPr>
        <w:ind w:firstLine="620" w:firstLineChars="200"/>
        <w:rPr>
          <w:rFonts w:hint="default" w:ascii="仿宋_GB2312" w:hAnsi="仿宋_GB2312" w:eastAsia="仿宋_GB2312" w:cs="仿宋_GB2312"/>
          <w:i w:val="0"/>
          <w:iCs w:val="0"/>
          <w:caps w:val="0"/>
          <w:color w:val="000000"/>
          <w:spacing w:val="0"/>
          <w:sz w:val="31"/>
          <w:szCs w:val="31"/>
          <w:shd w:val="clear" w:fill="FFFFFF"/>
          <w:lang w:val="en-US" w:eastAsia="zh-CN"/>
        </w:rPr>
      </w:pPr>
      <w:r>
        <w:rPr>
          <w:rFonts w:hint="eastAsia" w:ascii="仿宋_GB2312" w:hAnsi="仿宋_GB2312" w:eastAsia="仿宋_GB2312" w:cs="仿宋_GB2312"/>
          <w:i w:val="0"/>
          <w:iCs w:val="0"/>
          <w:caps w:val="0"/>
          <w:color w:val="000000"/>
          <w:spacing w:val="0"/>
          <w:sz w:val="31"/>
          <w:szCs w:val="31"/>
          <w:shd w:val="clear" w:fill="FFFFFF"/>
          <w:lang w:val="en-US" w:eastAsia="zh-CN"/>
        </w:rPr>
        <w:t>茂名职业技术学院招生（公众号）</w:t>
      </w:r>
      <w:bookmarkStart w:id="0" w:name="_GoBack"/>
      <w:bookmarkEnd w:id="0"/>
    </w:p>
    <w:p w14:paraId="0FC598DD">
      <w:pPr>
        <w:numPr>
          <w:ilvl w:val="0"/>
          <w:numId w:val="1"/>
        </w:numPr>
        <w:ind w:firstLine="620" w:firstLineChars="200"/>
        <w:rPr>
          <w:rFonts w:hint="default" w:ascii="仿宋_GB2312" w:hAnsi="仿宋_GB2312" w:eastAsia="仿宋_GB2312" w:cs="仿宋_GB2312"/>
          <w:i w:val="0"/>
          <w:iCs w:val="0"/>
          <w:caps w:val="0"/>
          <w:color w:val="000000"/>
          <w:spacing w:val="0"/>
          <w:sz w:val="31"/>
          <w:szCs w:val="31"/>
          <w:shd w:val="clear" w:fill="FFFFFF"/>
          <w:lang w:val="en-US" w:eastAsia="zh-CN"/>
        </w:rPr>
      </w:pPr>
      <w:r>
        <w:rPr>
          <w:rFonts w:hint="eastAsia" w:ascii="仿宋_GB2312" w:hAnsi="仿宋_GB2312" w:eastAsia="仿宋_GB2312" w:cs="仿宋_GB2312"/>
          <w:i w:val="0"/>
          <w:iCs w:val="0"/>
          <w:caps w:val="0"/>
          <w:color w:val="000000"/>
          <w:spacing w:val="0"/>
          <w:sz w:val="31"/>
          <w:szCs w:val="31"/>
          <w:shd w:val="clear" w:fill="FFFFFF"/>
          <w:lang w:val="en-US" w:eastAsia="zh-CN"/>
        </w:rPr>
        <w:t>茂职就业（公众号）</w:t>
      </w:r>
    </w:p>
    <w:p w14:paraId="42DF93EC">
      <w:pPr>
        <w:ind w:firstLine="620" w:firstLineChars="200"/>
        <w:rPr>
          <w:rFonts w:hint="default" w:ascii="仿宋_GB2312" w:hAnsi="仿宋_GB2312" w:eastAsia="仿宋_GB2312" w:cs="仿宋_GB2312"/>
          <w:i w:val="0"/>
          <w:iCs w:val="0"/>
          <w:caps w:val="0"/>
          <w:color w:val="000000"/>
          <w:spacing w:val="0"/>
          <w:sz w:val="31"/>
          <w:szCs w:val="31"/>
          <w:shd w:val="clear" w:fill="FFFFFF"/>
          <w:lang w:val="en-US" w:eastAsia="zh-CN"/>
        </w:rPr>
      </w:pPr>
    </w:p>
    <w:p w14:paraId="05F8522F">
      <w:pPr>
        <w:rPr>
          <w:rFonts w:hint="eastAsia" w:ascii="仿宋_GB2312" w:hAnsi="仿宋_GB2312" w:eastAsia="仿宋_GB2312" w:cs="仿宋_GB2312"/>
          <w:i w:val="0"/>
          <w:iCs w:val="0"/>
          <w:caps w:val="0"/>
          <w:color w:val="000000"/>
          <w:spacing w:val="0"/>
          <w:sz w:val="31"/>
          <w:szCs w:val="31"/>
          <w:shd w:val="clear" w:fill="FFFFFF"/>
          <w:lang w:val="en-US" w:eastAsia="zh-CN"/>
        </w:rPr>
      </w:pPr>
    </w:p>
    <w:tbl>
      <w:tblPr>
        <w:tblW w:w="8350" w:type="dxa"/>
        <w:tblInd w:w="8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1838"/>
        <w:gridCol w:w="3912"/>
        <w:gridCol w:w="1037"/>
        <w:gridCol w:w="750"/>
        <w:gridCol w:w="813"/>
      </w:tblGrid>
      <w:tr w14:paraId="0B8D8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8350" w:type="dxa"/>
            <w:gridSpan w:val="5"/>
            <w:tcBorders>
              <w:top w:val="nil"/>
              <w:left w:val="nil"/>
              <w:bottom w:val="nil"/>
              <w:right w:val="nil"/>
            </w:tcBorders>
            <w:shd w:val="clear"/>
            <w:noWrap/>
            <w:vAlign w:val="center"/>
          </w:tcPr>
          <w:p w14:paraId="3573AB07">
            <w:pPr>
              <w:keepNext w:val="0"/>
              <w:keepLines w:val="0"/>
              <w:widowControl/>
              <w:suppressLineNumbers w:val="0"/>
              <w:jc w:val="center"/>
              <w:textAlignment w:val="center"/>
              <w:rPr>
                <w:rFonts w:hint="eastAsia" w:ascii="宋体" w:hAnsi="宋体" w:eastAsia="宋体" w:cs="宋体"/>
                <w:i w:val="0"/>
                <w:iCs w:val="0"/>
                <w:color w:val="000000"/>
                <w:sz w:val="36"/>
                <w:szCs w:val="36"/>
                <w:u w:val="none"/>
              </w:rPr>
            </w:pPr>
            <w:r>
              <w:rPr>
                <w:rFonts w:hint="eastAsia" w:ascii="宋体" w:hAnsi="宋体" w:eastAsia="宋体" w:cs="宋体"/>
                <w:i w:val="0"/>
                <w:iCs w:val="0"/>
                <w:color w:val="000000"/>
                <w:kern w:val="0"/>
                <w:sz w:val="36"/>
                <w:szCs w:val="36"/>
                <w:u w:val="none"/>
                <w:bdr w:val="none" w:color="auto" w:sz="0" w:space="0"/>
                <w:lang w:val="en-US" w:eastAsia="zh-CN" w:bidi="ar"/>
              </w:rPr>
              <w:t>茂名职业技术学院2027届毕业生资源信息表</w:t>
            </w:r>
          </w:p>
        </w:tc>
      </w:tr>
      <w:tr w14:paraId="67FAB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34CE875C">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系名称</w:t>
            </w:r>
          </w:p>
        </w:tc>
        <w:tc>
          <w:tcPr>
            <w:tcW w:w="3912" w:type="dxa"/>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4B1A8E31">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专业名称</w:t>
            </w:r>
          </w:p>
        </w:tc>
        <w:tc>
          <w:tcPr>
            <w:tcW w:w="1037" w:type="dxa"/>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60D13132">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男</w:t>
            </w:r>
          </w:p>
        </w:tc>
        <w:tc>
          <w:tcPr>
            <w:tcW w:w="750" w:type="dxa"/>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7E38706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女</w:t>
            </w:r>
          </w:p>
        </w:tc>
        <w:tc>
          <w:tcPr>
            <w:tcW w:w="813" w:type="dxa"/>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0DC80A9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合计</w:t>
            </w:r>
          </w:p>
        </w:tc>
      </w:tr>
      <w:tr w14:paraId="78DCA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41C8114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土木工程系</w:t>
            </w: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7221B84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道路与桥梁工程技术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79BD93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104</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13BD259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011DE9C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111</w:t>
            </w:r>
          </w:p>
        </w:tc>
      </w:tr>
      <w:tr w14:paraId="6A4AF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0FB61C79">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15B7EC7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工程造价</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199F507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75</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352E28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39</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2CD6CF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114</w:t>
            </w:r>
          </w:p>
        </w:tc>
      </w:tr>
      <w:tr w14:paraId="0E7AE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1F915CF0">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27731A0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供热通风与空调工程技术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5F396BC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41</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3E35A8A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120BC94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44</w:t>
            </w:r>
          </w:p>
        </w:tc>
      </w:tr>
      <w:tr w14:paraId="59593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31413CF">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68B9BFE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建设工程管理</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5003DA5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79</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47C662E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49</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25796DD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128</w:t>
            </w:r>
          </w:p>
        </w:tc>
      </w:tr>
      <w:tr w14:paraId="41D7F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7907E477">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25BD515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建筑工程技术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36DCA56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123</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01905C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27</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24A1038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150</w:t>
            </w:r>
          </w:p>
        </w:tc>
      </w:tr>
      <w:tr w14:paraId="4D3C6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676AB0E4">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48100A8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建筑设计</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2AC6B70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96</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41F1DD1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62</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5A3B9BB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158</w:t>
            </w:r>
          </w:p>
        </w:tc>
      </w:tr>
      <w:tr w14:paraId="34B59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0A0E91B2">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698C409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建筑室内设计</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054CB43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66</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5954B3B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98</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2F0E5EC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164</w:t>
            </w:r>
          </w:p>
        </w:tc>
      </w:tr>
      <w:tr w14:paraId="5B48F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28923FA">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21317DC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智能建造技术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25ACEDB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55</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5200BA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71862CD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59</w:t>
            </w:r>
          </w:p>
        </w:tc>
      </w:tr>
      <w:tr w14:paraId="17CB4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4B79B696">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3A3791B9">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小计</w:t>
            </w:r>
          </w:p>
        </w:tc>
        <w:tc>
          <w:tcPr>
            <w:tcW w:w="1037"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595265D5">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639</w:t>
            </w:r>
          </w:p>
        </w:tc>
        <w:tc>
          <w:tcPr>
            <w:tcW w:w="750"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558A7FDE">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289</w:t>
            </w:r>
          </w:p>
        </w:tc>
        <w:tc>
          <w:tcPr>
            <w:tcW w:w="813"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5AA7E56B">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928</w:t>
            </w:r>
          </w:p>
        </w:tc>
      </w:tr>
      <w:tr w14:paraId="3C7D4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55CA09F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化学工程系</w:t>
            </w: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1013C4E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分析检验技术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752C724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21</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2D147B2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16</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2FBBA9B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37</w:t>
            </w:r>
          </w:p>
        </w:tc>
      </w:tr>
      <w:tr w14:paraId="792F1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4C05C02">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5A2A007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化妆品技术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5427C98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19</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12A88C7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89</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72C0E40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108</w:t>
            </w:r>
          </w:p>
        </w:tc>
      </w:tr>
      <w:tr w14:paraId="067EE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7E7E1390">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6FFEB5A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石油化工技术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3D20AEC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207</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65F5F98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81</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3CA3629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288</w:t>
            </w:r>
          </w:p>
        </w:tc>
      </w:tr>
      <w:tr w14:paraId="64C03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7E6C3682">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63FDE2D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食品检验检测技术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4DED906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26</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6323821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70</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0BA92B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96</w:t>
            </w:r>
          </w:p>
        </w:tc>
      </w:tr>
      <w:tr w14:paraId="3E1D1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60538134">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627F1F4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食品质量与安全</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029554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74B191A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54</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4FCA24D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72</w:t>
            </w:r>
          </w:p>
        </w:tc>
      </w:tr>
      <w:tr w14:paraId="5BF92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44204514">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6C1F804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食品智能加工技术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21732B7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36</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512E79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19</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5E7540E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55</w:t>
            </w:r>
          </w:p>
        </w:tc>
      </w:tr>
      <w:tr w14:paraId="631EF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00F237CC">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7EA89DF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应用化工技术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53F225D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52</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40BD4A8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11A8A6A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70</w:t>
            </w:r>
          </w:p>
        </w:tc>
      </w:tr>
      <w:tr w14:paraId="2C6E5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159FDEDE">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07452E4F">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小计</w:t>
            </w:r>
          </w:p>
        </w:tc>
        <w:tc>
          <w:tcPr>
            <w:tcW w:w="1037"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49F31147">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379</w:t>
            </w:r>
          </w:p>
        </w:tc>
        <w:tc>
          <w:tcPr>
            <w:tcW w:w="750"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61C593AA">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347</w:t>
            </w:r>
          </w:p>
        </w:tc>
        <w:tc>
          <w:tcPr>
            <w:tcW w:w="813"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7C9AB933">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726</w:t>
            </w:r>
          </w:p>
        </w:tc>
      </w:tr>
      <w:tr w14:paraId="6AB58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706CA1F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机电信息系</w:t>
            </w: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4C6CD9E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电气自动化技术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091758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351</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1ED35AA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33</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3FA8DD0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384</w:t>
            </w:r>
          </w:p>
        </w:tc>
      </w:tr>
      <w:tr w14:paraId="23BE6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35DDB046">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5BF6EA9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电梯工程技术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1E7EF8E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80</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28D182D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1CFCCC1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82</w:t>
            </w:r>
          </w:p>
        </w:tc>
      </w:tr>
      <w:tr w14:paraId="4A21C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35FE64EE">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72EA789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工业机器人技术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66A9B42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57</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6DF252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77186FF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61</w:t>
            </w:r>
          </w:p>
        </w:tc>
      </w:tr>
      <w:tr w14:paraId="50F45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4C8C19E2">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36BA396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机械制造及自动化</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403C26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89</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49CE11C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177E3E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94</w:t>
            </w:r>
          </w:p>
        </w:tc>
      </w:tr>
      <w:tr w14:paraId="54D13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7A43B7EB">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1EA2947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模具设计与制造</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6C70E51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58</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6EA7325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2E1BDE5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73</w:t>
            </w:r>
          </w:p>
        </w:tc>
      </w:tr>
      <w:tr w14:paraId="1D16D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6E9B9AD1">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73897A8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汽车检测与维修技术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388AA3A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46</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6C69AFC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7EFBAAD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46</w:t>
            </w:r>
          </w:p>
        </w:tc>
      </w:tr>
      <w:tr w14:paraId="1249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46369434">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5C3632A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人工智能技术应用</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4BC30E3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74</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77FB3B4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20</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0C374BE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94</w:t>
            </w:r>
          </w:p>
        </w:tc>
      </w:tr>
      <w:tr w14:paraId="76B37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39984B6">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751551A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数控技术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0A8865D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78</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2E0D7E0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1FC759D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84</w:t>
            </w:r>
          </w:p>
        </w:tc>
      </w:tr>
      <w:tr w14:paraId="43D72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6F59F38C">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59C2FE2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新能源汽车检测与维修技术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09C970E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87</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23C5F2D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10BC7FE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93</w:t>
            </w:r>
          </w:p>
        </w:tc>
      </w:tr>
      <w:tr w14:paraId="226B5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54AFD5B">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652602C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汽车制造与试验技术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7208AE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610DD4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0</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565007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r>
      <w:tr w14:paraId="4B29C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2B653896">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7A67D045">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小计</w:t>
            </w:r>
          </w:p>
        </w:tc>
        <w:tc>
          <w:tcPr>
            <w:tcW w:w="1037"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28662014">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921</w:t>
            </w:r>
          </w:p>
        </w:tc>
        <w:tc>
          <w:tcPr>
            <w:tcW w:w="750"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6668D419">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91</w:t>
            </w:r>
          </w:p>
        </w:tc>
        <w:tc>
          <w:tcPr>
            <w:tcW w:w="813"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34C9E5CE">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1012</w:t>
            </w:r>
          </w:p>
        </w:tc>
      </w:tr>
      <w:tr w14:paraId="12788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56A0B94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计算机工程系</w:t>
            </w: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5CFEA30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计算机网络技术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4AA8103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86</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6A3348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46</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534D9DF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132</w:t>
            </w:r>
          </w:p>
        </w:tc>
      </w:tr>
      <w:tr w14:paraId="4F5AB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6CB62AA2">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74FC745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计算机应用技术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2B9A5DE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148</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047A986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37</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3A37634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185</w:t>
            </w:r>
          </w:p>
        </w:tc>
      </w:tr>
      <w:tr w14:paraId="4AF8C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70B92D9F">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6323626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软件技术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2A047DA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87</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5C6AC96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28</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5D08CC2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115</w:t>
            </w:r>
          </w:p>
        </w:tc>
      </w:tr>
      <w:tr w14:paraId="775AD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1660D1D0">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4B7CD26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数字媒体技术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2A1171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87</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4AFF8D0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170</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1A77EBB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257</w:t>
            </w:r>
          </w:p>
        </w:tc>
      </w:tr>
      <w:tr w14:paraId="41DE6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08F81608">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04B4A0C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现代通信技术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04847BF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43</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1B9D102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25</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4EDD46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68</w:t>
            </w:r>
          </w:p>
        </w:tc>
      </w:tr>
      <w:tr w14:paraId="008B3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B8A3A22">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1286228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智能互联网络技术</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2514FF3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43</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34EE891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16</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1B530BD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59</w:t>
            </w:r>
          </w:p>
        </w:tc>
      </w:tr>
      <w:tr w14:paraId="5DB86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1055A203">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60CF46D5">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小计</w:t>
            </w:r>
          </w:p>
        </w:tc>
        <w:tc>
          <w:tcPr>
            <w:tcW w:w="1037"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430B273B">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494</w:t>
            </w:r>
          </w:p>
        </w:tc>
        <w:tc>
          <w:tcPr>
            <w:tcW w:w="750"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23544D2C">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322</w:t>
            </w:r>
          </w:p>
        </w:tc>
        <w:tc>
          <w:tcPr>
            <w:tcW w:w="813"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679CCC18">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816</w:t>
            </w:r>
          </w:p>
        </w:tc>
      </w:tr>
      <w:tr w14:paraId="717A8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66F8E81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经济管理系</w:t>
            </w: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02F9147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财税大数据应用</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433A31D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24</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270B595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39</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549CE34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63</w:t>
            </w:r>
          </w:p>
        </w:tc>
      </w:tr>
      <w:tr w14:paraId="5A373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37D83F34">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1827C51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大数据与财务管理</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43F2F10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31</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70AACF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72</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05152D6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103</w:t>
            </w:r>
          </w:p>
        </w:tc>
      </w:tr>
      <w:tr w14:paraId="2F9E7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0CB4D565">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5DC56AA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大数据与会计</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7B06594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36</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161087C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263</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5C706B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299</w:t>
            </w:r>
          </w:p>
        </w:tc>
      </w:tr>
      <w:tr w14:paraId="2C41A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7008B186">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7BFDF34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电子商务</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77B7877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115</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43E98C8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149</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6D9F3BE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264</w:t>
            </w:r>
          </w:p>
        </w:tc>
      </w:tr>
      <w:tr w14:paraId="30260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608C5004">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795C83D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国际经济与贸易</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70B082F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7802486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39</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455D252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56</w:t>
            </w:r>
          </w:p>
        </w:tc>
      </w:tr>
      <w:tr w14:paraId="13505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627BD174">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6AC8F36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酒店管理与数字化运营</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0D8CA2D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19</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303AB9D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31</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7953B78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50</w:t>
            </w:r>
          </w:p>
        </w:tc>
      </w:tr>
      <w:tr w14:paraId="221C8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164C75E">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7E4D3C8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旅游管理</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1708DE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13</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562AF73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30</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1E78915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43</w:t>
            </w:r>
          </w:p>
        </w:tc>
      </w:tr>
      <w:tr w14:paraId="2A918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3025B898">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726E5C6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商务英语</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7902CEA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14</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2F4E6CA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80</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7EF56C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94</w:t>
            </w:r>
          </w:p>
        </w:tc>
      </w:tr>
      <w:tr w14:paraId="0EFA6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7DF948AA">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723AA49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市场营销</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71179E0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22</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159C957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32</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3A62778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54</w:t>
            </w:r>
          </w:p>
        </w:tc>
      </w:tr>
      <w:tr w14:paraId="43053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3F188FDE">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3264FA5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现代物流管理</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68930EC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53</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092C15C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91</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12D8A7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144</w:t>
            </w:r>
          </w:p>
        </w:tc>
      </w:tr>
      <w:tr w14:paraId="45EC4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631F56F4">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71932A9E">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小计</w:t>
            </w:r>
          </w:p>
        </w:tc>
        <w:tc>
          <w:tcPr>
            <w:tcW w:w="1037"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214B6375">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344</w:t>
            </w:r>
          </w:p>
        </w:tc>
        <w:tc>
          <w:tcPr>
            <w:tcW w:w="750"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5C220A1C">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826</w:t>
            </w:r>
          </w:p>
        </w:tc>
        <w:tc>
          <w:tcPr>
            <w:tcW w:w="813"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79B5FF79">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1170</w:t>
            </w:r>
          </w:p>
        </w:tc>
      </w:tr>
      <w:tr w14:paraId="53918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1BAA4D0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人文与传媒系</w:t>
            </w: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07E9C42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传播与策划</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34E75CB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28</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5C6F3CB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176</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540A137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204</w:t>
            </w:r>
          </w:p>
        </w:tc>
      </w:tr>
      <w:tr w14:paraId="40B47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7197077E">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5D7194A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人力资源管理</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29EB96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24</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06B364A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63</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414A734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87</w:t>
            </w:r>
          </w:p>
        </w:tc>
      </w:tr>
      <w:tr w14:paraId="41BD0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067783DA">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noWrap/>
            <w:vAlign w:val="center"/>
          </w:tcPr>
          <w:p w14:paraId="5BF71D6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社会工作</w:t>
            </w:r>
          </w:p>
        </w:tc>
        <w:tc>
          <w:tcPr>
            <w:tcW w:w="1037" w:type="dxa"/>
            <w:tcBorders>
              <w:top w:val="single" w:color="000000" w:sz="4" w:space="0"/>
              <w:left w:val="single" w:color="000000" w:sz="4" w:space="0"/>
              <w:bottom w:val="single" w:color="000000" w:sz="4" w:space="0"/>
              <w:right w:val="single" w:color="000000" w:sz="4" w:space="0"/>
            </w:tcBorders>
            <w:shd w:val="clear"/>
            <w:noWrap/>
            <w:vAlign w:val="center"/>
          </w:tcPr>
          <w:p w14:paraId="024AEE8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25</w:t>
            </w:r>
          </w:p>
        </w:tc>
        <w:tc>
          <w:tcPr>
            <w:tcW w:w="750" w:type="dxa"/>
            <w:tcBorders>
              <w:top w:val="single" w:color="000000" w:sz="4" w:space="0"/>
              <w:left w:val="single" w:color="000000" w:sz="4" w:space="0"/>
              <w:bottom w:val="single" w:color="000000" w:sz="4" w:space="0"/>
              <w:right w:val="single" w:color="000000" w:sz="4" w:space="0"/>
            </w:tcBorders>
            <w:shd w:val="clear"/>
            <w:noWrap/>
            <w:vAlign w:val="center"/>
          </w:tcPr>
          <w:p w14:paraId="49E689F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59</w:t>
            </w:r>
          </w:p>
        </w:tc>
        <w:tc>
          <w:tcPr>
            <w:tcW w:w="813" w:type="dxa"/>
            <w:tcBorders>
              <w:top w:val="single" w:color="000000" w:sz="4" w:space="0"/>
              <w:left w:val="single" w:color="000000" w:sz="4" w:space="0"/>
              <w:bottom w:val="single" w:color="000000" w:sz="4" w:space="0"/>
              <w:right w:val="single" w:color="000000" w:sz="4" w:space="0"/>
            </w:tcBorders>
            <w:shd w:val="clear"/>
            <w:noWrap/>
            <w:vAlign w:val="center"/>
          </w:tcPr>
          <w:p w14:paraId="37CF5F9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84</w:t>
            </w:r>
          </w:p>
        </w:tc>
      </w:tr>
      <w:tr w14:paraId="562F3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8"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59A52AC">
            <w:pPr>
              <w:jc w:val="center"/>
              <w:rPr>
                <w:rFonts w:hint="eastAsia" w:ascii="仿宋" w:hAnsi="仿宋" w:eastAsia="仿宋" w:cs="仿宋"/>
                <w:b/>
                <w:bCs/>
                <w:i w:val="0"/>
                <w:iCs w:val="0"/>
                <w:color w:val="000000"/>
                <w:sz w:val="24"/>
                <w:szCs w:val="24"/>
                <w:u w:val="none"/>
              </w:rPr>
            </w:pPr>
          </w:p>
        </w:tc>
        <w:tc>
          <w:tcPr>
            <w:tcW w:w="3912"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473D9687">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小计</w:t>
            </w:r>
          </w:p>
        </w:tc>
        <w:tc>
          <w:tcPr>
            <w:tcW w:w="1037"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33922B88">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77</w:t>
            </w:r>
          </w:p>
        </w:tc>
        <w:tc>
          <w:tcPr>
            <w:tcW w:w="750"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638887FC">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298</w:t>
            </w:r>
          </w:p>
        </w:tc>
        <w:tc>
          <w:tcPr>
            <w:tcW w:w="813" w:type="dxa"/>
            <w:tcBorders>
              <w:top w:val="single" w:color="000000" w:sz="4" w:space="0"/>
              <w:left w:val="single" w:color="000000" w:sz="4" w:space="0"/>
              <w:bottom w:val="single" w:color="000000" w:sz="4" w:space="0"/>
              <w:right w:val="single" w:color="000000" w:sz="4" w:space="0"/>
            </w:tcBorders>
            <w:shd w:val="clear" w:color="auto" w:fill="E3F2D9"/>
            <w:noWrap/>
            <w:vAlign w:val="center"/>
          </w:tcPr>
          <w:p w14:paraId="2159D8AB">
            <w:pPr>
              <w:keepNext w:val="0"/>
              <w:keepLines w:val="0"/>
              <w:widowControl/>
              <w:suppressLineNumbers w:val="0"/>
              <w:jc w:val="center"/>
              <w:textAlignment w:val="center"/>
              <w:rPr>
                <w:rFonts w:hint="eastAsia" w:ascii="仿宋" w:hAnsi="仿宋" w:eastAsia="仿宋" w:cs="仿宋"/>
                <w:b/>
                <w:bCs/>
                <w:i w:val="0"/>
                <w:iCs w:val="0"/>
                <w:color w:val="2D529F"/>
                <w:sz w:val="24"/>
                <w:szCs w:val="24"/>
                <w:u w:val="none"/>
              </w:rPr>
            </w:pPr>
            <w:r>
              <w:rPr>
                <w:rFonts w:hint="eastAsia" w:ascii="仿宋" w:hAnsi="仿宋" w:eastAsia="仿宋" w:cs="仿宋"/>
                <w:b/>
                <w:bCs/>
                <w:i w:val="0"/>
                <w:iCs w:val="0"/>
                <w:color w:val="2D529F"/>
                <w:kern w:val="0"/>
                <w:sz w:val="24"/>
                <w:szCs w:val="24"/>
                <w:u w:val="none"/>
                <w:bdr w:val="none" w:color="auto" w:sz="0" w:space="0"/>
                <w:lang w:val="en-US" w:eastAsia="zh-CN" w:bidi="ar"/>
              </w:rPr>
              <w:t>375</w:t>
            </w:r>
          </w:p>
        </w:tc>
      </w:tr>
      <w:tr w14:paraId="5F5EE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50" w:type="dxa"/>
            <w:gridSpan w:val="2"/>
            <w:tcBorders>
              <w:top w:val="single" w:color="000000" w:sz="4" w:space="0"/>
              <w:left w:val="single" w:color="000000" w:sz="4" w:space="0"/>
              <w:bottom w:val="single" w:color="000000" w:sz="4" w:space="0"/>
              <w:right w:val="single" w:color="000000" w:sz="4" w:space="0"/>
            </w:tcBorders>
            <w:shd w:val="clear" w:color="auto" w:fill="FCE4D3"/>
            <w:noWrap/>
            <w:vAlign w:val="center"/>
          </w:tcPr>
          <w:p w14:paraId="09B9E2CA">
            <w:pPr>
              <w:keepNext w:val="0"/>
              <w:keepLines w:val="0"/>
              <w:widowControl/>
              <w:suppressLineNumbers w:val="0"/>
              <w:jc w:val="center"/>
              <w:textAlignment w:val="center"/>
              <w:rPr>
                <w:rFonts w:hint="eastAsia" w:ascii="仿宋" w:hAnsi="仿宋" w:eastAsia="仿宋" w:cs="仿宋"/>
                <w:b/>
                <w:bCs/>
                <w:i w:val="0"/>
                <w:iCs w:val="0"/>
                <w:color w:val="FF0000"/>
                <w:sz w:val="24"/>
                <w:szCs w:val="24"/>
                <w:u w:val="none"/>
              </w:rPr>
            </w:pPr>
            <w:r>
              <w:rPr>
                <w:rFonts w:hint="eastAsia" w:ascii="仿宋" w:hAnsi="仿宋" w:eastAsia="仿宋" w:cs="仿宋"/>
                <w:b/>
                <w:bCs/>
                <w:i w:val="0"/>
                <w:iCs w:val="0"/>
                <w:color w:val="FF0000"/>
                <w:kern w:val="0"/>
                <w:sz w:val="24"/>
                <w:szCs w:val="24"/>
                <w:u w:val="none"/>
                <w:bdr w:val="none" w:color="auto" w:sz="0" w:space="0"/>
                <w:lang w:val="en-US" w:eastAsia="zh-CN" w:bidi="ar"/>
              </w:rPr>
              <w:t>总计</w:t>
            </w:r>
          </w:p>
        </w:tc>
        <w:tc>
          <w:tcPr>
            <w:tcW w:w="1037" w:type="dxa"/>
            <w:tcBorders>
              <w:top w:val="single" w:color="000000" w:sz="4" w:space="0"/>
              <w:left w:val="single" w:color="000000" w:sz="4" w:space="0"/>
              <w:bottom w:val="single" w:color="000000" w:sz="4" w:space="0"/>
              <w:right w:val="single" w:color="000000" w:sz="4" w:space="0"/>
            </w:tcBorders>
            <w:shd w:val="clear" w:color="auto" w:fill="FCE4D3"/>
            <w:noWrap/>
            <w:vAlign w:val="center"/>
          </w:tcPr>
          <w:p w14:paraId="31CE4993">
            <w:pPr>
              <w:keepNext w:val="0"/>
              <w:keepLines w:val="0"/>
              <w:widowControl/>
              <w:suppressLineNumbers w:val="0"/>
              <w:jc w:val="center"/>
              <w:textAlignment w:val="center"/>
              <w:rPr>
                <w:rFonts w:hint="eastAsia" w:ascii="仿宋" w:hAnsi="仿宋" w:eastAsia="仿宋" w:cs="仿宋"/>
                <w:b/>
                <w:bCs/>
                <w:i w:val="0"/>
                <w:iCs w:val="0"/>
                <w:color w:val="FF0000"/>
                <w:sz w:val="24"/>
                <w:szCs w:val="24"/>
                <w:u w:val="none"/>
              </w:rPr>
            </w:pPr>
            <w:r>
              <w:rPr>
                <w:rFonts w:hint="eastAsia" w:ascii="仿宋" w:hAnsi="仿宋" w:eastAsia="仿宋" w:cs="仿宋"/>
                <w:b/>
                <w:bCs/>
                <w:i w:val="0"/>
                <w:iCs w:val="0"/>
                <w:color w:val="FF0000"/>
                <w:kern w:val="0"/>
                <w:sz w:val="24"/>
                <w:szCs w:val="24"/>
                <w:u w:val="none"/>
                <w:bdr w:val="none" w:color="auto" w:sz="0" w:space="0"/>
                <w:lang w:val="en-US" w:eastAsia="zh-CN" w:bidi="ar"/>
              </w:rPr>
              <w:t>2854</w:t>
            </w:r>
          </w:p>
        </w:tc>
        <w:tc>
          <w:tcPr>
            <w:tcW w:w="750" w:type="dxa"/>
            <w:tcBorders>
              <w:top w:val="single" w:color="000000" w:sz="4" w:space="0"/>
              <w:left w:val="single" w:color="000000" w:sz="4" w:space="0"/>
              <w:bottom w:val="single" w:color="000000" w:sz="4" w:space="0"/>
              <w:right w:val="single" w:color="000000" w:sz="4" w:space="0"/>
            </w:tcBorders>
            <w:shd w:val="clear" w:color="auto" w:fill="FCE4D3"/>
            <w:noWrap/>
            <w:vAlign w:val="center"/>
          </w:tcPr>
          <w:p w14:paraId="1E463712">
            <w:pPr>
              <w:keepNext w:val="0"/>
              <w:keepLines w:val="0"/>
              <w:widowControl/>
              <w:suppressLineNumbers w:val="0"/>
              <w:jc w:val="center"/>
              <w:textAlignment w:val="center"/>
              <w:rPr>
                <w:rFonts w:hint="eastAsia" w:ascii="仿宋" w:hAnsi="仿宋" w:eastAsia="仿宋" w:cs="仿宋"/>
                <w:b/>
                <w:bCs/>
                <w:i w:val="0"/>
                <w:iCs w:val="0"/>
                <w:color w:val="FF0000"/>
                <w:sz w:val="24"/>
                <w:szCs w:val="24"/>
                <w:u w:val="none"/>
              </w:rPr>
            </w:pPr>
            <w:r>
              <w:rPr>
                <w:rFonts w:hint="eastAsia" w:ascii="仿宋" w:hAnsi="仿宋" w:eastAsia="仿宋" w:cs="仿宋"/>
                <w:b/>
                <w:bCs/>
                <w:i w:val="0"/>
                <w:iCs w:val="0"/>
                <w:color w:val="FF0000"/>
                <w:kern w:val="0"/>
                <w:sz w:val="24"/>
                <w:szCs w:val="24"/>
                <w:u w:val="none"/>
                <w:bdr w:val="none" w:color="auto" w:sz="0" w:space="0"/>
                <w:lang w:val="en-US" w:eastAsia="zh-CN" w:bidi="ar"/>
              </w:rPr>
              <w:t>2173</w:t>
            </w:r>
          </w:p>
        </w:tc>
        <w:tc>
          <w:tcPr>
            <w:tcW w:w="813" w:type="dxa"/>
            <w:tcBorders>
              <w:top w:val="single" w:color="000000" w:sz="4" w:space="0"/>
              <w:left w:val="single" w:color="000000" w:sz="4" w:space="0"/>
              <w:bottom w:val="single" w:color="000000" w:sz="4" w:space="0"/>
              <w:right w:val="single" w:color="000000" w:sz="4" w:space="0"/>
            </w:tcBorders>
            <w:shd w:val="clear" w:color="auto" w:fill="FCE4D3"/>
            <w:noWrap/>
            <w:vAlign w:val="center"/>
          </w:tcPr>
          <w:p w14:paraId="4FF52C6C">
            <w:pPr>
              <w:keepNext w:val="0"/>
              <w:keepLines w:val="0"/>
              <w:widowControl/>
              <w:suppressLineNumbers w:val="0"/>
              <w:jc w:val="center"/>
              <w:textAlignment w:val="center"/>
              <w:rPr>
                <w:rFonts w:hint="eastAsia" w:ascii="仿宋" w:hAnsi="仿宋" w:eastAsia="仿宋" w:cs="仿宋"/>
                <w:b/>
                <w:bCs/>
                <w:i w:val="0"/>
                <w:iCs w:val="0"/>
                <w:color w:val="FF0000"/>
                <w:sz w:val="24"/>
                <w:szCs w:val="24"/>
                <w:u w:val="none"/>
              </w:rPr>
            </w:pPr>
            <w:r>
              <w:rPr>
                <w:rFonts w:hint="eastAsia" w:ascii="仿宋" w:hAnsi="仿宋" w:eastAsia="仿宋" w:cs="仿宋"/>
                <w:b/>
                <w:bCs/>
                <w:i w:val="0"/>
                <w:iCs w:val="0"/>
                <w:color w:val="FF0000"/>
                <w:kern w:val="0"/>
                <w:sz w:val="24"/>
                <w:szCs w:val="24"/>
                <w:u w:val="none"/>
                <w:bdr w:val="none" w:color="auto" w:sz="0" w:space="0"/>
                <w:lang w:val="en-US" w:eastAsia="zh-CN" w:bidi="ar"/>
              </w:rPr>
              <w:t>5027</w:t>
            </w:r>
          </w:p>
        </w:tc>
      </w:tr>
    </w:tbl>
    <w:p w14:paraId="4D267B75">
      <w:pPr>
        <w:rPr>
          <w:rFonts w:hint="eastAsia" w:ascii="仿宋_GB2312" w:hAnsi="仿宋_GB2312" w:eastAsia="仿宋_GB2312" w:cs="仿宋_GB2312"/>
          <w:i w:val="0"/>
          <w:iCs w:val="0"/>
          <w:caps w:val="0"/>
          <w:color w:val="000000"/>
          <w:spacing w:val="0"/>
          <w:sz w:val="31"/>
          <w:szCs w:val="31"/>
          <w:shd w:val="clear" w:fill="FFFFFF"/>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0CB7D">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6FF6B">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14280">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7B2C5">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59DCE">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0A779">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20E403"/>
    <w:multiLevelType w:val="singleLevel"/>
    <w:tmpl w:val="6720E40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0Yzg0YmI1NTQ1OTEyYTZjYTlkMThlYWQzMjliOTYifQ=="/>
  </w:docVars>
  <w:rsids>
    <w:rsidRoot w:val="2CDC3B13"/>
    <w:rsid w:val="0F906C15"/>
    <w:rsid w:val="2CDC3B13"/>
    <w:rsid w:val="60BC54CD"/>
    <w:rsid w:val="743A2694"/>
    <w:rsid w:val="77290C14"/>
    <w:rsid w:val="77912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after="15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914</Words>
  <Characters>945</Characters>
  <Lines>0</Lines>
  <Paragraphs>0</Paragraphs>
  <TotalTime>61</TotalTime>
  <ScaleCrop>false</ScaleCrop>
  <LinksUpToDate>false</LinksUpToDate>
  <CharactersWithSpaces>948</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2022-09-20T10:11:00Z</dcterms:created>
  <dc:creator>Ken</dc:creator>
  <cp:lastModifiedBy>Administrator</cp:lastModifiedBy>
  <dcterms:modified xsi:type="dcterms:W3CDTF">2026-07-15T08:41:22Z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B728F55CE8024CFEAF1FCEE3F5277B52_13</vt:lpwstr>
  </property>
  <property fmtid="{D5CDD505-2E9C-101B-9397-08002B2CF9AE}" pid="4" name="KSOTemplateDocerSaveRecord">
    <vt:lpwstr>eyJoZGlkIjoiNTUyMzgzZGQzNWU2NmU2NDNhZjdmNWU5ODE0MWU0MWEiLCJ1c2VySWQiOiIyNzk4NDU4NTgifQ==</vt:lpwstr>
  </property>
</Properties>
</file>