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topLinePunct w:val="0"/>
        <w:autoSpaceDE w:val="0"/>
        <w:autoSpaceDN/>
        <w:bidi w:val="0"/>
        <w:adjustRightInd w:val="0"/>
        <w:snapToGrid w:val="0"/>
        <w:spacing w:line="580" w:lineRule="exact"/>
        <w:jc w:val="left"/>
        <w:textAlignment w:val="auto"/>
        <w:rPr>
          <w:rFonts w:hint="eastAsia" w:ascii="Times New Roman" w:hAnsi="Times New Roman" w:eastAsia="仿宋_GB2312" w:cs="Times New Roman"/>
          <w:b w:val="0"/>
          <w:bCs w:val="0"/>
          <w:color w:val="auto"/>
          <w:kern w:val="0"/>
          <w:sz w:val="32"/>
          <w:szCs w:val="32"/>
          <w:highlight w:val="none"/>
          <w:lang w:val="en-US" w:eastAsia="zh-CN" w:bidi="ar"/>
        </w:rPr>
      </w:pPr>
      <w:r>
        <w:rPr>
          <w:rFonts w:hint="default" w:ascii="Times New Roman" w:hAnsi="Times New Roman" w:eastAsia="仿宋_GB2312" w:cs="Times New Roman"/>
          <w:b w:val="0"/>
          <w:bCs w:val="0"/>
          <w:color w:val="auto"/>
          <w:kern w:val="0"/>
          <w:sz w:val="32"/>
          <w:szCs w:val="32"/>
          <w:highlight w:val="none"/>
          <w:lang w:eastAsia="zh-CN" w:bidi="ar"/>
        </w:rPr>
        <w:t>附件</w:t>
      </w:r>
      <w:r>
        <w:rPr>
          <w:rFonts w:hint="eastAsia" w:ascii="Times New Roman" w:hAnsi="Times New Roman" w:eastAsia="仿宋_GB2312" w:cs="Times New Roman"/>
          <w:b w:val="0"/>
          <w:bCs w:val="0"/>
          <w:color w:val="auto"/>
          <w:kern w:val="0"/>
          <w:sz w:val="32"/>
          <w:szCs w:val="32"/>
          <w:highlight w:val="none"/>
          <w:lang w:val="en-US" w:eastAsia="zh-CN" w:bidi="ar"/>
        </w:rPr>
        <w:t>1</w:t>
      </w:r>
    </w:p>
    <w:p>
      <w:pPr>
        <w:keepNext w:val="0"/>
        <w:keepLines w:val="0"/>
        <w:pageBreakBefore w:val="0"/>
        <w:kinsoku/>
        <w:wordWrap/>
        <w:topLinePunct w:val="0"/>
        <w:autoSpaceDE w:val="0"/>
        <w:autoSpaceDN/>
        <w:bidi w:val="0"/>
        <w:adjustRightInd w:val="0"/>
        <w:snapToGrid w:val="0"/>
        <w:spacing w:line="580" w:lineRule="exact"/>
        <w:jc w:val="left"/>
        <w:textAlignment w:val="auto"/>
        <w:rPr>
          <w:rFonts w:hint="default" w:ascii="Times New Roman" w:hAnsi="Times New Roman" w:eastAsia="仿宋_GB2312" w:cs="Times New Roman"/>
          <w:b w:val="0"/>
          <w:bCs w:val="0"/>
          <w:color w:val="auto"/>
          <w:kern w:val="0"/>
          <w:sz w:val="32"/>
          <w:szCs w:val="32"/>
          <w:highlight w:val="none"/>
          <w:lang w:eastAsia="zh-CN" w:bidi="ar"/>
        </w:rPr>
      </w:pPr>
    </w:p>
    <w:p>
      <w:pPr>
        <w:keepNext w:val="0"/>
        <w:keepLines w:val="0"/>
        <w:pageBreakBefore w:val="0"/>
        <w:kinsoku/>
        <w:wordWrap/>
        <w:topLinePunct w:val="0"/>
        <w:autoSpaceDE w:val="0"/>
        <w:autoSpaceDN/>
        <w:bidi w:val="0"/>
        <w:adjustRightInd w:val="0"/>
        <w:snapToGrid w:val="0"/>
        <w:spacing w:line="580" w:lineRule="exact"/>
        <w:jc w:val="center"/>
        <w:textAlignment w:val="auto"/>
        <w:rPr>
          <w:rFonts w:hint="default" w:ascii="Times New Roman" w:hAnsi="Times New Roman" w:eastAsia="方正大标宋_GBK" w:cs="Times New Roman"/>
          <w:b w:val="0"/>
          <w:bCs w:val="0"/>
          <w:kern w:val="0"/>
          <w:sz w:val="44"/>
          <w:szCs w:val="44"/>
          <w:highlight w:val="none"/>
          <w:lang w:val="en-US" w:eastAsia="zh-CN" w:bidi="ar"/>
        </w:rPr>
      </w:pPr>
      <w:r>
        <w:rPr>
          <w:rFonts w:hint="default" w:ascii="Times New Roman" w:hAnsi="Times New Roman" w:eastAsia="方正大标宋_GBK" w:cs="Times New Roman"/>
          <w:b w:val="0"/>
          <w:bCs w:val="0"/>
          <w:kern w:val="0"/>
          <w:sz w:val="44"/>
          <w:szCs w:val="44"/>
          <w:highlight w:val="none"/>
          <w:lang w:val="en-US" w:eastAsia="zh-CN" w:bidi="ar"/>
        </w:rPr>
        <w:t>202</w:t>
      </w:r>
      <w:r>
        <w:rPr>
          <w:rFonts w:hint="eastAsia" w:ascii="Times New Roman" w:hAnsi="Times New Roman" w:eastAsia="方正大标宋_GBK" w:cs="Times New Roman"/>
          <w:b w:val="0"/>
          <w:bCs w:val="0"/>
          <w:kern w:val="0"/>
          <w:sz w:val="44"/>
          <w:szCs w:val="44"/>
          <w:highlight w:val="none"/>
          <w:lang w:val="en-US" w:eastAsia="zh-CN" w:bidi="ar"/>
        </w:rPr>
        <w:t>6年度</w:t>
      </w:r>
      <w:r>
        <w:rPr>
          <w:rFonts w:hint="default" w:ascii="Times New Roman" w:hAnsi="Times New Roman" w:eastAsia="方正大标宋_GBK" w:cs="Times New Roman"/>
          <w:b w:val="0"/>
          <w:bCs w:val="0"/>
          <w:kern w:val="0"/>
          <w:sz w:val="44"/>
          <w:szCs w:val="44"/>
          <w:highlight w:val="none"/>
          <w:lang w:val="en-US" w:eastAsia="zh-CN" w:bidi="ar"/>
        </w:rPr>
        <w:t>江门市关键核心技术“揭榜挂帅”</w:t>
      </w:r>
    </w:p>
    <w:p>
      <w:pPr>
        <w:keepNext w:val="0"/>
        <w:keepLines w:val="0"/>
        <w:pageBreakBefore w:val="0"/>
        <w:kinsoku/>
        <w:wordWrap/>
        <w:topLinePunct w:val="0"/>
        <w:autoSpaceDE w:val="0"/>
        <w:autoSpaceDN/>
        <w:bidi w:val="0"/>
        <w:adjustRightInd w:val="0"/>
        <w:snapToGrid w:val="0"/>
        <w:spacing w:line="580" w:lineRule="exact"/>
        <w:jc w:val="center"/>
        <w:textAlignment w:val="auto"/>
        <w:rPr>
          <w:rFonts w:hint="default" w:ascii="Times New Roman" w:hAnsi="Times New Roman" w:eastAsia="方正大标宋_GBK" w:cs="Times New Roman"/>
          <w:b w:val="0"/>
          <w:bCs w:val="0"/>
          <w:kern w:val="0"/>
          <w:sz w:val="44"/>
          <w:szCs w:val="44"/>
          <w:highlight w:val="none"/>
          <w:lang w:val="en-US" w:eastAsia="zh-CN" w:bidi="ar"/>
        </w:rPr>
      </w:pPr>
      <w:r>
        <w:rPr>
          <w:rFonts w:hint="default" w:ascii="Times New Roman" w:hAnsi="Times New Roman" w:eastAsia="方正大标宋_GBK" w:cs="Times New Roman"/>
          <w:b w:val="0"/>
          <w:bCs w:val="0"/>
          <w:kern w:val="0"/>
          <w:sz w:val="44"/>
          <w:szCs w:val="44"/>
          <w:highlight w:val="none"/>
          <w:lang w:val="en-US" w:eastAsia="zh-CN" w:bidi="ar"/>
        </w:rPr>
        <w:t>科技攻关榜单</w:t>
      </w:r>
    </w:p>
    <w:p>
      <w:pPr>
        <w:spacing w:line="580" w:lineRule="exact"/>
        <w:ind w:firstLine="0" w:firstLineChars="0"/>
      </w:pPr>
    </w:p>
    <w:p>
      <w:pPr>
        <w:autoSpaceDE w:val="0"/>
        <w:adjustRightInd w:val="0"/>
        <w:snapToGrid w:val="0"/>
        <w:spacing w:line="580" w:lineRule="exact"/>
        <w:ind w:firstLine="640" w:firstLineChars="200"/>
        <w:rPr>
          <w:rFonts w:hint="eastAsia" w:ascii="方正仿宋_GBK" w:hAnsi="方正仿宋_GBK" w:eastAsia="方正仿宋_GBK" w:cs="方正仿宋_GBK"/>
          <w:kern w:val="0"/>
          <w:sz w:val="32"/>
          <w:szCs w:val="32"/>
          <w:lang w:bidi="ar"/>
        </w:rPr>
      </w:pPr>
      <w:r>
        <w:rPr>
          <w:rFonts w:hint="eastAsia" w:ascii="方正黑体_GBK" w:hAnsi="方正黑体_GBK" w:eastAsia="方正黑体_GBK" w:cs="方正黑体_GBK"/>
          <w:kern w:val="0"/>
          <w:sz w:val="32"/>
          <w:szCs w:val="32"/>
          <w:lang w:bidi="ar"/>
        </w:rPr>
        <w:t>项目领域</w:t>
      </w:r>
      <w:r>
        <w:rPr>
          <w:rFonts w:hint="eastAsia" w:ascii="方正黑体_GBK" w:hAnsi="方正黑体_GBK" w:eastAsia="方正黑体_GBK" w:cs="方正黑体_GBK"/>
          <w:kern w:val="0"/>
          <w:sz w:val="32"/>
          <w:szCs w:val="32"/>
          <w:lang w:eastAsia="zh-CN" w:bidi="ar"/>
        </w:rPr>
        <w:t>一</w:t>
      </w:r>
      <w:r>
        <w:rPr>
          <w:rFonts w:hint="eastAsia" w:ascii="方正黑体_GBK" w:hAnsi="方正黑体_GBK" w:eastAsia="方正黑体_GBK" w:cs="方正黑体_GBK"/>
          <w:kern w:val="0"/>
          <w:sz w:val="32"/>
          <w:szCs w:val="32"/>
          <w:lang w:bidi="ar"/>
        </w:rPr>
        <w:t>：现代农业与食品</w:t>
      </w:r>
    </w:p>
    <w:p>
      <w:pPr>
        <w:autoSpaceDE w:val="0"/>
        <w:adjustRightInd w:val="0"/>
        <w:snapToGrid w:val="0"/>
        <w:spacing w:line="580" w:lineRule="exact"/>
        <w:ind w:firstLine="642" w:firstLineChars="200"/>
        <w:rPr>
          <w:rFonts w:hint="eastAsia" w:ascii="方正仿宋_GBK" w:hAnsi="方正仿宋_GBK" w:eastAsia="方正仿宋_GBK" w:cs="方正仿宋_GBK"/>
          <w:kern w:val="0"/>
          <w:sz w:val="32"/>
          <w:szCs w:val="32"/>
          <w:highlight w:val="yellow"/>
          <w:lang w:bidi="ar"/>
        </w:rPr>
      </w:pPr>
      <w:r>
        <w:rPr>
          <w:rFonts w:hint="eastAsia" w:ascii="方正楷体_GBK" w:hAnsi="方正楷体_GBK" w:eastAsia="方正楷体_GBK" w:cs="方正楷体_GBK"/>
          <w:b/>
          <w:bCs/>
          <w:kern w:val="0"/>
          <w:sz w:val="32"/>
          <w:szCs w:val="32"/>
          <w:lang w:val="en-US" w:eastAsia="zh-CN" w:bidi="ar"/>
        </w:rPr>
        <w:t>方向1.1</w:t>
      </w:r>
      <w:r>
        <w:rPr>
          <w:rFonts w:hint="eastAsia" w:ascii="方正楷体_GBK" w:hAnsi="方正楷体_GBK" w:eastAsia="方正楷体_GBK" w:cs="方正楷体_GBK"/>
          <w:b/>
          <w:bCs/>
          <w:kern w:val="0"/>
          <w:sz w:val="32"/>
          <w:szCs w:val="32"/>
          <w:lang w:bidi="ar"/>
        </w:rPr>
        <w:t>：海水稻米生物活性成分的功效评价及其精深加工关键技术研究与应用</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1.</w:t>
      </w:r>
      <w:r>
        <w:rPr>
          <w:rFonts w:hint="eastAsia" w:ascii="方正仿宋_GBK" w:hAnsi="方正仿宋_GBK" w:eastAsia="方正仿宋_GBK" w:cs="方正仿宋_GBK"/>
          <w:b/>
          <w:bCs/>
          <w:sz w:val="32"/>
          <w:szCs w:val="32"/>
        </w:rPr>
        <w:t>技术方向</w:t>
      </w:r>
      <w:r>
        <w:rPr>
          <w:rFonts w:hint="eastAsia" w:ascii="方正仿宋_GBK" w:hAnsi="方正仿宋_GBK" w:eastAsia="方正仿宋_GBK" w:cs="方正仿宋_GBK"/>
          <w:sz w:val="32"/>
          <w:szCs w:val="32"/>
        </w:rPr>
        <w:t>：海水稻精深加工与功能化利用</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2.</w:t>
      </w:r>
      <w:r>
        <w:rPr>
          <w:rFonts w:hint="eastAsia" w:ascii="方正仿宋_GBK" w:hAnsi="方正仿宋_GBK" w:eastAsia="方正仿宋_GBK" w:cs="方正仿宋_GBK"/>
          <w:b/>
          <w:bCs/>
          <w:sz w:val="32"/>
          <w:szCs w:val="32"/>
        </w:rPr>
        <w:t>攻关需求</w:t>
      </w:r>
      <w:r>
        <w:rPr>
          <w:rFonts w:hint="eastAsia" w:ascii="方正仿宋_GBK" w:hAnsi="方正仿宋_GBK" w:eastAsia="方正仿宋_GBK" w:cs="方正仿宋_GBK"/>
          <w:sz w:val="32"/>
          <w:szCs w:val="32"/>
        </w:rPr>
        <w:t>：为了应对海水稻米因果皮致密、口感粗糙、生物活性成分在加工中易损失及精深加工产品匮乏等产业瓶颈，</w:t>
      </w:r>
      <w:r>
        <w:rPr>
          <w:rFonts w:hint="eastAsia" w:ascii="方正仿宋_GBK" w:hAnsi="方正仿宋_GBK" w:eastAsia="方正仿宋_GBK" w:cs="方正仿宋_GBK"/>
          <w:sz w:val="32"/>
          <w:szCs w:val="32"/>
          <w:highlight w:val="none"/>
          <w:lang w:eastAsia="zh-CN"/>
        </w:rPr>
        <w:t>破解</w:t>
      </w:r>
      <w:r>
        <w:rPr>
          <w:rFonts w:hint="eastAsia" w:ascii="方正仿宋_GBK" w:hAnsi="方正仿宋_GBK" w:eastAsia="方正仿宋_GBK" w:cs="方正仿宋_GBK"/>
          <w:sz w:val="32"/>
          <w:szCs w:val="32"/>
        </w:rPr>
        <w:t>食品加工领域的关键共性技术难题，攻克海水稻米中多酚、黄酮等功能成分在热加工过程中降解率高、膳食纤维保留难、产品口感差等核心技术壁垒，形成“成分-功效-工艺-产品”一体化的精深加工技术体系，推动开发营养代餐粉、高纤维饼干等高附加值新产品，预计新增经济效益500万元以上，提升海水稻米全产业链价值，丰富健康食品市场供给，助力“健康中国”战略和盐碱地资源高效利用。</w:t>
      </w:r>
    </w:p>
    <w:p>
      <w:pPr>
        <w:spacing w:line="580" w:lineRule="exact"/>
        <w:ind w:firstLine="642"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3.</w:t>
      </w:r>
      <w:r>
        <w:rPr>
          <w:rFonts w:hint="eastAsia" w:ascii="方正仿宋_GBK" w:hAnsi="方正仿宋_GBK" w:eastAsia="方正仿宋_GBK" w:cs="方正仿宋_GBK"/>
          <w:b/>
          <w:bCs/>
          <w:sz w:val="32"/>
          <w:szCs w:val="32"/>
        </w:rPr>
        <w:t>核心指标：</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3.1</w:t>
      </w:r>
      <w:r>
        <w:rPr>
          <w:rFonts w:hint="eastAsia" w:ascii="方正仿宋_GBK" w:hAnsi="方正仿宋_GBK" w:eastAsia="方正仿宋_GBK" w:cs="方正仿宋_GBK"/>
          <w:sz w:val="32"/>
          <w:szCs w:val="32"/>
        </w:rPr>
        <w:t>建立海水稻米酶解耦合挤压膨化加工关键技术，相比较直接挤压膨化加工，多酚的保留率提升20%以上，黄酮的保留率提升10%以上；</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3.2 </w:t>
      </w:r>
      <w:r>
        <w:rPr>
          <w:rFonts w:hint="eastAsia" w:ascii="方正仿宋_GBK" w:hAnsi="方正仿宋_GBK" w:eastAsia="方正仿宋_GBK" w:cs="方正仿宋_GBK"/>
          <w:sz w:val="32"/>
          <w:szCs w:val="32"/>
        </w:rPr>
        <w:t>建立海水稻米水蒸气协同蒸汽爆破加工关键技术，相比较直接蒸汽爆破加工，膨化度增加30%以上，膳食纤维的保留率提升10%以上；</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3.3 </w:t>
      </w:r>
      <w:r>
        <w:rPr>
          <w:rFonts w:hint="eastAsia" w:ascii="方正仿宋_GBK" w:hAnsi="方正仿宋_GBK" w:eastAsia="方正仿宋_GBK" w:cs="方正仿宋_GBK"/>
          <w:sz w:val="32"/>
          <w:szCs w:val="32"/>
        </w:rPr>
        <w:t>研发海水稻米营养食品新产品2个；</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3.4 </w:t>
      </w:r>
      <w:r>
        <w:rPr>
          <w:rFonts w:hint="eastAsia" w:ascii="方正仿宋_GBK" w:hAnsi="方正仿宋_GBK" w:eastAsia="方正仿宋_GBK" w:cs="方正仿宋_GBK"/>
          <w:sz w:val="32"/>
          <w:szCs w:val="32"/>
        </w:rPr>
        <w:t>申请发明专利1项；</w:t>
      </w:r>
    </w:p>
    <w:p>
      <w:pPr>
        <w:adjustRightInd w:val="0"/>
        <w:snapToGrid w:val="0"/>
        <w:spacing w:line="580" w:lineRule="exact"/>
        <w:ind w:firstLine="640"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sz w:val="32"/>
          <w:szCs w:val="32"/>
          <w:lang w:val="en-US" w:eastAsia="zh-CN"/>
        </w:rPr>
        <w:t xml:space="preserve">3.5 </w:t>
      </w:r>
      <w:r>
        <w:rPr>
          <w:rFonts w:hint="eastAsia" w:ascii="方正仿宋_GBK" w:hAnsi="方正仿宋_GBK" w:eastAsia="方正仿宋_GBK" w:cs="方正仿宋_GBK"/>
          <w:sz w:val="32"/>
          <w:szCs w:val="32"/>
        </w:rPr>
        <w:t>发表学术论文2篇。</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 xml:space="preserve">4. </w:t>
      </w:r>
      <w:r>
        <w:rPr>
          <w:rFonts w:hint="eastAsia" w:ascii="方正仿宋_GBK" w:hAnsi="方正仿宋_GBK" w:eastAsia="方正仿宋_GBK" w:cs="方正仿宋_GBK"/>
          <w:b/>
          <w:bCs/>
          <w:sz w:val="32"/>
          <w:szCs w:val="32"/>
        </w:rPr>
        <w:t>研发经费总额</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500</w:t>
      </w:r>
      <w:r>
        <w:rPr>
          <w:rFonts w:hint="eastAsia" w:ascii="方正仿宋_GBK" w:hAnsi="方正仿宋_GBK" w:eastAsia="方正仿宋_GBK" w:cs="方正仿宋_GBK"/>
          <w:sz w:val="32"/>
          <w:szCs w:val="32"/>
        </w:rPr>
        <w:t>万元</w:t>
      </w:r>
    </w:p>
    <w:p>
      <w:pPr>
        <w:spacing w:line="580" w:lineRule="exact"/>
        <w:ind w:firstLine="640" w:firstLineChars="200"/>
        <w:rPr>
          <w:rFonts w:hint="eastAsia" w:ascii="方正仿宋_GBK" w:hAnsi="方正仿宋_GBK" w:eastAsia="方正仿宋_GBK" w:cs="方正仿宋_GBK"/>
          <w:sz w:val="32"/>
          <w:szCs w:val="32"/>
        </w:rPr>
      </w:pPr>
    </w:p>
    <w:p>
      <w:pPr>
        <w:autoSpaceDE w:val="0"/>
        <w:adjustRightInd w:val="0"/>
        <w:snapToGrid w:val="0"/>
        <w:spacing w:line="580" w:lineRule="exact"/>
        <w:ind w:firstLine="640" w:firstLineChars="200"/>
        <w:rPr>
          <w:rFonts w:hint="eastAsia" w:ascii="方正黑体_GBK" w:hAnsi="方正黑体_GBK" w:eastAsia="方正黑体_GBK" w:cs="方正黑体_GBK"/>
          <w:kern w:val="0"/>
          <w:sz w:val="32"/>
          <w:szCs w:val="32"/>
          <w:lang w:bidi="ar"/>
        </w:rPr>
      </w:pPr>
      <w:r>
        <w:rPr>
          <w:rFonts w:hint="eastAsia" w:ascii="方正黑体_GBK" w:hAnsi="方正黑体_GBK" w:eastAsia="方正黑体_GBK" w:cs="方正黑体_GBK"/>
          <w:kern w:val="0"/>
          <w:sz w:val="32"/>
          <w:szCs w:val="32"/>
          <w:lang w:bidi="ar"/>
        </w:rPr>
        <w:t>项目领域</w:t>
      </w:r>
      <w:r>
        <w:rPr>
          <w:rFonts w:hint="eastAsia" w:ascii="方正黑体_GBK" w:hAnsi="方正黑体_GBK" w:eastAsia="方正黑体_GBK" w:cs="方正黑体_GBK"/>
          <w:kern w:val="0"/>
          <w:sz w:val="32"/>
          <w:szCs w:val="32"/>
          <w:lang w:eastAsia="zh-CN" w:bidi="ar"/>
        </w:rPr>
        <w:t>二</w:t>
      </w:r>
      <w:r>
        <w:rPr>
          <w:rFonts w:hint="eastAsia" w:ascii="方正黑体_GBK" w:hAnsi="方正黑体_GBK" w:eastAsia="方正黑体_GBK" w:cs="方正黑体_GBK"/>
          <w:kern w:val="0"/>
          <w:sz w:val="32"/>
          <w:szCs w:val="32"/>
          <w:lang w:bidi="ar"/>
        </w:rPr>
        <w:t>：激光与增材制造</w:t>
      </w:r>
    </w:p>
    <w:p>
      <w:pPr>
        <w:autoSpaceDE w:val="0"/>
        <w:adjustRightInd w:val="0"/>
        <w:snapToGrid w:val="0"/>
        <w:spacing w:line="580" w:lineRule="exact"/>
        <w:ind w:firstLine="642" w:firstLineChars="200"/>
        <w:rPr>
          <w:rFonts w:hint="eastAsia" w:ascii="方正楷体_GBK" w:hAnsi="方正楷体_GBK" w:eastAsia="方正楷体_GBK" w:cs="方正楷体_GBK"/>
          <w:kern w:val="0"/>
          <w:sz w:val="32"/>
          <w:szCs w:val="32"/>
          <w:highlight w:val="yellow"/>
          <w:lang w:bidi="ar"/>
        </w:rPr>
      </w:pPr>
      <w:r>
        <w:rPr>
          <w:rFonts w:hint="eastAsia" w:ascii="方正楷体_GBK" w:hAnsi="方正楷体_GBK" w:eastAsia="方正楷体_GBK" w:cs="方正楷体_GBK"/>
          <w:b/>
          <w:bCs/>
          <w:kern w:val="0"/>
          <w:sz w:val="32"/>
          <w:szCs w:val="32"/>
          <w:lang w:val="en-US" w:eastAsia="zh-CN" w:bidi="ar"/>
        </w:rPr>
        <w:t>方向2.1</w:t>
      </w:r>
      <w:r>
        <w:rPr>
          <w:rFonts w:hint="eastAsia" w:ascii="方正楷体_GBK" w:hAnsi="方正楷体_GBK" w:eastAsia="方正楷体_GBK" w:cs="方正楷体_GBK"/>
          <w:b/>
          <w:bCs/>
          <w:kern w:val="0"/>
          <w:sz w:val="32"/>
          <w:szCs w:val="32"/>
          <w:lang w:bidi="ar"/>
        </w:rPr>
        <w:t>：铁基粉末冶金与钢异质结构高效连接技术攻关及产业化</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1.</w:t>
      </w:r>
      <w:r>
        <w:rPr>
          <w:rFonts w:hint="eastAsia" w:ascii="方正仿宋_GBK" w:hAnsi="方正仿宋_GBK" w:eastAsia="方正仿宋_GBK" w:cs="方正仿宋_GBK"/>
          <w:b/>
          <w:bCs/>
          <w:sz w:val="32"/>
          <w:szCs w:val="32"/>
        </w:rPr>
        <w:t>技术方向</w:t>
      </w:r>
      <w:r>
        <w:rPr>
          <w:rFonts w:hint="eastAsia" w:ascii="方正仿宋_GBK" w:hAnsi="方正仿宋_GBK" w:eastAsia="方正仿宋_GBK" w:cs="方正仿宋_GBK"/>
          <w:sz w:val="32"/>
          <w:szCs w:val="32"/>
        </w:rPr>
        <w:t>：先进制造与高端装备</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2.</w:t>
      </w:r>
      <w:r>
        <w:rPr>
          <w:rFonts w:hint="eastAsia" w:ascii="方正仿宋_GBK" w:hAnsi="方正仿宋_GBK" w:eastAsia="方正仿宋_GBK" w:cs="方正仿宋_GBK"/>
          <w:b/>
          <w:bCs/>
          <w:sz w:val="32"/>
          <w:szCs w:val="32"/>
        </w:rPr>
        <w:t>攻关需求</w:t>
      </w:r>
      <w:r>
        <w:rPr>
          <w:rFonts w:hint="eastAsia" w:ascii="方正仿宋_GBK" w:hAnsi="方正仿宋_GBK" w:eastAsia="方正仿宋_GBK" w:cs="方正仿宋_GBK"/>
          <w:sz w:val="32"/>
          <w:szCs w:val="32"/>
        </w:rPr>
        <w:t>：面向空调压缩机等装备制造领域中粉末冶金零件与钢制壳体连接困难、更换铸件导致成本升高的行业背景，开发铁基粉末冶金与钢异质结构高效可靠连接的产业化技术，解决现有焊接技术存在的气孔多、易开裂、热影响区大以及成本高等难题，形成具有自主知识产权、低成本、高效率、且可批量应用的激光连接工艺体系，推动绿色粉末冶金零件在高端制造领域的应用，降低整机制造成本，提升我国核心零部件的自主配套能力，并带动上下游产业链协同发展。同时，提升我国异种材料连接的技术水平。</w:t>
      </w:r>
    </w:p>
    <w:p>
      <w:pPr>
        <w:spacing w:line="580" w:lineRule="exact"/>
        <w:ind w:firstLine="642"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3.</w:t>
      </w:r>
      <w:r>
        <w:rPr>
          <w:rFonts w:hint="eastAsia" w:ascii="方正仿宋_GBK" w:hAnsi="方正仿宋_GBK" w:eastAsia="方正仿宋_GBK" w:cs="方正仿宋_GBK"/>
          <w:b/>
          <w:bCs/>
          <w:sz w:val="32"/>
          <w:szCs w:val="32"/>
        </w:rPr>
        <w:t>核心指标：</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3.1</w:t>
      </w:r>
      <w:r>
        <w:rPr>
          <w:rFonts w:hint="eastAsia" w:ascii="方正仿宋_GBK" w:hAnsi="方正仿宋_GBK" w:eastAsia="方正仿宋_GBK" w:cs="方正仿宋_GBK"/>
          <w:sz w:val="32"/>
          <w:szCs w:val="32"/>
        </w:rPr>
        <w:t>低气孔率、少裂纹的界面成型技术：通过优化异质结构件的焊接接头形式，实现连接界面优异的冶金-机械结合，接头抗拉力≥0.98kN，抗压力≥8.2kN。</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3.2</w:t>
      </w:r>
      <w:r>
        <w:rPr>
          <w:rFonts w:hint="eastAsia" w:ascii="方正仿宋_GBK" w:hAnsi="方正仿宋_GBK" w:eastAsia="方正仿宋_GBK" w:cs="方正仿宋_GBK"/>
          <w:sz w:val="32"/>
          <w:szCs w:val="32"/>
        </w:rPr>
        <w:t>低热输入、低变形的激光焊接工艺控制方法：开发焊接参数与接头形式相互匹配的激光焊接工艺，焊接接头硬度不低于粉末冶金件母材的90%，尺寸变形量≤0.5mm。</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w:t>
      </w:r>
      <w:r>
        <w:rPr>
          <w:rFonts w:hint="eastAsia" w:ascii="方正仿宋_GBK" w:hAnsi="方正仿宋_GBK" w:eastAsia="方正仿宋_GBK" w:cs="方正仿宋_GBK"/>
          <w:sz w:val="32"/>
          <w:szCs w:val="32"/>
          <w:lang w:val="en-US" w:eastAsia="zh-CN"/>
        </w:rPr>
        <w:t>.3</w:t>
      </w:r>
      <w:r>
        <w:rPr>
          <w:rFonts w:hint="eastAsia" w:ascii="方正仿宋_GBK" w:hAnsi="方正仿宋_GBK" w:eastAsia="方正仿宋_GBK" w:cs="方正仿宋_GBK"/>
          <w:sz w:val="32"/>
          <w:szCs w:val="32"/>
        </w:rPr>
        <w:t>高效率、高一致性的焊接装备：设计适用于高效量产的激光自动化连接单元。</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3.4</w:t>
      </w:r>
      <w:r>
        <w:rPr>
          <w:rFonts w:hint="eastAsia" w:ascii="方正仿宋_GBK" w:hAnsi="方正仿宋_GBK" w:eastAsia="方正仿宋_GBK" w:cs="方正仿宋_GBK"/>
          <w:sz w:val="32"/>
          <w:szCs w:val="32"/>
        </w:rPr>
        <w:t>新工艺/新技术（不少于2项）：粉末冶金零件与钢异质结构连接工艺规范。</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3.5</w:t>
      </w:r>
      <w:r>
        <w:rPr>
          <w:rFonts w:hint="eastAsia" w:ascii="方正仿宋_GBK" w:hAnsi="方正仿宋_GBK" w:eastAsia="方正仿宋_GBK" w:cs="方正仿宋_GBK"/>
          <w:sz w:val="32"/>
          <w:szCs w:val="32"/>
        </w:rPr>
        <w:t>新装备/新装置（不少于1台/套）：自动化连接单元。</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3.6</w:t>
      </w:r>
      <w:r>
        <w:rPr>
          <w:rFonts w:hint="eastAsia" w:ascii="方正仿宋_GBK" w:hAnsi="方正仿宋_GBK" w:eastAsia="方正仿宋_GBK" w:cs="方正仿宋_GBK"/>
          <w:sz w:val="32"/>
          <w:szCs w:val="32"/>
        </w:rPr>
        <w:t>知识产权（不少于3项）：发明专利≥2项，企业技术标准/规范≥1项。</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3.7</w:t>
      </w:r>
      <w:r>
        <w:rPr>
          <w:rFonts w:hint="eastAsia" w:ascii="方正仿宋_GBK" w:hAnsi="方正仿宋_GBK" w:eastAsia="方正仿宋_GBK" w:cs="方正仿宋_GBK"/>
          <w:sz w:val="32"/>
          <w:szCs w:val="32"/>
        </w:rPr>
        <w:t>学术成果：高水平论文≥1篇（SCI/EI收录），技术研究报告≥1份。</w:t>
      </w:r>
    </w:p>
    <w:p>
      <w:pPr>
        <w:adjustRightInd w:val="0"/>
        <w:snapToGrid w:val="0"/>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3.8</w:t>
      </w:r>
      <w:r>
        <w:rPr>
          <w:rFonts w:hint="eastAsia" w:ascii="方正仿宋_GBK" w:hAnsi="方正仿宋_GBK" w:eastAsia="方正仿宋_GBK" w:cs="方正仿宋_GBK"/>
          <w:sz w:val="32"/>
          <w:szCs w:val="32"/>
        </w:rPr>
        <w:t>产业化验证：在泵体零件生产线完成试生产验证，通过压缩机整机性能与耐久性试验。</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4.</w:t>
      </w:r>
      <w:r>
        <w:rPr>
          <w:rFonts w:hint="eastAsia" w:ascii="方正仿宋_GBK" w:hAnsi="方正仿宋_GBK" w:eastAsia="方正仿宋_GBK" w:cs="方正仿宋_GBK"/>
          <w:b/>
          <w:bCs/>
          <w:sz w:val="32"/>
          <w:szCs w:val="32"/>
        </w:rPr>
        <w:t>研发经费总额</w:t>
      </w:r>
      <w:r>
        <w:rPr>
          <w:rFonts w:hint="eastAsia" w:ascii="方正仿宋_GBK" w:hAnsi="方正仿宋_GBK" w:eastAsia="方正仿宋_GBK" w:cs="方正仿宋_GBK"/>
          <w:sz w:val="32"/>
          <w:szCs w:val="32"/>
        </w:rPr>
        <w:t>：500万元</w:t>
      </w:r>
    </w:p>
    <w:p>
      <w:pPr>
        <w:spacing w:line="580" w:lineRule="exact"/>
        <w:ind w:firstLine="640" w:firstLineChars="200"/>
        <w:rPr>
          <w:rFonts w:hint="eastAsia" w:ascii="方正仿宋_GBK" w:hAnsi="方正仿宋_GBK" w:eastAsia="方正仿宋_GBK" w:cs="方正仿宋_GBK"/>
          <w:sz w:val="32"/>
          <w:szCs w:val="32"/>
        </w:rPr>
      </w:pPr>
    </w:p>
    <w:p>
      <w:pPr>
        <w:autoSpaceDE w:val="0"/>
        <w:adjustRightInd w:val="0"/>
        <w:snapToGrid w:val="0"/>
        <w:spacing w:line="580" w:lineRule="exact"/>
        <w:ind w:firstLine="640" w:firstLineChars="200"/>
        <w:rPr>
          <w:rFonts w:hint="eastAsia" w:ascii="方正黑体_GBK" w:hAnsi="方正黑体_GBK" w:eastAsia="方正黑体_GBK" w:cs="方正黑体_GBK"/>
          <w:kern w:val="0"/>
          <w:sz w:val="32"/>
          <w:szCs w:val="32"/>
          <w:lang w:bidi="ar"/>
        </w:rPr>
      </w:pPr>
      <w:r>
        <w:rPr>
          <w:rFonts w:hint="eastAsia" w:ascii="方正黑体_GBK" w:hAnsi="方正黑体_GBK" w:eastAsia="方正黑体_GBK" w:cs="方正黑体_GBK"/>
          <w:kern w:val="0"/>
          <w:sz w:val="32"/>
          <w:szCs w:val="32"/>
          <w:lang w:bidi="ar"/>
        </w:rPr>
        <w:t>项目领域</w:t>
      </w:r>
      <w:r>
        <w:rPr>
          <w:rFonts w:hint="eastAsia" w:ascii="方正黑体_GBK" w:hAnsi="方正黑体_GBK" w:eastAsia="方正黑体_GBK" w:cs="方正黑体_GBK"/>
          <w:kern w:val="0"/>
          <w:sz w:val="32"/>
          <w:szCs w:val="32"/>
          <w:lang w:eastAsia="zh-CN" w:bidi="ar"/>
        </w:rPr>
        <w:t>三</w:t>
      </w:r>
      <w:r>
        <w:rPr>
          <w:rFonts w:hint="eastAsia" w:ascii="方正黑体_GBK" w:hAnsi="方正黑体_GBK" w:eastAsia="方正黑体_GBK" w:cs="方正黑体_GBK"/>
          <w:kern w:val="0"/>
          <w:sz w:val="32"/>
          <w:szCs w:val="32"/>
          <w:lang w:bidi="ar"/>
        </w:rPr>
        <w:t>：智能家电</w:t>
      </w:r>
    </w:p>
    <w:p>
      <w:pPr>
        <w:autoSpaceDE w:val="0"/>
        <w:adjustRightInd w:val="0"/>
        <w:snapToGrid w:val="0"/>
        <w:spacing w:line="580" w:lineRule="exact"/>
        <w:ind w:firstLine="642" w:firstLineChars="200"/>
        <w:rPr>
          <w:rFonts w:hint="eastAsia" w:ascii="方正仿宋_GBK" w:hAnsi="方正仿宋_GBK" w:eastAsia="方正仿宋_GBK" w:cs="方正仿宋_GBK"/>
          <w:kern w:val="0"/>
          <w:sz w:val="32"/>
          <w:szCs w:val="32"/>
          <w:highlight w:val="yellow"/>
          <w:lang w:bidi="ar"/>
        </w:rPr>
      </w:pPr>
      <w:r>
        <w:rPr>
          <w:rFonts w:hint="eastAsia" w:ascii="方正仿宋_GBK" w:hAnsi="方正仿宋_GBK" w:eastAsia="方正仿宋_GBK" w:cs="方正仿宋_GBK"/>
          <w:b/>
          <w:bCs/>
          <w:kern w:val="0"/>
          <w:sz w:val="32"/>
          <w:szCs w:val="32"/>
          <w:lang w:val="en-US" w:eastAsia="zh-CN" w:bidi="ar"/>
        </w:rPr>
        <w:t>方向</w:t>
      </w:r>
      <w:r>
        <w:rPr>
          <w:rFonts w:hint="eastAsia" w:ascii="方正仿宋_GBK" w:hAnsi="方正仿宋_GBK" w:eastAsia="方正仿宋_GBK" w:cs="方正仿宋_GBK"/>
          <w:b/>
          <w:bCs/>
          <w:kern w:val="0"/>
          <w:sz w:val="32"/>
          <w:szCs w:val="32"/>
          <w:lang w:val="en-US" w:eastAsia="zh-CN" w:bidi="ar"/>
        </w:rPr>
        <w:t>3.1</w:t>
      </w:r>
      <w:r>
        <w:rPr>
          <w:rFonts w:hint="eastAsia" w:ascii="方正仿宋_GBK" w:hAnsi="方正仿宋_GBK" w:eastAsia="方正仿宋_GBK" w:cs="方正仿宋_GBK"/>
          <w:b/>
          <w:bCs/>
          <w:kern w:val="0"/>
          <w:sz w:val="32"/>
          <w:szCs w:val="32"/>
          <w:lang w:bidi="ar"/>
        </w:rPr>
        <w:t>：</w:t>
      </w:r>
      <w:r>
        <w:rPr>
          <w:rFonts w:hint="eastAsia" w:ascii="方正仿宋_GBK" w:hAnsi="方正仿宋_GBK" w:eastAsia="方正仿宋_GBK" w:cs="方正仿宋_GBK"/>
          <w:b/>
          <w:bCs/>
          <w:kern w:val="0"/>
          <w:sz w:val="32"/>
          <w:szCs w:val="32"/>
          <w:highlight w:val="none"/>
          <w:lang w:bidi="ar"/>
        </w:rPr>
        <w:t>金黄光无粉RG0健康照明关键技术研发及母婴、适老智能照明产品产业化</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1.</w:t>
      </w:r>
      <w:r>
        <w:rPr>
          <w:rFonts w:hint="eastAsia" w:ascii="方正仿宋_GBK" w:hAnsi="方正仿宋_GBK" w:eastAsia="方正仿宋_GBK" w:cs="方正仿宋_GBK"/>
          <w:b/>
          <w:bCs/>
          <w:sz w:val="32"/>
          <w:szCs w:val="32"/>
        </w:rPr>
        <w:t>技术方向</w:t>
      </w:r>
      <w:r>
        <w:rPr>
          <w:rFonts w:hint="eastAsia" w:ascii="方正仿宋_GBK" w:hAnsi="方正仿宋_GBK" w:eastAsia="方正仿宋_GBK" w:cs="方正仿宋_GBK"/>
          <w:sz w:val="32"/>
          <w:szCs w:val="32"/>
        </w:rPr>
        <w:t>：健康照明技术</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2.</w:t>
      </w:r>
      <w:r>
        <w:rPr>
          <w:rFonts w:hint="eastAsia" w:ascii="方正仿宋_GBK" w:hAnsi="方正仿宋_GBK" w:eastAsia="方正仿宋_GBK" w:cs="方正仿宋_GBK"/>
          <w:b/>
          <w:bCs/>
          <w:sz w:val="32"/>
          <w:szCs w:val="32"/>
        </w:rPr>
        <w:t>攻关需求</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highlight w:val="none"/>
        </w:rPr>
        <w:t>母婴、老年群体对照明产品的光照安全性、视觉舒适性要求远高于普通消费群体，传统照明产品普遍存在蓝光危害、荧光粉长期使用老化、光衰明显、色漂移等固有缺陷，难以适配两类特殊人群专属用光场景。本项目旨在突破金黄光无粉健康照明落地应用的行业技术痛点，重点攻克四大核心技术：低功率与高照度双向适配技术、无粉封装散热及色漂移抑制技术、母婴/适老双场景精准光环境智能调控技术、照明核心芯片与驱动系统国产化技术。通过系列技术攻关，构建从源头阻隔蓝光、兼具护眼助眠功效的自主可控照明技术体系，推动母婴、适老健康照明产品向场景化、智能化、无害化升级，改善特殊人群居家生活品质，引领国内健康照明行业整体技术迭代升级。</w:t>
      </w:r>
    </w:p>
    <w:p>
      <w:pPr>
        <w:spacing w:line="580" w:lineRule="exact"/>
        <w:ind w:firstLine="642"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3.</w:t>
      </w:r>
      <w:r>
        <w:rPr>
          <w:rFonts w:hint="eastAsia" w:ascii="方正仿宋_GBK" w:hAnsi="方正仿宋_GBK" w:eastAsia="方正仿宋_GBK" w:cs="方正仿宋_GBK"/>
          <w:b/>
          <w:bCs/>
          <w:sz w:val="32"/>
          <w:szCs w:val="32"/>
        </w:rPr>
        <w:t>核心指标：</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3.1</w:t>
      </w:r>
      <w:r>
        <w:rPr>
          <w:rFonts w:hint="eastAsia" w:ascii="方正仿宋_GBK" w:hAnsi="方正仿宋_GBK" w:eastAsia="方正仿宋_GBK" w:cs="方正仿宋_GBK"/>
          <w:sz w:val="32"/>
          <w:szCs w:val="32"/>
          <w:highlight w:val="none"/>
        </w:rPr>
        <w:t>光源与芯片核心指标</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蓝光占比：0%；发光波长范围：565–630nm；可调色温区间：1800–2200K；显色指数Ra≥80；</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2</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光源使用寿命≥5万小时；光衰≤5%/10000小时；色漂移≤2%；频闪深度≤3.2%；</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3</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防眩光指数（UGR）≤19；光生物安全等级达到RG</w:t>
      </w:r>
      <w:r>
        <w:rPr>
          <w:rFonts w:hint="eastAsia" w:ascii="方正仿宋_GBK" w:hAnsi="方正仿宋_GBK" w:eastAsia="方正仿宋_GBK" w:cs="方正仿宋_GBK"/>
          <w:sz w:val="32"/>
          <w:szCs w:val="32"/>
          <w:highlight w:val="none"/>
          <w:lang w:val="en-US" w:eastAsia="zh-CN"/>
        </w:rPr>
        <w:t>0</w:t>
      </w:r>
      <w:r>
        <w:rPr>
          <w:rFonts w:hint="eastAsia" w:ascii="方正仿宋_GBK" w:hAnsi="方正仿宋_GBK" w:eastAsia="方正仿宋_GBK" w:cs="方正仿宋_GBK"/>
          <w:sz w:val="32"/>
          <w:szCs w:val="32"/>
          <w:highlight w:val="none"/>
        </w:rPr>
        <w:t>无危险级。</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3.2</w:t>
      </w:r>
      <w:r>
        <w:rPr>
          <w:rFonts w:hint="eastAsia" w:ascii="方正仿宋_GBK" w:hAnsi="方正仿宋_GBK" w:eastAsia="方正仿宋_GBK" w:cs="方正仿宋_GBK"/>
          <w:sz w:val="32"/>
          <w:szCs w:val="32"/>
          <w:highlight w:val="none"/>
        </w:rPr>
        <w:t>母婴类产品（智能小夜灯）指标</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功率0.5–3</w:t>
      </w:r>
      <w:r>
        <w:rPr>
          <w:rFonts w:hint="eastAsia" w:ascii="方正仿宋_GBK" w:hAnsi="方正仿宋_GBK" w:eastAsia="方正仿宋_GBK" w:cs="方正仿宋_GBK"/>
          <w:sz w:val="32"/>
          <w:szCs w:val="32"/>
          <w:highlight w:val="none"/>
          <w:lang w:val="en-US" w:eastAsia="zh-CN"/>
        </w:rPr>
        <w:t>W</w:t>
      </w:r>
      <w:r>
        <w:rPr>
          <w:rFonts w:hint="eastAsia" w:ascii="方正仿宋_GBK" w:hAnsi="方正仿宋_GBK" w:eastAsia="方正仿宋_GBK" w:cs="方正仿宋_GBK"/>
          <w:sz w:val="32"/>
          <w:szCs w:val="32"/>
          <w:highlight w:val="none"/>
        </w:rPr>
        <w:t>无级可调，光照均匀度≥90%；采用360°漫射柔和出光设计，无直射眩光；</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2</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控制功能：支持离线语音操控，定时关灯功能区间10–60分钟可调；</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3</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产品材质符合食品级安全标准，设备表面最高工作温度≤45℃，耐高温性能达标；</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助眠性能：可缩短使用者入睡时长15–20分钟，延长深度睡眠时长30分钟。</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3.3</w:t>
      </w:r>
      <w:r>
        <w:rPr>
          <w:rFonts w:hint="eastAsia" w:ascii="方正仿宋_GBK" w:hAnsi="方正仿宋_GBK" w:eastAsia="方正仿宋_GBK" w:cs="方正仿宋_GBK"/>
          <w:sz w:val="32"/>
          <w:szCs w:val="32"/>
          <w:highlight w:val="none"/>
        </w:rPr>
        <w:t>适老类产品（床头灯/人体感应夜灯）指标</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照度覆盖 100–500 lux，活动区域照度≥300 lux，阅读区域照度≥500 lux，标准色温 2000 K；</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2</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人体感应模块：感应距离 0.5–3 米，感应响应时间≤0.3 秒；灯光 0.5–1 秒平缓渐亮渐暗过渡；</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3</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操控适配老年群体，支持极简语音指令控制；产品防水等级≥IP44；</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节能性能：整机能耗较传统同类照明产品降低 50% 以上。</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3.4</w:t>
      </w:r>
      <w:r>
        <w:rPr>
          <w:rFonts w:hint="eastAsia" w:ascii="方正仿宋_GBK" w:hAnsi="方正仿宋_GBK" w:eastAsia="方正仿宋_GBK" w:cs="方正仿宋_GBK"/>
          <w:sz w:val="32"/>
          <w:szCs w:val="32"/>
          <w:highlight w:val="none"/>
        </w:rPr>
        <w:t>封装工艺与产业化落地指标</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光源封装综合生产成本降低幅度≥30%；</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2</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建成规模化产线，实现年产能100万套；</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3</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知识产权成果：累计新增发明专利3–5项，实用新型专利10–12项；</w:t>
      </w:r>
    </w:p>
    <w:p>
      <w:pPr>
        <w:spacing w:line="580" w:lineRule="exact"/>
        <w:ind w:firstLine="640" w:firstLineChars="200"/>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行业标准建设：牵头或参与编制母婴、适老健康照明行业/团体标准。</w:t>
      </w:r>
    </w:p>
    <w:p>
      <w:pPr>
        <w:spacing w:line="580" w:lineRule="exact"/>
        <w:ind w:firstLine="642"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
          <w:bCs/>
          <w:sz w:val="32"/>
          <w:szCs w:val="32"/>
          <w:highlight w:val="none"/>
          <w:lang w:val="en-US" w:eastAsia="zh-CN"/>
        </w:rPr>
        <w:t>4.</w:t>
      </w:r>
      <w:r>
        <w:rPr>
          <w:rFonts w:hint="eastAsia" w:ascii="方正仿宋_GBK" w:hAnsi="方正仿宋_GBK" w:eastAsia="方正仿宋_GBK" w:cs="方正仿宋_GBK"/>
          <w:b/>
          <w:bCs/>
          <w:sz w:val="32"/>
          <w:szCs w:val="32"/>
          <w:highlight w:val="none"/>
        </w:rPr>
        <w:t>研发经费总额</w:t>
      </w: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700</w:t>
      </w:r>
      <w:r>
        <w:rPr>
          <w:rFonts w:hint="eastAsia" w:ascii="方正仿宋_GBK" w:hAnsi="方正仿宋_GBK" w:eastAsia="方正仿宋_GBK" w:cs="方正仿宋_GBK"/>
          <w:sz w:val="32"/>
          <w:szCs w:val="32"/>
          <w:highlight w:val="none"/>
        </w:rPr>
        <w:t>万元</w:t>
      </w:r>
    </w:p>
    <w:p>
      <w:pPr>
        <w:spacing w:line="580" w:lineRule="exact"/>
        <w:ind w:firstLine="640" w:firstLineChars="200"/>
        <w:rPr>
          <w:rFonts w:hint="eastAsia" w:ascii="方正仿宋_GBK" w:hAnsi="方正仿宋_GBK" w:eastAsia="方正仿宋_GBK" w:cs="方正仿宋_GBK"/>
          <w:sz w:val="32"/>
          <w:szCs w:val="32"/>
          <w:highlight w:val="none"/>
        </w:rPr>
      </w:pPr>
    </w:p>
    <w:p>
      <w:pPr>
        <w:autoSpaceDE w:val="0"/>
        <w:adjustRightInd w:val="0"/>
        <w:snapToGrid w:val="0"/>
        <w:spacing w:line="580" w:lineRule="exact"/>
        <w:ind w:firstLine="640" w:firstLineChars="200"/>
        <w:rPr>
          <w:rFonts w:hint="eastAsia" w:ascii="方正黑体_GBK" w:hAnsi="方正黑体_GBK" w:eastAsia="方正黑体_GBK" w:cs="方正黑体_GBK"/>
          <w:kern w:val="0"/>
          <w:sz w:val="32"/>
          <w:szCs w:val="32"/>
          <w:lang w:bidi="ar"/>
        </w:rPr>
      </w:pPr>
      <w:r>
        <w:rPr>
          <w:rFonts w:hint="eastAsia" w:ascii="方正黑体_GBK" w:hAnsi="方正黑体_GBK" w:eastAsia="方正黑体_GBK" w:cs="方正黑体_GBK"/>
          <w:kern w:val="0"/>
          <w:sz w:val="32"/>
          <w:szCs w:val="32"/>
          <w:lang w:bidi="ar"/>
        </w:rPr>
        <w:t>项目领域</w:t>
      </w:r>
      <w:r>
        <w:rPr>
          <w:rFonts w:hint="eastAsia" w:ascii="方正黑体_GBK" w:hAnsi="方正黑体_GBK" w:eastAsia="方正黑体_GBK" w:cs="方正黑体_GBK"/>
          <w:kern w:val="0"/>
          <w:sz w:val="32"/>
          <w:szCs w:val="32"/>
          <w:lang w:eastAsia="zh-CN" w:bidi="ar"/>
        </w:rPr>
        <w:t>四</w:t>
      </w:r>
      <w:r>
        <w:rPr>
          <w:rFonts w:hint="eastAsia" w:ascii="方正黑体_GBK" w:hAnsi="方正黑体_GBK" w:eastAsia="方正黑体_GBK" w:cs="方正黑体_GBK"/>
          <w:kern w:val="0"/>
          <w:sz w:val="32"/>
          <w:szCs w:val="32"/>
          <w:lang w:bidi="ar"/>
        </w:rPr>
        <w:t>：摩托车</w:t>
      </w:r>
    </w:p>
    <w:p>
      <w:pPr>
        <w:autoSpaceDE w:val="0"/>
        <w:adjustRightInd w:val="0"/>
        <w:snapToGrid w:val="0"/>
        <w:spacing w:line="580" w:lineRule="exact"/>
        <w:ind w:firstLine="642" w:firstLineChars="200"/>
        <w:rPr>
          <w:rFonts w:hint="eastAsia" w:ascii="方正楷体_GBK" w:hAnsi="方正楷体_GBK" w:eastAsia="方正楷体_GBK" w:cs="方正楷体_GBK"/>
          <w:kern w:val="0"/>
          <w:sz w:val="32"/>
          <w:szCs w:val="32"/>
          <w:highlight w:val="yellow"/>
          <w:lang w:bidi="ar"/>
        </w:rPr>
      </w:pPr>
      <w:r>
        <w:rPr>
          <w:rFonts w:hint="eastAsia" w:ascii="方正楷体_GBK" w:hAnsi="方正楷体_GBK" w:eastAsia="方正楷体_GBK" w:cs="方正楷体_GBK"/>
          <w:b/>
          <w:bCs/>
          <w:kern w:val="0"/>
          <w:sz w:val="32"/>
          <w:szCs w:val="32"/>
          <w:lang w:val="en-US" w:eastAsia="zh-CN" w:bidi="ar"/>
        </w:rPr>
        <w:t>方向4.1</w:t>
      </w:r>
      <w:r>
        <w:rPr>
          <w:rFonts w:hint="eastAsia" w:ascii="方正楷体_GBK" w:hAnsi="方正楷体_GBK" w:eastAsia="方正楷体_GBK" w:cs="方正楷体_GBK"/>
          <w:b/>
          <w:bCs/>
          <w:kern w:val="0"/>
          <w:sz w:val="32"/>
          <w:szCs w:val="32"/>
          <w:lang w:bidi="ar"/>
        </w:rPr>
        <w:t>：铝合金轮毂轻量化及原级利用关键技术研发与应用</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1.</w:t>
      </w:r>
      <w:r>
        <w:rPr>
          <w:rFonts w:hint="eastAsia" w:ascii="方正仿宋_GBK" w:hAnsi="方正仿宋_GBK" w:eastAsia="方正仿宋_GBK" w:cs="方正仿宋_GBK"/>
          <w:b/>
          <w:bCs/>
          <w:sz w:val="32"/>
          <w:szCs w:val="32"/>
        </w:rPr>
        <w:t>技术方向</w:t>
      </w:r>
      <w:r>
        <w:rPr>
          <w:rFonts w:hint="eastAsia" w:ascii="方正仿宋_GBK" w:hAnsi="方正仿宋_GBK" w:eastAsia="方正仿宋_GBK" w:cs="方正仿宋_GBK"/>
          <w:sz w:val="32"/>
          <w:szCs w:val="32"/>
        </w:rPr>
        <w:t>：再生铝原级回用的轮毂绿色制造技术</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2.</w:t>
      </w:r>
      <w:r>
        <w:rPr>
          <w:rFonts w:hint="eastAsia" w:ascii="方正仿宋_GBK" w:hAnsi="方正仿宋_GBK" w:eastAsia="方正仿宋_GBK" w:cs="方正仿宋_GBK"/>
          <w:b/>
          <w:bCs/>
          <w:sz w:val="32"/>
          <w:szCs w:val="32"/>
        </w:rPr>
        <w:t>攻关需求</w:t>
      </w:r>
      <w:r>
        <w:rPr>
          <w:rFonts w:hint="eastAsia" w:ascii="方正仿宋_GBK" w:hAnsi="方正仿宋_GBK" w:eastAsia="方正仿宋_GBK" w:cs="方正仿宋_GBK"/>
          <w:sz w:val="32"/>
          <w:szCs w:val="32"/>
        </w:rPr>
        <w:t>：为了推动铝合金轮毂轻量化及再生铝高值化利用，针对当前A356.2铝合金变质效果有限、Fe杂质含量严格限制导致废旧轮毂无法实现“轮毂→轮毂”原级循环利用的行业难点，项目将攻克稀土复合变质剂在轮毂用A356合金中的适配性、再生铝合金轮毂的组织与性能调控、废旧轮毂原级利用全流程技术集成等关键技术，形成轮毂高强韧化、轻量化与再生铝原级利用协同突破的技术成果。项目完成后，将实现再生铝替代原生铝，降低原材料成本，提升产品市场竞争力，推动摩托车轮毂行业绿色制造与低碳转型，提高再生铝资源循环利用率，并为汽车轻量化部件提供技术示范。</w:t>
      </w:r>
    </w:p>
    <w:p>
      <w:pPr>
        <w:spacing w:line="580" w:lineRule="exact"/>
        <w:ind w:firstLine="642"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3.</w:t>
      </w:r>
      <w:r>
        <w:rPr>
          <w:rFonts w:hint="eastAsia" w:ascii="方正仿宋_GBK" w:hAnsi="方正仿宋_GBK" w:eastAsia="方正仿宋_GBK" w:cs="方正仿宋_GBK"/>
          <w:b/>
          <w:bCs/>
          <w:sz w:val="32"/>
          <w:szCs w:val="32"/>
        </w:rPr>
        <w:t>核心指标：</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3.1</w:t>
      </w:r>
      <w:r>
        <w:rPr>
          <w:rFonts w:hint="eastAsia" w:ascii="方正仿宋_GBK" w:hAnsi="方正仿宋_GBK" w:eastAsia="方正仿宋_GBK" w:cs="方正仿宋_GBK"/>
          <w:sz w:val="32"/>
          <w:szCs w:val="32"/>
        </w:rPr>
        <w:t>力学性能：轮毂本体取样抗拉强度≥270 MPa，伸长率≥8%；</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3.2</w:t>
      </w:r>
      <w:r>
        <w:rPr>
          <w:rFonts w:hint="eastAsia" w:ascii="方正仿宋_GBK" w:hAnsi="方正仿宋_GBK" w:eastAsia="方正仿宋_GBK" w:cs="方正仿宋_GBK"/>
          <w:sz w:val="32"/>
          <w:szCs w:val="32"/>
        </w:rPr>
        <w:t>轻量化目标：轮毂重量较现有产品降低 ≥ 5%；</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w:t>
      </w:r>
      <w:r>
        <w:rPr>
          <w:rFonts w:hint="eastAsia" w:ascii="方正仿宋_GBK" w:hAnsi="方正仿宋_GBK" w:eastAsia="方正仿宋_GBK" w:cs="方正仿宋_GBK"/>
          <w:sz w:val="32"/>
          <w:szCs w:val="32"/>
          <w:lang w:val="en-US" w:eastAsia="zh-CN"/>
        </w:rPr>
        <w:t>.3</w:t>
      </w:r>
      <w:r>
        <w:rPr>
          <w:rFonts w:hint="eastAsia" w:ascii="方正仿宋_GBK" w:hAnsi="方正仿宋_GBK" w:eastAsia="方正仿宋_GBK" w:cs="方正仿宋_GBK"/>
          <w:sz w:val="32"/>
          <w:szCs w:val="32"/>
        </w:rPr>
        <w:t>高效再生利用：Fe含量容忍上限提高至0.25%；</w:t>
      </w:r>
    </w:p>
    <w:p>
      <w:pPr>
        <w:spacing w:line="580" w:lineRule="exact"/>
        <w:ind w:firstLine="640"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sz w:val="32"/>
          <w:szCs w:val="32"/>
          <w:lang w:val="en-US" w:eastAsia="zh-CN"/>
        </w:rPr>
        <w:t>3.4</w:t>
      </w:r>
      <w:r>
        <w:rPr>
          <w:rFonts w:hint="eastAsia" w:ascii="方正仿宋_GBK" w:hAnsi="方正仿宋_GBK" w:eastAsia="方正仿宋_GBK" w:cs="方正仿宋_GBK"/>
          <w:sz w:val="32"/>
          <w:szCs w:val="32"/>
        </w:rPr>
        <w:t>知识产权：联合申请发明专利 ≥ 2项。</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4.</w:t>
      </w:r>
      <w:r>
        <w:rPr>
          <w:rFonts w:hint="eastAsia" w:ascii="方正仿宋_GBK" w:hAnsi="方正仿宋_GBK" w:eastAsia="方正仿宋_GBK" w:cs="方正仿宋_GBK"/>
          <w:b/>
          <w:bCs/>
          <w:sz w:val="32"/>
          <w:szCs w:val="32"/>
        </w:rPr>
        <w:t>研发经费总额</w:t>
      </w:r>
      <w:r>
        <w:rPr>
          <w:rFonts w:hint="eastAsia" w:ascii="方正仿宋_GBK" w:hAnsi="方正仿宋_GBK" w:eastAsia="方正仿宋_GBK" w:cs="方正仿宋_GBK"/>
          <w:sz w:val="32"/>
          <w:szCs w:val="32"/>
        </w:rPr>
        <w:t>：300万元</w:t>
      </w:r>
    </w:p>
    <w:p>
      <w:pPr>
        <w:spacing w:line="580" w:lineRule="exact"/>
        <w:ind w:firstLine="640" w:firstLineChars="200"/>
        <w:rPr>
          <w:rFonts w:hint="eastAsia" w:ascii="方正仿宋_GBK" w:hAnsi="方正仿宋_GBK" w:eastAsia="方正仿宋_GBK" w:cs="方正仿宋_GBK"/>
          <w:sz w:val="32"/>
          <w:szCs w:val="32"/>
        </w:rPr>
      </w:pPr>
    </w:p>
    <w:p>
      <w:pPr>
        <w:autoSpaceDE w:val="0"/>
        <w:adjustRightInd w:val="0"/>
        <w:snapToGrid w:val="0"/>
        <w:spacing w:line="580" w:lineRule="exact"/>
        <w:ind w:firstLine="640" w:firstLineChars="200"/>
        <w:rPr>
          <w:rFonts w:hint="eastAsia" w:ascii="方正黑体_GBK" w:hAnsi="方正黑体_GBK" w:eastAsia="方正黑体_GBK" w:cs="方正黑体_GBK"/>
          <w:kern w:val="0"/>
          <w:sz w:val="32"/>
          <w:szCs w:val="32"/>
          <w:lang w:bidi="ar"/>
        </w:rPr>
      </w:pPr>
      <w:r>
        <w:rPr>
          <w:rFonts w:hint="eastAsia" w:ascii="方正黑体_GBK" w:hAnsi="方正黑体_GBK" w:eastAsia="方正黑体_GBK" w:cs="方正黑体_GBK"/>
          <w:kern w:val="0"/>
          <w:sz w:val="32"/>
          <w:szCs w:val="32"/>
          <w:lang w:bidi="ar"/>
        </w:rPr>
        <w:t>项目领域</w:t>
      </w:r>
      <w:r>
        <w:rPr>
          <w:rFonts w:hint="eastAsia" w:ascii="方正黑体_GBK" w:hAnsi="方正黑体_GBK" w:eastAsia="方正黑体_GBK" w:cs="方正黑体_GBK"/>
          <w:kern w:val="0"/>
          <w:sz w:val="32"/>
          <w:szCs w:val="32"/>
          <w:lang w:eastAsia="zh-CN" w:bidi="ar"/>
        </w:rPr>
        <w:t>五</w:t>
      </w:r>
      <w:r>
        <w:rPr>
          <w:rFonts w:hint="eastAsia" w:ascii="方正黑体_GBK" w:hAnsi="方正黑体_GBK" w:eastAsia="方正黑体_GBK" w:cs="方正黑体_GBK"/>
          <w:kern w:val="0"/>
          <w:sz w:val="32"/>
          <w:szCs w:val="32"/>
          <w:lang w:bidi="ar"/>
        </w:rPr>
        <w:t>：高端装备制造</w:t>
      </w:r>
    </w:p>
    <w:p>
      <w:pPr>
        <w:autoSpaceDE w:val="0"/>
        <w:adjustRightInd w:val="0"/>
        <w:snapToGrid w:val="0"/>
        <w:spacing w:line="580" w:lineRule="exact"/>
        <w:ind w:firstLine="642" w:firstLineChars="200"/>
        <w:rPr>
          <w:rFonts w:hint="eastAsia" w:ascii="方正楷体_GBK" w:hAnsi="方正楷体_GBK" w:eastAsia="方正楷体_GBK" w:cs="方正楷体_GBK"/>
          <w:kern w:val="0"/>
          <w:sz w:val="32"/>
          <w:szCs w:val="32"/>
          <w:highlight w:val="yellow"/>
          <w:lang w:bidi="ar"/>
        </w:rPr>
      </w:pPr>
      <w:r>
        <w:rPr>
          <w:rFonts w:hint="eastAsia" w:ascii="方正楷体_GBK" w:hAnsi="方正楷体_GBK" w:eastAsia="方正楷体_GBK" w:cs="方正楷体_GBK"/>
          <w:b/>
          <w:bCs/>
          <w:kern w:val="0"/>
          <w:sz w:val="32"/>
          <w:szCs w:val="32"/>
          <w:lang w:val="en-US" w:eastAsia="zh-CN" w:bidi="ar"/>
        </w:rPr>
        <w:t>方向</w:t>
      </w:r>
      <w:r>
        <w:rPr>
          <w:rFonts w:hint="eastAsia" w:ascii="方正楷体_GBK" w:hAnsi="方正楷体_GBK" w:eastAsia="方正楷体_GBK" w:cs="方正楷体_GBK"/>
          <w:b/>
          <w:bCs/>
          <w:kern w:val="0"/>
          <w:sz w:val="32"/>
          <w:szCs w:val="32"/>
          <w:lang w:val="en-US" w:eastAsia="zh-CN" w:bidi="ar"/>
        </w:rPr>
        <w:t>5.1</w:t>
      </w:r>
      <w:r>
        <w:rPr>
          <w:rFonts w:hint="eastAsia" w:ascii="方正楷体_GBK" w:hAnsi="方正楷体_GBK" w:eastAsia="方正楷体_GBK" w:cs="方正楷体_GBK"/>
          <w:b/>
          <w:bCs/>
          <w:kern w:val="0"/>
          <w:sz w:val="32"/>
          <w:szCs w:val="32"/>
          <w:lang w:bidi="ar"/>
        </w:rPr>
        <w:t>：生物降解塑料PLA挤出复合关键技术研究与专用成型装备开发</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1.</w:t>
      </w:r>
      <w:r>
        <w:rPr>
          <w:rFonts w:hint="eastAsia" w:ascii="方正仿宋_GBK" w:hAnsi="方正仿宋_GBK" w:eastAsia="方正仿宋_GBK" w:cs="方正仿宋_GBK"/>
          <w:b/>
          <w:bCs/>
          <w:sz w:val="32"/>
          <w:szCs w:val="32"/>
        </w:rPr>
        <w:t>技术方向</w:t>
      </w:r>
      <w:r>
        <w:rPr>
          <w:rFonts w:hint="eastAsia" w:ascii="方正仿宋_GBK" w:hAnsi="方正仿宋_GBK" w:eastAsia="方正仿宋_GBK" w:cs="方正仿宋_GBK"/>
          <w:sz w:val="32"/>
          <w:szCs w:val="32"/>
        </w:rPr>
        <w:t>：PLA绿色淋膜纸高效挤出复合技术</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2.</w:t>
      </w:r>
      <w:r>
        <w:rPr>
          <w:rFonts w:hint="eastAsia" w:ascii="方正仿宋_GBK" w:hAnsi="方正仿宋_GBK" w:eastAsia="方正仿宋_GBK" w:cs="方正仿宋_GBK"/>
          <w:b/>
          <w:bCs/>
          <w:sz w:val="32"/>
          <w:szCs w:val="32"/>
        </w:rPr>
        <w:t>攻关需求</w:t>
      </w:r>
      <w:r>
        <w:rPr>
          <w:rFonts w:hint="eastAsia" w:ascii="方正仿宋_GBK" w:hAnsi="方正仿宋_GBK" w:eastAsia="方正仿宋_GBK" w:cs="方正仿宋_GBK"/>
          <w:sz w:val="32"/>
          <w:szCs w:val="32"/>
        </w:rPr>
        <w:t>：面向全球环保要求提升和国家“双碳”战略推进背景下纸质包装绿色转型的迫切需求，研究生物降解塑料PLA在挤出复合淋膜纸应用中的行业难点，攻克PLA材料因熔体强度低、热稳定性差、加工窗口窄导致的涂覆均匀性差、界面结合强度不足及高效生产难以实现等关键技术难题，形成具有自主知识产权的PLA专用挤出模头优化设计、纸基精准预热控制、复合辊区界面传热预测等核心技术体系，推动国产高端挤出复合装备升级，打破国外技术垄断，促进PLA淋膜纸的规模化应用，</w:t>
      </w:r>
      <w:r>
        <w:rPr>
          <w:rFonts w:hint="eastAsia" w:ascii="方正仿宋_GBK" w:hAnsi="方正仿宋_GBK" w:eastAsia="方正仿宋_GBK" w:cs="方正仿宋_GBK"/>
          <w:sz w:val="32"/>
          <w:szCs w:val="32"/>
          <w:highlight w:val="none"/>
        </w:rPr>
        <w:t>预计开发出高效PLA挤出复合成型装备，实现PLA高速涂覆设备销售若干套/实现装备（改造）定型。</w:t>
      </w:r>
      <w:r>
        <w:rPr>
          <w:rFonts w:hint="eastAsia" w:ascii="方正仿宋_GBK" w:hAnsi="方正仿宋_GBK" w:eastAsia="方正仿宋_GBK" w:cs="方正仿宋_GBK"/>
          <w:sz w:val="32"/>
          <w:szCs w:val="32"/>
        </w:rPr>
        <w:t>带动上下游产业链协同发展，显著降低一次性纸塑包装碳排放50%-75%，为我国塑料污染治理和绿色包装产业发展提供关键技术支撑。</w:t>
      </w:r>
    </w:p>
    <w:p>
      <w:pPr>
        <w:spacing w:line="580" w:lineRule="exact"/>
        <w:ind w:firstLine="642"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3.</w:t>
      </w:r>
      <w:r>
        <w:rPr>
          <w:rFonts w:hint="eastAsia" w:ascii="方正仿宋_GBK" w:hAnsi="方正仿宋_GBK" w:eastAsia="方正仿宋_GBK" w:cs="方正仿宋_GBK"/>
          <w:b/>
          <w:bCs/>
          <w:sz w:val="32"/>
          <w:szCs w:val="32"/>
        </w:rPr>
        <w:t>核心指标：</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lang w:val="en-US" w:eastAsia="zh-CN"/>
        </w:rPr>
        <w:t>3.1</w:t>
      </w:r>
      <w:r>
        <w:rPr>
          <w:rFonts w:hint="eastAsia" w:ascii="方正仿宋_GBK" w:hAnsi="方正仿宋_GBK" w:eastAsia="方正仿宋_GBK" w:cs="方正仿宋_GBK"/>
          <w:sz w:val="32"/>
          <w:szCs w:val="32"/>
        </w:rPr>
        <w:t>PLA淋膜纸横向厚度均匀性：±3gsm以内；</w:t>
      </w:r>
      <w:bookmarkStart w:id="0" w:name="OLE_LINK2"/>
      <w:r>
        <w:rPr>
          <w:rFonts w:hint="eastAsia" w:ascii="方正仿宋_GBK" w:hAnsi="方正仿宋_GBK" w:eastAsia="方正仿宋_GBK" w:cs="方正仿宋_GBK"/>
          <w:sz w:val="32"/>
          <w:szCs w:val="32"/>
          <w:highlight w:val="none"/>
        </w:rPr>
        <w:t>定量偏差+-4.0%；横幅厚度差&lt;=4%；无膜孔眼</w:t>
      </w:r>
      <w:bookmarkEnd w:id="0"/>
      <w:r>
        <w:rPr>
          <w:rFonts w:hint="eastAsia" w:ascii="方正仿宋_GBK" w:hAnsi="方正仿宋_GBK" w:eastAsia="方正仿宋_GBK" w:cs="方正仿宋_GBK"/>
          <w:sz w:val="32"/>
          <w:szCs w:val="32"/>
          <w:highlight w:val="none"/>
        </w:rPr>
        <w:t>；</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3.2</w:t>
      </w:r>
      <w:r>
        <w:rPr>
          <w:rFonts w:hint="eastAsia" w:ascii="方正仿宋_GBK" w:hAnsi="方正仿宋_GBK" w:eastAsia="方正仿宋_GBK" w:cs="方正仿宋_GBK"/>
          <w:sz w:val="32"/>
          <w:szCs w:val="32"/>
        </w:rPr>
        <w:t>烘箱温度控制精度：设定值±2℃稳态精度；</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3.3 </w:t>
      </w:r>
      <w:r>
        <w:rPr>
          <w:rFonts w:hint="eastAsia" w:ascii="方正仿宋_GBK" w:hAnsi="方正仿宋_GBK" w:eastAsia="方正仿宋_GBK" w:cs="方正仿宋_GBK"/>
          <w:sz w:val="32"/>
          <w:szCs w:val="32"/>
        </w:rPr>
        <w:t>PLA与纸张剥离强度：拉出纸毛；</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3.4</w:t>
      </w:r>
      <w:r>
        <w:rPr>
          <w:rFonts w:hint="eastAsia" w:ascii="方正仿宋_GBK" w:hAnsi="方正仿宋_GBK" w:eastAsia="方正仿宋_GBK" w:cs="方正仿宋_GBK"/>
          <w:sz w:val="32"/>
          <w:szCs w:val="32"/>
        </w:rPr>
        <w:t>生产线复合涂覆速度：≥80m/min；</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3.5 </w:t>
      </w:r>
      <w:r>
        <w:rPr>
          <w:rFonts w:hint="eastAsia" w:ascii="方正仿宋_GBK" w:hAnsi="方正仿宋_GBK" w:eastAsia="方正仿宋_GBK" w:cs="方正仿宋_GBK"/>
          <w:sz w:val="32"/>
          <w:szCs w:val="32"/>
        </w:rPr>
        <w:t>PLA涂层厚度范围：20-40μm可调；</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3.6</w:t>
      </w:r>
      <w:r>
        <w:rPr>
          <w:rFonts w:hint="eastAsia" w:ascii="方正仿宋_GBK" w:hAnsi="方正仿宋_GBK" w:eastAsia="方正仿宋_GBK" w:cs="方正仿宋_GBK"/>
          <w:sz w:val="32"/>
          <w:szCs w:val="32"/>
        </w:rPr>
        <w:t>生物降解塑料PLA挤出复合专用成型新装备1台；</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3.7</w:t>
      </w:r>
      <w:r>
        <w:rPr>
          <w:rFonts w:hint="eastAsia" w:ascii="方正仿宋_GBK" w:hAnsi="方正仿宋_GBK" w:eastAsia="方正仿宋_GBK" w:cs="方正仿宋_GBK"/>
          <w:sz w:val="32"/>
          <w:szCs w:val="32"/>
        </w:rPr>
        <w:t>申请发明专利2项及以上；</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3.8</w:t>
      </w:r>
      <w:r>
        <w:rPr>
          <w:rFonts w:hint="eastAsia" w:ascii="方正仿宋_GBK" w:hAnsi="方正仿宋_GBK" w:eastAsia="方正仿宋_GBK" w:cs="方正仿宋_GBK"/>
          <w:sz w:val="32"/>
          <w:szCs w:val="32"/>
        </w:rPr>
        <w:t>发表论文2篇及以上；</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3.9</w:t>
      </w:r>
      <w:r>
        <w:rPr>
          <w:rFonts w:hint="eastAsia" w:ascii="方正仿宋_GBK" w:hAnsi="方正仿宋_GBK" w:eastAsia="方正仿宋_GBK" w:cs="方正仿宋_GBK"/>
          <w:sz w:val="32"/>
          <w:szCs w:val="32"/>
        </w:rPr>
        <w:t>技术指标检测报告1份；</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3.10</w:t>
      </w:r>
      <w:r>
        <w:rPr>
          <w:rFonts w:hint="eastAsia" w:ascii="方正仿宋_GBK" w:hAnsi="方正仿宋_GBK" w:eastAsia="方正仿宋_GBK" w:cs="方正仿宋_GBK"/>
          <w:sz w:val="32"/>
          <w:szCs w:val="32"/>
        </w:rPr>
        <w:t>新工艺（新方法或新模式）1项。</w:t>
      </w:r>
    </w:p>
    <w:p>
      <w:pPr>
        <w:spacing w:line="580" w:lineRule="exact"/>
        <w:ind w:firstLine="640" w:firstLineChars="200"/>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sz w:val="32"/>
          <w:szCs w:val="32"/>
          <w:highlight w:val="none"/>
        </w:rPr>
        <w:t>其中，指标1</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3</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4</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5应系无柠檬酸酯类未授权物质添加下取得。</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4.</w:t>
      </w:r>
      <w:r>
        <w:rPr>
          <w:rFonts w:hint="eastAsia" w:ascii="方正仿宋_GBK" w:hAnsi="方正仿宋_GBK" w:eastAsia="方正仿宋_GBK" w:cs="方正仿宋_GBK"/>
          <w:b/>
          <w:bCs/>
          <w:sz w:val="32"/>
          <w:szCs w:val="32"/>
        </w:rPr>
        <w:t>研发经费总额</w:t>
      </w:r>
      <w:r>
        <w:rPr>
          <w:rFonts w:hint="eastAsia" w:ascii="方正仿宋_GBK" w:hAnsi="方正仿宋_GBK" w:eastAsia="方正仿宋_GBK" w:cs="方正仿宋_GBK"/>
          <w:sz w:val="32"/>
          <w:szCs w:val="32"/>
        </w:rPr>
        <w:t>：300万元</w:t>
      </w:r>
    </w:p>
    <w:p>
      <w:pPr>
        <w:spacing w:line="580" w:lineRule="exact"/>
        <w:ind w:firstLine="640" w:firstLineChars="200"/>
        <w:rPr>
          <w:rFonts w:hint="eastAsia" w:ascii="方正黑体_GBK" w:hAnsi="方正黑体_GBK" w:eastAsia="方正黑体_GBK" w:cs="方正黑体_GBK"/>
          <w:sz w:val="32"/>
          <w:szCs w:val="32"/>
        </w:rPr>
      </w:pPr>
    </w:p>
    <w:p>
      <w:pPr>
        <w:autoSpaceDE w:val="0"/>
        <w:adjustRightInd w:val="0"/>
        <w:snapToGrid w:val="0"/>
        <w:spacing w:line="580" w:lineRule="exact"/>
        <w:ind w:firstLine="640" w:firstLineChars="200"/>
        <w:rPr>
          <w:rFonts w:hint="eastAsia" w:ascii="方正黑体_GBK" w:hAnsi="方正黑体_GBK" w:eastAsia="方正黑体_GBK" w:cs="方正黑体_GBK"/>
          <w:kern w:val="0"/>
          <w:sz w:val="32"/>
          <w:szCs w:val="32"/>
          <w:lang w:bidi="ar"/>
        </w:rPr>
      </w:pPr>
      <w:r>
        <w:rPr>
          <w:rFonts w:hint="eastAsia" w:ascii="方正黑体_GBK" w:hAnsi="方正黑体_GBK" w:eastAsia="方正黑体_GBK" w:cs="方正黑体_GBK"/>
          <w:kern w:val="0"/>
          <w:sz w:val="32"/>
          <w:szCs w:val="32"/>
          <w:lang w:bidi="ar"/>
        </w:rPr>
        <w:t>项目领域</w:t>
      </w:r>
      <w:r>
        <w:rPr>
          <w:rFonts w:hint="eastAsia" w:ascii="方正黑体_GBK" w:hAnsi="方正黑体_GBK" w:eastAsia="方正黑体_GBK" w:cs="方正黑体_GBK"/>
          <w:kern w:val="0"/>
          <w:sz w:val="32"/>
          <w:szCs w:val="32"/>
          <w:lang w:eastAsia="zh-CN" w:bidi="ar"/>
        </w:rPr>
        <w:t>六</w:t>
      </w:r>
      <w:r>
        <w:rPr>
          <w:rFonts w:hint="eastAsia" w:ascii="方正黑体_GBK" w:hAnsi="方正黑体_GBK" w:eastAsia="方正黑体_GBK" w:cs="方正黑体_GBK"/>
          <w:kern w:val="0"/>
          <w:sz w:val="32"/>
          <w:szCs w:val="32"/>
          <w:lang w:bidi="ar"/>
        </w:rPr>
        <w:t>：安全应急与环保</w:t>
      </w:r>
    </w:p>
    <w:p>
      <w:pPr>
        <w:autoSpaceDE w:val="0"/>
        <w:adjustRightInd w:val="0"/>
        <w:snapToGrid w:val="0"/>
        <w:spacing w:line="580" w:lineRule="exact"/>
        <w:ind w:firstLine="642" w:firstLineChars="200"/>
        <w:rPr>
          <w:rFonts w:hint="eastAsia" w:ascii="方正仿宋_GBK" w:hAnsi="方正仿宋_GBK" w:eastAsia="方正仿宋_GBK" w:cs="方正仿宋_GBK"/>
          <w:kern w:val="0"/>
          <w:sz w:val="32"/>
          <w:szCs w:val="32"/>
          <w:highlight w:val="yellow"/>
          <w:lang w:bidi="ar"/>
        </w:rPr>
      </w:pPr>
      <w:r>
        <w:rPr>
          <w:rFonts w:hint="eastAsia" w:ascii="方正仿宋_GBK" w:hAnsi="方正仿宋_GBK" w:eastAsia="方正仿宋_GBK" w:cs="方正仿宋_GBK"/>
          <w:b/>
          <w:bCs/>
          <w:kern w:val="0"/>
          <w:sz w:val="32"/>
          <w:szCs w:val="32"/>
          <w:lang w:val="en-US" w:eastAsia="zh-CN" w:bidi="ar"/>
        </w:rPr>
        <w:t>方向</w:t>
      </w:r>
      <w:r>
        <w:rPr>
          <w:rFonts w:hint="eastAsia" w:ascii="方正仿宋_GBK" w:hAnsi="方正仿宋_GBK" w:eastAsia="方正仿宋_GBK" w:cs="方正仿宋_GBK"/>
          <w:b/>
          <w:bCs/>
          <w:kern w:val="0"/>
          <w:sz w:val="32"/>
          <w:szCs w:val="32"/>
          <w:lang w:val="en-US" w:eastAsia="zh-CN" w:bidi="ar"/>
        </w:rPr>
        <w:t>6.1</w:t>
      </w:r>
      <w:r>
        <w:rPr>
          <w:rFonts w:hint="eastAsia" w:ascii="方正仿宋_GBK" w:hAnsi="方正仿宋_GBK" w:eastAsia="方正仿宋_GBK" w:cs="方正仿宋_GBK"/>
          <w:b/>
          <w:bCs/>
          <w:kern w:val="0"/>
          <w:sz w:val="32"/>
          <w:szCs w:val="32"/>
          <w:lang w:bidi="ar"/>
        </w:rPr>
        <w:t>：半导体靶材用高纯银颗粒制备技术研究及产业化</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1.</w:t>
      </w:r>
      <w:r>
        <w:rPr>
          <w:rFonts w:hint="eastAsia" w:ascii="方正仿宋_GBK" w:hAnsi="方正仿宋_GBK" w:eastAsia="方正仿宋_GBK" w:cs="方正仿宋_GBK"/>
          <w:b/>
          <w:bCs/>
          <w:sz w:val="32"/>
          <w:szCs w:val="32"/>
        </w:rPr>
        <w:t>技术方向</w:t>
      </w:r>
      <w:r>
        <w:rPr>
          <w:rFonts w:hint="eastAsia" w:ascii="方正仿宋_GBK" w:hAnsi="方正仿宋_GBK" w:eastAsia="方正仿宋_GBK" w:cs="方正仿宋_GBK"/>
          <w:sz w:val="32"/>
          <w:szCs w:val="32"/>
        </w:rPr>
        <w:t>：高纯银制备与纯化技术</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2.</w:t>
      </w:r>
      <w:r>
        <w:rPr>
          <w:rFonts w:hint="eastAsia" w:ascii="方正仿宋_GBK" w:hAnsi="方正仿宋_GBK" w:eastAsia="方正仿宋_GBK" w:cs="方正仿宋_GBK"/>
          <w:b/>
          <w:bCs/>
          <w:sz w:val="32"/>
          <w:szCs w:val="32"/>
        </w:rPr>
        <w:t>攻关需求</w:t>
      </w:r>
      <w:r>
        <w:rPr>
          <w:rFonts w:hint="eastAsia" w:ascii="方正仿宋_GBK" w:hAnsi="方正仿宋_GBK" w:eastAsia="方正仿宋_GBK" w:cs="方正仿宋_GBK"/>
          <w:sz w:val="32"/>
          <w:szCs w:val="32"/>
        </w:rPr>
        <w:t>：为了突破半导体靶材用高纯银颗粒制备中敏感杂质深度脱除难、真空熔炼制粒过程非金属杂质引入难控等行业技术瓶颈，本项目研究电解母液深度净化、电解-膜分离-离子交换多技术集成除杂、高效节能电解体系优化及银颗粒表面洁净制备等关键技术，攻克硝酸银母液中Te、Sn、Pd、Bi等相近物性杂质分离困难、单一电解无法满足99.9993%超高纯要求、传统电极材料副反应导致能耗高、熔炼与切粒过程易引入C/N/O/S杂质等核心壁垒，最终形成年产高纯银颗粒产业化示范线，产品纯度达99.9993%以上，杂质指标全面优于国标，推动我国高端靶材用银基材料自主供应，提升企业在贵金属循环经济领域的国际竞争力与产业效益。</w:t>
      </w:r>
    </w:p>
    <w:p>
      <w:pPr>
        <w:spacing w:line="580" w:lineRule="exact"/>
        <w:ind w:firstLine="642"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3.</w:t>
      </w:r>
      <w:r>
        <w:rPr>
          <w:rFonts w:hint="eastAsia" w:ascii="方正仿宋_GBK" w:hAnsi="方正仿宋_GBK" w:eastAsia="方正仿宋_GBK" w:cs="方正仿宋_GBK"/>
          <w:b/>
          <w:bCs/>
          <w:sz w:val="32"/>
          <w:szCs w:val="32"/>
        </w:rPr>
        <w:t>核心指标：</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3.1</w:t>
      </w:r>
      <w:r>
        <w:rPr>
          <w:rFonts w:hint="eastAsia" w:ascii="方正仿宋_GBK" w:hAnsi="方正仿宋_GBK" w:eastAsia="方正仿宋_GBK" w:cs="方正仿宋_GBK"/>
          <w:sz w:val="32"/>
          <w:szCs w:val="32"/>
        </w:rPr>
        <w:t>以99.95%银为原料，硝酸溶解制备硝酸银溶液，研究氧化银净化后重结晶提纯技术，控制电解母液主要杂质元素铅、碲、铋、锡的质量浓度不大于10ppm。</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lang w:val="en-US" w:eastAsia="zh-CN"/>
        </w:rPr>
        <w:t>3.2</w:t>
      </w:r>
      <w:r>
        <w:rPr>
          <w:rFonts w:hint="eastAsia" w:ascii="方正仿宋_GBK" w:hAnsi="方正仿宋_GBK" w:eastAsia="方正仿宋_GBK" w:cs="方正仿宋_GBK"/>
          <w:sz w:val="32"/>
          <w:szCs w:val="32"/>
        </w:rPr>
        <w:t>以电解提纯为主体工艺，集成膜分离技术、离子交换技术等高效多</w:t>
      </w:r>
      <w:r>
        <w:rPr>
          <w:rFonts w:hint="eastAsia" w:ascii="方正仿宋_GBK" w:hAnsi="方正仿宋_GBK" w:eastAsia="方正仿宋_GBK" w:cs="方正仿宋_GBK"/>
          <w:sz w:val="32"/>
          <w:szCs w:val="32"/>
          <w:highlight w:val="none"/>
        </w:rPr>
        <w:t>功能杂质分离技术，深度脱除铜、镍、铅、碲、铋、锡等微量杂质，制备出纯度99.9993%金属银，其杂质元素含量不大于国家标准GB/T39810-2021高纯银锭IC-Ag99.999的要求。同时完善高纯金属银的相关检测标准。</w:t>
      </w:r>
    </w:p>
    <w:p>
      <w:pPr>
        <w:spacing w:line="58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w:t>
      </w:r>
      <w:r>
        <w:rPr>
          <w:rFonts w:hint="eastAsia" w:ascii="方正仿宋_GBK" w:hAnsi="方正仿宋_GBK" w:eastAsia="方正仿宋_GBK" w:cs="方正仿宋_GBK"/>
          <w:sz w:val="32"/>
          <w:szCs w:val="32"/>
          <w:highlight w:val="none"/>
          <w:lang w:val="en-US" w:eastAsia="zh-CN"/>
        </w:rPr>
        <w:t>.3</w:t>
      </w:r>
      <w:r>
        <w:rPr>
          <w:rFonts w:hint="eastAsia" w:ascii="方正仿宋_GBK" w:hAnsi="方正仿宋_GBK" w:eastAsia="方正仿宋_GBK" w:cs="方正仿宋_GBK"/>
          <w:sz w:val="32"/>
          <w:szCs w:val="32"/>
          <w:highlight w:val="none"/>
        </w:rPr>
        <w:t>选择高效电极材料提高电极的导电性、耐腐蚀性和表面活性，优化电流密度、电解液浓度和反应条件，避免电极副反应产生，降低单位纯银的生产能耗，提高电解效率，减少环境污染压力。</w:t>
      </w:r>
    </w:p>
    <w:p>
      <w:pPr>
        <w:spacing w:line="58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highlight w:val="none"/>
          <w:lang w:val="en-US" w:eastAsia="zh-CN"/>
        </w:rPr>
        <w:t>3.4</w:t>
      </w:r>
      <w:r>
        <w:rPr>
          <w:rFonts w:hint="eastAsia" w:ascii="方正仿宋_GBK" w:hAnsi="方正仿宋_GBK" w:eastAsia="方正仿宋_GBK" w:cs="方正仿宋_GBK"/>
          <w:sz w:val="32"/>
          <w:szCs w:val="32"/>
          <w:highlight w:val="none"/>
        </w:rPr>
        <w:t>集成开发传感器和自动化智能控制系统、封闭式电解装置、电解液酸度在线监控与调节系统等成套关键装备，攻克高电流密度下浓差极化、阳极钝化等行业共</w:t>
      </w:r>
      <w:r>
        <w:rPr>
          <w:rFonts w:hint="eastAsia" w:ascii="方正仿宋_GBK" w:hAnsi="方正仿宋_GBK" w:eastAsia="方正仿宋_GBK" w:cs="方正仿宋_GBK"/>
          <w:sz w:val="32"/>
          <w:szCs w:val="32"/>
        </w:rPr>
        <w:t>性技术难题，减少酸雾溢出，改善了作业环境，提升工艺可控性。</w:t>
      </w:r>
    </w:p>
    <w:p>
      <w:pPr>
        <w:spacing w:line="580" w:lineRule="exact"/>
        <w:ind w:firstLine="640" w:firstLineChars="200"/>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sz w:val="32"/>
          <w:szCs w:val="32"/>
          <w:lang w:val="en-US" w:eastAsia="zh-CN"/>
        </w:rPr>
        <w:t>3.5</w:t>
      </w:r>
      <w:r>
        <w:rPr>
          <w:rFonts w:hint="eastAsia" w:ascii="方正仿宋_GBK" w:hAnsi="方正仿宋_GBK" w:eastAsia="方正仿宋_GBK" w:cs="方正仿宋_GBK"/>
          <w:sz w:val="32"/>
          <w:szCs w:val="32"/>
        </w:rPr>
        <w:t>精准调控氩气纯度、熔炼真空度、熔炼过程气压以及筛选不同材质的器皿，减少高纯银颗粒制备中非金属杂质C、N、O、S的掺入，制备出纯度大于99.999%高纯银颗粒。</w:t>
      </w:r>
    </w:p>
    <w:p>
      <w:pPr>
        <w:spacing w:line="580" w:lineRule="exact"/>
        <w:ind w:firstLine="642"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val="en-US" w:eastAsia="zh-CN"/>
        </w:rPr>
        <w:t>4.</w:t>
      </w:r>
      <w:r>
        <w:rPr>
          <w:rFonts w:hint="eastAsia" w:ascii="方正仿宋_GBK" w:hAnsi="方正仿宋_GBK" w:eastAsia="方正仿宋_GBK" w:cs="方正仿宋_GBK"/>
          <w:b/>
          <w:bCs/>
          <w:sz w:val="32"/>
          <w:szCs w:val="32"/>
        </w:rPr>
        <w:t>研发经费总额</w:t>
      </w:r>
      <w:r>
        <w:rPr>
          <w:rFonts w:hint="eastAsia" w:ascii="方正仿宋_GBK" w:hAnsi="方正仿宋_GBK" w:eastAsia="方正仿宋_GBK" w:cs="方正仿宋_GBK"/>
          <w:sz w:val="32"/>
          <w:szCs w:val="32"/>
        </w:rPr>
        <w:t>：800万元</w:t>
      </w:r>
    </w:p>
    <w:p>
      <w:pPr>
        <w:rPr>
          <w:rFonts w:hint="eastAsia" w:ascii="方正仿宋_GBK" w:hAnsi="方正仿宋_GBK" w:eastAsia="方正仿宋_GBK" w:cs="方正仿宋_GBK"/>
          <w:sz w:val="32"/>
          <w:szCs w:val="32"/>
        </w:rPr>
      </w:pPr>
      <w:bookmarkStart w:id="1" w:name="_GoBack"/>
      <w:bookmarkEnd w:id="1"/>
    </w:p>
    <w:sectPr>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大标宋_GBK">
    <w:panose1 w:val="03000509000000000000"/>
    <w:charset w:val="86"/>
    <w:family w:val="auto"/>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
    <w:altName w:val="方正楷体_GBK"/>
    <w:panose1 w:val="02010609060101010101"/>
    <w:charset w:val="00"/>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2049" o:spid="_x0000_s2049"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7BB63BD"/>
    <w:rsid w:val="77BB63BD"/>
    <w:rsid w:val="7AEF5097"/>
    <w:rsid w:val="7F7F9DDD"/>
    <w:rsid w:val="97B71C5B"/>
    <w:rsid w:val="9F7A16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25</TotalTime>
  <ScaleCrop>false</ScaleCrop>
  <LinksUpToDate>false</LinksUpToDate>
  <CharactersWithSpaces>0</CharactersWithSpaces>
  <Application>WPS Office_11.8.2.1122_F1E327BC-269C-435d-A152-05C5408002CA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2026-07-11T08:32:00Z</dcterms:created>
  <dc:creator>Fuyang</dc:creator>
  <cp:lastModifiedBy>greatwall</cp:lastModifiedBy>
  <dcterms:modified xsi:type="dcterms:W3CDTF">2026-07-23T17:06:17Z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2052-11.8.2.1122</vt:lpwstr>
  </property>
  <property fmtid="{D5CDD505-2E9C-101B-9397-08002B2CF9AE}" pid="3" name="ICV">
    <vt:lpwstr>E6FC8172E15B733318FD5D6A13C469A8</vt:lpwstr>
  </property>
</Properties>
</file>