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1E110">
      <w:pPr>
        <w:spacing w:line="560" w:lineRule="exact"/>
        <w:rPr>
          <w:rFonts w:hint="eastAsia" w:ascii="黑体" w:hAnsi="黑体" w:eastAsia="黑体"/>
          <w:sz w:val="32"/>
          <w:szCs w:val="32"/>
          <w:lang w:eastAsia="zh-CN"/>
        </w:rPr>
      </w:pPr>
      <w:r>
        <w:rPr>
          <w:rFonts w:hint="eastAsia" w:ascii="黑体" w:hAnsi="黑体" w:eastAsia="黑体"/>
          <w:sz w:val="32"/>
          <w:szCs w:val="32"/>
        </w:rPr>
        <w:t>附件</w:t>
      </w:r>
      <w:r>
        <w:rPr>
          <w:rFonts w:hint="eastAsia" w:ascii="黑体" w:hAnsi="黑体" w:eastAsia="黑体"/>
          <w:sz w:val="32"/>
          <w:szCs w:val="32"/>
          <w:lang w:val="en-US" w:eastAsia="zh-CN"/>
        </w:rPr>
        <w:t>3</w:t>
      </w:r>
    </w:p>
    <w:p w14:paraId="4BFA5C5B">
      <w:pPr>
        <w:spacing w:line="560" w:lineRule="exact"/>
        <w:jc w:val="center"/>
        <w:rPr>
          <w:rFonts w:ascii="黑体" w:hAnsi="黑体" w:eastAsia="黑体"/>
          <w:sz w:val="32"/>
          <w:szCs w:val="32"/>
        </w:rPr>
      </w:pPr>
      <w:r>
        <w:rPr>
          <w:rFonts w:hint="eastAsia" w:ascii="黑体" w:hAnsi="黑体" w:eastAsia="黑体"/>
          <w:sz w:val="32"/>
          <w:szCs w:val="32"/>
        </w:rPr>
        <w:t>评分表</w:t>
      </w:r>
    </w:p>
    <w:p w14:paraId="696F266F">
      <w:pPr>
        <w:spacing w:line="56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sz w:val="32"/>
          <w:szCs w:val="32"/>
        </w:rPr>
        <w:t>自评单位名称：</w:t>
      </w:r>
      <w:r>
        <w:rPr>
          <w:rFonts w:hint="eastAsia" w:ascii="仿宋_GB2312" w:hAnsi="仿宋_GB2312" w:eastAsia="仿宋_GB2312" w:cs="仿宋_GB2312"/>
          <w:sz w:val="36"/>
          <w:szCs w:val="36"/>
        </w:rPr>
        <w:t xml:space="preserve">                     </w:t>
      </w:r>
      <w:r>
        <w:rPr>
          <w:rFonts w:hint="eastAsia" w:ascii="仿宋_GB2312" w:hAnsi="仿宋_GB2312" w:eastAsia="仿宋_GB2312" w:cs="仿宋_GB2312"/>
          <w:sz w:val="32"/>
          <w:szCs w:val="32"/>
        </w:rPr>
        <w:t>（盖章）</w:t>
      </w:r>
    </w:p>
    <w:tbl>
      <w:tblPr>
        <w:tblStyle w:val="2"/>
        <w:tblW w:w="9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0"/>
        <w:gridCol w:w="1250"/>
        <w:gridCol w:w="4617"/>
        <w:gridCol w:w="1134"/>
        <w:gridCol w:w="1537"/>
      </w:tblGrid>
      <w:tr w14:paraId="077E9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290" w:type="dxa"/>
            <w:gridSpan w:val="2"/>
            <w:noWrap w:val="0"/>
            <w:vAlign w:val="center"/>
          </w:tcPr>
          <w:p w14:paraId="232719C3">
            <w:pPr>
              <w:keepNext w:val="0"/>
              <w:keepLines w:val="0"/>
              <w:pageBreakBefore w:val="0"/>
              <w:widowControl w:val="0"/>
              <w:kinsoku/>
              <w:wordWrap/>
              <w:overflowPunct/>
              <w:topLinePunct w:val="0"/>
              <w:bidi w:val="0"/>
              <w:snapToGrid/>
              <w:spacing w:line="360" w:lineRule="exact"/>
              <w:ind w:right="0"/>
              <w:jc w:val="center"/>
              <w:textAlignment w:val="auto"/>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评审内容</w:t>
            </w:r>
          </w:p>
        </w:tc>
        <w:tc>
          <w:tcPr>
            <w:tcW w:w="4617" w:type="dxa"/>
            <w:noWrap w:val="0"/>
            <w:vAlign w:val="center"/>
          </w:tcPr>
          <w:p w14:paraId="6555AFEE">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u w:val="single"/>
              </w:rPr>
            </w:pPr>
            <w:r>
              <w:rPr>
                <w:rFonts w:hint="eastAsia" w:ascii="仿宋_GB2312" w:hAnsi="仿宋_GB2312" w:eastAsia="仿宋_GB2312" w:cs="仿宋_GB2312"/>
                <w:sz w:val="21"/>
                <w:szCs w:val="21"/>
              </w:rPr>
              <w:t>评审细则</w:t>
            </w:r>
          </w:p>
        </w:tc>
        <w:tc>
          <w:tcPr>
            <w:tcW w:w="1134" w:type="dxa"/>
            <w:shd w:val="clear" w:color="auto" w:fill="auto"/>
            <w:noWrap w:val="0"/>
            <w:vAlign w:val="top"/>
          </w:tcPr>
          <w:p w14:paraId="2D45B648">
            <w:pPr>
              <w:spacing w:line="400" w:lineRule="exact"/>
              <w:jc w:val="center"/>
              <w:rPr>
                <w:rFonts w:hint="eastAsia" w:ascii="黑体" w:hAnsi="黑体" w:eastAsia="黑体" w:cs="仿宋_GB2312"/>
                <w:sz w:val="28"/>
                <w:szCs w:val="28"/>
              </w:rPr>
            </w:pPr>
            <w:r>
              <w:rPr>
                <w:rFonts w:hint="eastAsia" w:ascii="黑体" w:hAnsi="黑体" w:eastAsia="黑体" w:cs="仿宋_GB2312"/>
                <w:sz w:val="28"/>
                <w:szCs w:val="28"/>
              </w:rPr>
              <w:t>自评</w:t>
            </w:r>
          </w:p>
          <w:p w14:paraId="6F8C8FE3">
            <w:pPr>
              <w:spacing w:line="400" w:lineRule="exact"/>
              <w:jc w:val="center"/>
              <w:rPr>
                <w:rFonts w:hint="eastAsia" w:ascii="黑体" w:hAnsi="黑体" w:eastAsia="黑体" w:cs="仿宋_GB2312"/>
                <w:kern w:val="2"/>
                <w:sz w:val="28"/>
                <w:szCs w:val="28"/>
                <w:lang w:val="en-US" w:eastAsia="zh-CN" w:bidi="ar-SA"/>
              </w:rPr>
            </w:pPr>
            <w:r>
              <w:rPr>
                <w:rFonts w:hint="eastAsia" w:ascii="黑体" w:hAnsi="黑体" w:eastAsia="黑体" w:cs="仿宋_GB2312"/>
                <w:sz w:val="28"/>
                <w:szCs w:val="28"/>
                <w:lang w:eastAsia="zh-CN"/>
              </w:rPr>
              <w:t>得</w:t>
            </w:r>
            <w:r>
              <w:rPr>
                <w:rFonts w:hint="eastAsia" w:ascii="黑体" w:hAnsi="黑体" w:eastAsia="黑体" w:cs="仿宋_GB2312"/>
                <w:sz w:val="28"/>
                <w:szCs w:val="28"/>
              </w:rPr>
              <w:t>分</w:t>
            </w:r>
          </w:p>
        </w:tc>
        <w:tc>
          <w:tcPr>
            <w:tcW w:w="1537" w:type="dxa"/>
            <w:shd w:val="clear" w:color="auto" w:fill="auto"/>
            <w:noWrap w:val="0"/>
            <w:vAlign w:val="top"/>
          </w:tcPr>
          <w:p w14:paraId="6FE21A93">
            <w:pPr>
              <w:spacing w:line="400" w:lineRule="exact"/>
              <w:jc w:val="center"/>
              <w:rPr>
                <w:rFonts w:hint="eastAsia" w:ascii="黑体" w:hAnsi="黑体" w:eastAsia="黑体" w:cs="仿宋_GB2312"/>
                <w:sz w:val="28"/>
                <w:szCs w:val="28"/>
                <w:lang w:eastAsia="zh-CN"/>
              </w:rPr>
            </w:pPr>
            <w:r>
              <w:rPr>
                <w:rFonts w:hint="eastAsia" w:ascii="黑体" w:hAnsi="黑体" w:eastAsia="黑体" w:cs="仿宋_GB2312"/>
                <w:sz w:val="28"/>
                <w:szCs w:val="28"/>
                <w:lang w:eastAsia="zh-CN"/>
              </w:rPr>
              <w:t>自评</w:t>
            </w:r>
          </w:p>
          <w:p w14:paraId="2B144DC1">
            <w:pPr>
              <w:spacing w:line="400" w:lineRule="exact"/>
              <w:jc w:val="center"/>
              <w:rPr>
                <w:rFonts w:hint="eastAsia" w:ascii="黑体" w:hAnsi="黑体" w:eastAsia="黑体" w:cs="仿宋_GB2312"/>
                <w:kern w:val="2"/>
                <w:sz w:val="28"/>
                <w:szCs w:val="28"/>
                <w:lang w:val="en-US" w:eastAsia="zh-CN" w:bidi="ar-SA"/>
              </w:rPr>
            </w:pPr>
            <w:r>
              <w:rPr>
                <w:rFonts w:hint="eastAsia" w:ascii="黑体" w:hAnsi="黑体" w:eastAsia="黑体" w:cs="仿宋_GB2312"/>
                <w:sz w:val="28"/>
                <w:szCs w:val="28"/>
                <w:lang w:eastAsia="zh-CN"/>
              </w:rPr>
              <w:t>依据</w:t>
            </w:r>
          </w:p>
        </w:tc>
      </w:tr>
      <w:tr w14:paraId="31DED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1040" w:type="dxa"/>
            <w:vMerge w:val="restart"/>
            <w:noWrap w:val="0"/>
            <w:vAlign w:val="center"/>
          </w:tcPr>
          <w:p w14:paraId="6A373503">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技术商务评分</w:t>
            </w:r>
          </w:p>
          <w:p w14:paraId="03882FE3">
            <w:pPr>
              <w:pStyle w:val="4"/>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color w:val="auto"/>
                <w:kern w:val="2"/>
                <w:sz w:val="21"/>
                <w:szCs w:val="21"/>
              </w:rPr>
            </w:pPr>
            <w:r>
              <w:rPr>
                <w:rFonts w:hint="eastAsia" w:ascii="仿宋_GB2312" w:hAnsi="仿宋_GB2312" w:eastAsia="仿宋_GB2312" w:cs="仿宋_GB2312"/>
                <w:color w:val="auto"/>
                <w:kern w:val="2"/>
                <w:sz w:val="21"/>
                <w:szCs w:val="21"/>
              </w:rPr>
              <w:t>（</w:t>
            </w:r>
            <w:r>
              <w:rPr>
                <w:rFonts w:hint="eastAsia" w:ascii="仿宋_GB2312" w:hAnsi="仿宋_GB2312" w:eastAsia="仿宋_GB2312" w:cs="仿宋_GB2312"/>
                <w:color w:val="auto"/>
                <w:kern w:val="2"/>
                <w:sz w:val="21"/>
                <w:szCs w:val="21"/>
                <w:lang w:val="en-US" w:eastAsia="zh-CN"/>
              </w:rPr>
              <w:t>7</w:t>
            </w:r>
            <w:r>
              <w:rPr>
                <w:rFonts w:hint="eastAsia" w:ascii="仿宋_GB2312" w:hAnsi="仿宋_GB2312" w:eastAsia="仿宋_GB2312" w:cs="仿宋_GB2312"/>
                <w:color w:val="auto"/>
                <w:kern w:val="2"/>
                <w:sz w:val="21"/>
                <w:szCs w:val="21"/>
              </w:rPr>
              <w:t>0%）</w:t>
            </w:r>
          </w:p>
        </w:tc>
        <w:tc>
          <w:tcPr>
            <w:tcW w:w="1250" w:type="dxa"/>
            <w:noWrap w:val="0"/>
            <w:vAlign w:val="center"/>
          </w:tcPr>
          <w:p w14:paraId="201171BF">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产品的重要技术参数情况</w:t>
            </w:r>
          </w:p>
          <w:p w14:paraId="7A827DB1">
            <w:pPr>
              <w:keepNext w:val="0"/>
              <w:keepLines w:val="0"/>
              <w:pageBreakBefore w:val="0"/>
              <w:widowControl w:val="0"/>
              <w:kinsoku/>
              <w:wordWrap/>
              <w:overflowPunct/>
              <w:topLinePunct w:val="0"/>
              <w:bidi w:val="0"/>
              <w:snapToGrid/>
              <w:spacing w:line="360" w:lineRule="exact"/>
              <w:ind w:right="0" w:righ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40</w:t>
            </w:r>
            <w:r>
              <w:rPr>
                <w:rFonts w:hint="eastAsia" w:ascii="仿宋_GB2312" w:hAnsi="仿宋_GB2312" w:eastAsia="仿宋_GB2312" w:cs="仿宋_GB2312"/>
                <w:sz w:val="21"/>
                <w:szCs w:val="21"/>
              </w:rPr>
              <w:t>分）</w:t>
            </w:r>
          </w:p>
        </w:tc>
        <w:tc>
          <w:tcPr>
            <w:tcW w:w="4617" w:type="dxa"/>
            <w:noWrap w:val="0"/>
            <w:vAlign w:val="center"/>
          </w:tcPr>
          <w:p w14:paraId="73DE21DD">
            <w:pPr>
              <w:spacing w:line="320" w:lineRule="exact"/>
              <w:jc w:val="left"/>
              <w:rPr>
                <w:rFonts w:hint="eastAsia" w:ascii="仿宋_GB2312" w:hAnsi="仿宋_GB2312" w:eastAsia="仿宋_GB2312" w:cs="仿宋_GB2312"/>
                <w:szCs w:val="21"/>
              </w:rPr>
            </w:pPr>
            <w:r>
              <w:rPr>
                <w:rFonts w:hint="eastAsia" w:ascii="仿宋_GB2312" w:hAnsi="仿宋_GB2312" w:eastAsia="仿宋_GB2312" w:cs="仿宋_GB2312"/>
                <w:szCs w:val="21"/>
              </w:rPr>
              <w:t>核对技术要求的响应情况，满足技术参数标▲的，每一项得3分；满足技术参数非标▲的，每一项得1分。</w:t>
            </w:r>
          </w:p>
          <w:p w14:paraId="5690221F">
            <w:pPr>
              <w:keepNext w:val="0"/>
              <w:keepLines w:val="0"/>
              <w:pageBreakBefore w:val="0"/>
              <w:widowControl w:val="0"/>
              <w:kinsoku/>
              <w:wordWrap/>
              <w:overflowPunct/>
              <w:topLinePunct w:val="0"/>
              <w:bidi w:val="0"/>
              <w:snapToGrid/>
              <w:spacing w:line="320" w:lineRule="exact"/>
              <w:ind w:right="0" w:righ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Cs w:val="21"/>
              </w:rPr>
              <w:t>若设备技术参数要求供应商提供佐证材料的，供应商需提供相应的证明材料原件或复印件并加盖供应商公章，未提供或提供不全不得分。</w:t>
            </w:r>
          </w:p>
        </w:tc>
        <w:tc>
          <w:tcPr>
            <w:tcW w:w="1134" w:type="dxa"/>
            <w:noWrap w:val="0"/>
            <w:vAlign w:val="center"/>
          </w:tcPr>
          <w:p w14:paraId="684BAFF2">
            <w:pPr>
              <w:keepNext w:val="0"/>
              <w:keepLines w:val="0"/>
              <w:pageBreakBefore w:val="0"/>
              <w:widowControl w:val="0"/>
              <w:kinsoku/>
              <w:wordWrap/>
              <w:overflowPunct/>
              <w:topLinePunct w:val="0"/>
              <w:bidi w:val="0"/>
              <w:snapToGrid/>
              <w:spacing w:line="320" w:lineRule="exact"/>
              <w:ind w:right="0" w:rightChars="0"/>
              <w:jc w:val="left"/>
              <w:textAlignment w:val="auto"/>
              <w:rPr>
                <w:rFonts w:hint="eastAsia" w:ascii="仿宋_GB2312" w:hAnsi="仿宋_GB2312" w:eastAsia="仿宋_GB2312" w:cs="仿宋_GB2312"/>
                <w:szCs w:val="21"/>
              </w:rPr>
            </w:pPr>
          </w:p>
        </w:tc>
        <w:tc>
          <w:tcPr>
            <w:tcW w:w="1537" w:type="dxa"/>
            <w:noWrap w:val="0"/>
            <w:vAlign w:val="center"/>
          </w:tcPr>
          <w:p w14:paraId="16F8C55C">
            <w:pPr>
              <w:keepNext w:val="0"/>
              <w:keepLines w:val="0"/>
              <w:pageBreakBefore w:val="0"/>
              <w:widowControl w:val="0"/>
              <w:kinsoku/>
              <w:wordWrap/>
              <w:overflowPunct/>
              <w:topLinePunct w:val="0"/>
              <w:bidi w:val="0"/>
              <w:snapToGrid/>
              <w:spacing w:line="320" w:lineRule="exact"/>
              <w:ind w:right="0" w:rightChars="0"/>
              <w:jc w:val="left"/>
              <w:textAlignment w:val="auto"/>
              <w:rPr>
                <w:rFonts w:hint="eastAsia" w:ascii="仿宋_GB2312" w:hAnsi="仿宋_GB2312" w:eastAsia="仿宋_GB2312" w:cs="仿宋_GB2312"/>
                <w:szCs w:val="21"/>
              </w:rPr>
            </w:pPr>
          </w:p>
        </w:tc>
      </w:tr>
      <w:tr w14:paraId="26DDE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040" w:type="dxa"/>
            <w:vMerge w:val="continue"/>
            <w:noWrap w:val="0"/>
            <w:vAlign w:val="center"/>
          </w:tcPr>
          <w:p w14:paraId="2774FA38">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138CF4A0">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投报文件质量</w:t>
            </w:r>
          </w:p>
          <w:p w14:paraId="347FB44B">
            <w:pPr>
              <w:keepNext w:val="0"/>
              <w:keepLines w:val="0"/>
              <w:pageBreakBefore w:val="0"/>
              <w:widowControl w:val="0"/>
              <w:kinsoku/>
              <w:wordWrap/>
              <w:overflowPunct/>
              <w:topLinePunct w:val="0"/>
              <w:bidi w:val="0"/>
              <w:snapToGrid/>
              <w:spacing w:line="360" w:lineRule="exact"/>
              <w:ind w:right="0" w:rightChars="0"/>
              <w:jc w:val="center"/>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tc>
        <w:tc>
          <w:tcPr>
            <w:tcW w:w="4617" w:type="dxa"/>
            <w:noWrap w:val="0"/>
            <w:vAlign w:val="center"/>
          </w:tcPr>
          <w:p w14:paraId="5612EED9">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投报文件的装订质量、完整性及对采购文件的理解、响应情况等：</w:t>
            </w:r>
          </w:p>
          <w:p w14:paraId="36BD58CD">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1、完全满足并优于招标文件要求，得</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p w14:paraId="19A47D8A">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2、较好满足招标文件要求，得</w:t>
            </w:r>
            <w:r>
              <w:rPr>
                <w:rFonts w:hint="eastAsia" w:ascii="仿宋_GB2312" w:hAnsi="仿宋_GB2312" w:eastAsia="仿宋_GB2312" w:cs="仿宋_GB2312"/>
                <w:sz w:val="21"/>
                <w:szCs w:val="21"/>
                <w:lang w:val="en-US" w:eastAsia="zh-CN"/>
              </w:rPr>
              <w:t>8</w:t>
            </w:r>
            <w:r>
              <w:rPr>
                <w:rFonts w:hint="eastAsia" w:ascii="仿宋_GB2312" w:hAnsi="仿宋_GB2312" w:eastAsia="仿宋_GB2312" w:cs="仿宋_GB2312"/>
                <w:sz w:val="21"/>
                <w:szCs w:val="21"/>
              </w:rPr>
              <w:t>分；</w:t>
            </w:r>
          </w:p>
          <w:p w14:paraId="71FDAA33">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3、基本满足招标文件要求，得</w:t>
            </w:r>
            <w:r>
              <w:rPr>
                <w:rFonts w:hint="eastAsia" w:ascii="仿宋_GB2312" w:hAnsi="仿宋_GB2312" w:eastAsia="仿宋_GB2312" w:cs="仿宋_GB2312"/>
                <w:sz w:val="21"/>
                <w:szCs w:val="21"/>
                <w:lang w:val="en-US" w:eastAsia="zh-CN"/>
              </w:rPr>
              <w:t>6</w:t>
            </w:r>
            <w:r>
              <w:rPr>
                <w:rFonts w:hint="eastAsia" w:ascii="仿宋_GB2312" w:hAnsi="仿宋_GB2312" w:eastAsia="仿宋_GB2312" w:cs="仿宋_GB2312"/>
                <w:sz w:val="21"/>
                <w:szCs w:val="21"/>
              </w:rPr>
              <w:t>分；</w:t>
            </w:r>
          </w:p>
          <w:p w14:paraId="7DB1349D">
            <w:pPr>
              <w:keepNext w:val="0"/>
              <w:keepLines w:val="0"/>
              <w:pageBreakBefore w:val="0"/>
              <w:widowControl w:val="0"/>
              <w:kinsoku/>
              <w:wordWrap/>
              <w:overflowPunct/>
              <w:topLinePunct w:val="0"/>
              <w:bidi w:val="0"/>
              <w:snapToGrid/>
              <w:spacing w:line="360" w:lineRule="exact"/>
              <w:ind w:right="0" w:rightChars="0"/>
              <w:jc w:val="left"/>
              <w:textAlignment w:val="auto"/>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4、低于招标文件要求，得</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分。</w:t>
            </w:r>
          </w:p>
        </w:tc>
        <w:tc>
          <w:tcPr>
            <w:tcW w:w="1134" w:type="dxa"/>
            <w:noWrap w:val="0"/>
            <w:vAlign w:val="center"/>
          </w:tcPr>
          <w:p w14:paraId="56ADBCB0">
            <w:pPr>
              <w:keepNext w:val="0"/>
              <w:keepLines w:val="0"/>
              <w:pageBreakBefore w:val="0"/>
              <w:widowControl w:val="0"/>
              <w:kinsoku/>
              <w:wordWrap/>
              <w:overflowPunct/>
              <w:topLinePunct w:val="0"/>
              <w:bidi w:val="0"/>
              <w:snapToGrid/>
              <w:spacing w:line="360" w:lineRule="exact"/>
              <w:ind w:right="0" w:rightChars="0"/>
              <w:jc w:val="left"/>
              <w:textAlignment w:val="auto"/>
              <w:rPr>
                <w:rFonts w:hint="eastAsia" w:ascii="仿宋_GB2312" w:hAnsi="仿宋_GB2312" w:eastAsia="仿宋_GB2312" w:cs="仿宋_GB2312"/>
                <w:sz w:val="21"/>
                <w:szCs w:val="21"/>
              </w:rPr>
            </w:pPr>
          </w:p>
        </w:tc>
        <w:tc>
          <w:tcPr>
            <w:tcW w:w="1537" w:type="dxa"/>
            <w:noWrap w:val="0"/>
            <w:vAlign w:val="center"/>
          </w:tcPr>
          <w:p w14:paraId="101D043C">
            <w:pPr>
              <w:keepNext w:val="0"/>
              <w:keepLines w:val="0"/>
              <w:pageBreakBefore w:val="0"/>
              <w:widowControl w:val="0"/>
              <w:kinsoku/>
              <w:wordWrap/>
              <w:overflowPunct/>
              <w:topLinePunct w:val="0"/>
              <w:bidi w:val="0"/>
              <w:snapToGrid/>
              <w:spacing w:line="360" w:lineRule="exact"/>
              <w:ind w:right="0" w:rightChars="0"/>
              <w:jc w:val="left"/>
              <w:textAlignment w:val="auto"/>
              <w:rPr>
                <w:rFonts w:hint="eastAsia" w:ascii="仿宋_GB2312" w:hAnsi="仿宋_GB2312" w:eastAsia="仿宋_GB2312" w:cs="仿宋_GB2312"/>
                <w:sz w:val="21"/>
                <w:szCs w:val="21"/>
              </w:rPr>
            </w:pPr>
          </w:p>
        </w:tc>
      </w:tr>
      <w:tr w14:paraId="62FD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22FC3533">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018C03B8">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销售业绩情况</w:t>
            </w:r>
          </w:p>
          <w:p w14:paraId="0B0D7899">
            <w:pPr>
              <w:keepNext w:val="0"/>
              <w:keepLines w:val="0"/>
              <w:pageBreakBefore w:val="0"/>
              <w:widowControl w:val="0"/>
              <w:kinsoku/>
              <w:wordWrap/>
              <w:overflowPunct/>
              <w:topLinePunct w:val="0"/>
              <w:bidi w:val="0"/>
              <w:snapToGrid/>
              <w:spacing w:line="360" w:lineRule="exact"/>
              <w:ind w:right="0"/>
              <w:jc w:val="center"/>
              <w:textAlignment w:val="auto"/>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rPr>
              <w:t>（</w:t>
            </w:r>
            <w:r>
              <w:rPr>
                <w:rFonts w:hint="eastAsia" w:ascii="仿宋_GB2312" w:hAnsi="仿宋_GB2312" w:eastAsia="仿宋_GB2312" w:cs="仿宋_GB2312"/>
                <w:sz w:val="21"/>
                <w:szCs w:val="21"/>
                <w:highlight w:val="none"/>
                <w:lang w:val="en-US" w:eastAsia="zh-CN"/>
              </w:rPr>
              <w:t>5</w:t>
            </w:r>
            <w:r>
              <w:rPr>
                <w:rFonts w:hint="eastAsia" w:ascii="仿宋_GB2312" w:hAnsi="仿宋_GB2312" w:eastAsia="仿宋_GB2312" w:cs="仿宋_GB2312"/>
                <w:sz w:val="21"/>
                <w:szCs w:val="21"/>
                <w:highlight w:val="none"/>
              </w:rPr>
              <w:t>分）</w:t>
            </w:r>
          </w:p>
        </w:tc>
        <w:tc>
          <w:tcPr>
            <w:tcW w:w="4617" w:type="dxa"/>
            <w:noWrap w:val="0"/>
            <w:vAlign w:val="center"/>
          </w:tcPr>
          <w:p w14:paraId="3AA0E15C">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根据投标人提供近两年销售同类产品情况、近两年销售合同进行评审：</w:t>
            </w:r>
          </w:p>
          <w:p w14:paraId="3410550F">
            <w:pPr>
              <w:keepNext w:val="0"/>
              <w:keepLines w:val="0"/>
              <w:pageBreakBefore w:val="0"/>
              <w:widowControl w:val="0"/>
              <w:kinsoku/>
              <w:wordWrap/>
              <w:overflowPunct/>
              <w:topLinePunct w:val="0"/>
              <w:bidi w:val="0"/>
              <w:snapToGrid/>
              <w:spacing w:line="360" w:lineRule="exact"/>
              <w:ind w:right="0"/>
              <w:jc w:val="left"/>
              <w:textAlignment w:val="auto"/>
              <w:rPr>
                <w:rFonts w:hint="default" w:ascii="仿宋_GB2312" w:hAnsi="仿宋_GB2312" w:eastAsia="仿宋_GB2312" w:cs="仿宋_GB2312"/>
                <w:sz w:val="21"/>
                <w:szCs w:val="21"/>
                <w:highlight w:val="none"/>
                <w:lang w:val="en-US" w:eastAsia="zh-CN"/>
              </w:rPr>
            </w:pPr>
            <w:r>
              <w:rPr>
                <w:rFonts w:hint="eastAsia" w:ascii="仿宋_GB2312" w:hAnsi="仿宋_GB2312" w:eastAsia="仿宋_GB2312" w:cs="仿宋_GB2312"/>
                <w:sz w:val="21"/>
                <w:szCs w:val="21"/>
                <w:highlight w:val="none"/>
                <w:lang w:val="en-US" w:eastAsia="zh-CN"/>
              </w:rPr>
              <w:t>每提供一份销售合同等材料，得2.5分，最高5分。</w:t>
            </w:r>
          </w:p>
        </w:tc>
        <w:tc>
          <w:tcPr>
            <w:tcW w:w="1134" w:type="dxa"/>
            <w:noWrap w:val="0"/>
            <w:vAlign w:val="center"/>
          </w:tcPr>
          <w:p w14:paraId="122E33AC">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p>
        </w:tc>
        <w:tc>
          <w:tcPr>
            <w:tcW w:w="1537" w:type="dxa"/>
            <w:noWrap w:val="0"/>
            <w:vAlign w:val="center"/>
          </w:tcPr>
          <w:p w14:paraId="4834F210">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p>
        </w:tc>
      </w:tr>
      <w:tr w14:paraId="5C6B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70427AE8">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3B50E6A6">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投标人安装、调试、培训计划、实施执行方案</w:t>
            </w:r>
          </w:p>
          <w:p w14:paraId="2D3D1A52">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5分</w:t>
            </w:r>
            <w:r>
              <w:rPr>
                <w:rFonts w:hint="eastAsia" w:ascii="仿宋_GB2312" w:hAnsi="仿宋_GB2312" w:eastAsia="仿宋_GB2312" w:cs="仿宋_GB2312"/>
                <w:sz w:val="21"/>
                <w:szCs w:val="21"/>
                <w:lang w:eastAsia="zh-CN"/>
              </w:rPr>
              <w:t>）</w:t>
            </w:r>
          </w:p>
        </w:tc>
        <w:tc>
          <w:tcPr>
            <w:tcW w:w="4617" w:type="dxa"/>
            <w:noWrap w:val="0"/>
            <w:vAlign w:val="center"/>
          </w:tcPr>
          <w:p w14:paraId="2D3D7B29">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根据投标人提供的安装、调试、培训计划、实施执行方案进行评审：</w:t>
            </w:r>
          </w:p>
          <w:p w14:paraId="4FB5F0C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投标人提供的方案可行性高，内容具体、细致，得</w:t>
            </w:r>
            <w:r>
              <w:rPr>
                <w:rFonts w:hint="eastAsia" w:ascii="仿宋_GB2312" w:hAnsi="仿宋_GB2312" w:eastAsia="仿宋_GB2312" w:cs="仿宋_GB2312"/>
                <w:sz w:val="21"/>
                <w:szCs w:val="21"/>
                <w:lang w:val="en-US" w:eastAsia="zh-CN"/>
              </w:rPr>
              <w:t>5</w:t>
            </w:r>
            <w:r>
              <w:rPr>
                <w:rFonts w:hint="eastAsia" w:ascii="仿宋_GB2312" w:hAnsi="仿宋_GB2312" w:eastAsia="仿宋_GB2312" w:cs="仿宋_GB2312"/>
                <w:sz w:val="21"/>
                <w:szCs w:val="21"/>
              </w:rPr>
              <w:t>分；</w:t>
            </w:r>
          </w:p>
          <w:p w14:paraId="3B94B98B">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投标人提供的方案可行性较高，内容较具体、细致，得</w:t>
            </w: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分；</w:t>
            </w:r>
          </w:p>
          <w:p w14:paraId="0E3887B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投标人提供的方案可行性一般，内容不够具体、细致，得</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分；</w:t>
            </w:r>
          </w:p>
          <w:p w14:paraId="566BC698">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投标人没有提供方案，或内容有缺项漏项，得</w:t>
            </w:r>
            <w:r>
              <w:rPr>
                <w:rFonts w:hint="eastAsia" w:ascii="仿宋_GB2312" w:hAnsi="仿宋_GB2312" w:eastAsia="仿宋_GB2312" w:cs="仿宋_GB2312"/>
                <w:sz w:val="21"/>
                <w:szCs w:val="21"/>
                <w:lang w:val="en-US" w:eastAsia="zh-CN"/>
              </w:rPr>
              <w:t>2</w:t>
            </w:r>
            <w:bookmarkStart w:id="0" w:name="_GoBack"/>
            <w:bookmarkEnd w:id="0"/>
            <w:r>
              <w:rPr>
                <w:rFonts w:hint="eastAsia" w:ascii="仿宋_GB2312" w:hAnsi="仿宋_GB2312" w:eastAsia="仿宋_GB2312" w:cs="仿宋_GB2312"/>
                <w:sz w:val="21"/>
                <w:szCs w:val="21"/>
              </w:rPr>
              <w:t>分。</w:t>
            </w:r>
          </w:p>
        </w:tc>
        <w:tc>
          <w:tcPr>
            <w:tcW w:w="1134" w:type="dxa"/>
            <w:noWrap w:val="0"/>
            <w:vAlign w:val="center"/>
          </w:tcPr>
          <w:p w14:paraId="35B94F53">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p>
        </w:tc>
        <w:tc>
          <w:tcPr>
            <w:tcW w:w="1537" w:type="dxa"/>
            <w:noWrap w:val="0"/>
            <w:vAlign w:val="center"/>
          </w:tcPr>
          <w:p w14:paraId="6D6CC573">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p>
        </w:tc>
      </w:tr>
      <w:tr w14:paraId="2B48B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40" w:type="dxa"/>
            <w:vMerge w:val="continue"/>
            <w:noWrap w:val="0"/>
            <w:vAlign w:val="center"/>
          </w:tcPr>
          <w:p w14:paraId="04138D94">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p>
        </w:tc>
        <w:tc>
          <w:tcPr>
            <w:tcW w:w="1250" w:type="dxa"/>
            <w:noWrap w:val="0"/>
            <w:vAlign w:val="center"/>
          </w:tcPr>
          <w:p w14:paraId="4CE5C54A">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售后服务方案</w:t>
            </w:r>
          </w:p>
          <w:p w14:paraId="2EB80A92">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10分</w:t>
            </w:r>
            <w:r>
              <w:rPr>
                <w:rFonts w:hint="eastAsia" w:ascii="仿宋_GB2312" w:hAnsi="仿宋_GB2312" w:eastAsia="仿宋_GB2312" w:cs="仿宋_GB2312"/>
                <w:sz w:val="21"/>
                <w:szCs w:val="21"/>
                <w:lang w:eastAsia="zh-CN"/>
              </w:rPr>
              <w:t>）</w:t>
            </w:r>
          </w:p>
        </w:tc>
        <w:tc>
          <w:tcPr>
            <w:tcW w:w="4617" w:type="dxa"/>
            <w:noWrap w:val="0"/>
            <w:vAlign w:val="center"/>
          </w:tcPr>
          <w:p w14:paraId="51D78D4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根据投标人提供的售后服务方案及服务承诺进行综合评分：</w:t>
            </w:r>
          </w:p>
          <w:p w14:paraId="2F2F4847">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1、</w:t>
            </w:r>
            <w:r>
              <w:rPr>
                <w:rFonts w:hint="eastAsia" w:ascii="仿宋_GB2312" w:hAnsi="仿宋_GB2312" w:eastAsia="仿宋_GB2312" w:cs="仿宋_GB2312"/>
                <w:sz w:val="21"/>
                <w:szCs w:val="21"/>
              </w:rPr>
              <w:t>售后服务方案完善合理，可行性高，服务人员的资质、备件响应、应急方案详细具体，与项目实际情况相符，得</w:t>
            </w:r>
            <w:r>
              <w:rPr>
                <w:rFonts w:hint="eastAsia" w:ascii="仿宋_GB2312" w:hAnsi="仿宋_GB2312" w:eastAsia="仿宋_GB2312" w:cs="仿宋_GB2312"/>
                <w:sz w:val="21"/>
                <w:szCs w:val="21"/>
                <w:lang w:val="en-US" w:eastAsia="zh-CN"/>
              </w:rPr>
              <w:t>10</w:t>
            </w:r>
            <w:r>
              <w:rPr>
                <w:rFonts w:hint="eastAsia" w:ascii="仿宋_GB2312" w:hAnsi="仿宋_GB2312" w:eastAsia="仿宋_GB2312" w:cs="仿宋_GB2312"/>
                <w:sz w:val="21"/>
                <w:szCs w:val="21"/>
              </w:rPr>
              <w:t>分；</w:t>
            </w:r>
          </w:p>
          <w:p w14:paraId="36D1588B">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w:t>
            </w:r>
            <w:r>
              <w:rPr>
                <w:rFonts w:hint="eastAsia" w:ascii="仿宋_GB2312" w:hAnsi="仿宋_GB2312" w:eastAsia="仿宋_GB2312" w:cs="仿宋_GB2312"/>
                <w:sz w:val="21"/>
                <w:szCs w:val="21"/>
              </w:rPr>
              <w:t>售后服务方案较为完善，可行性较高，服务人员的资质、备件响应、应急方案较详细，与项目实际情况相符，得</w:t>
            </w:r>
            <w:r>
              <w:rPr>
                <w:rFonts w:hint="eastAsia" w:ascii="仿宋_GB2312" w:hAnsi="仿宋_GB2312" w:eastAsia="仿宋_GB2312" w:cs="仿宋_GB2312"/>
                <w:sz w:val="21"/>
                <w:szCs w:val="21"/>
                <w:lang w:val="en-US" w:eastAsia="zh-CN"/>
              </w:rPr>
              <w:t>7</w:t>
            </w:r>
            <w:r>
              <w:rPr>
                <w:rFonts w:hint="eastAsia" w:ascii="仿宋_GB2312" w:hAnsi="仿宋_GB2312" w:eastAsia="仿宋_GB2312" w:cs="仿宋_GB2312"/>
                <w:sz w:val="21"/>
                <w:szCs w:val="21"/>
              </w:rPr>
              <w:t>分；</w:t>
            </w:r>
          </w:p>
          <w:p w14:paraId="1F5BB22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售后服务方案较合理，可行性一般，服务人员的资质、备件响应、应急方案一般，与项目实际情况相符，得</w:t>
            </w: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分；</w:t>
            </w:r>
          </w:p>
          <w:p w14:paraId="1E74081D">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售后服务方案可行性差或无提供售后服务方案，得0分。</w:t>
            </w:r>
          </w:p>
        </w:tc>
        <w:tc>
          <w:tcPr>
            <w:tcW w:w="1134" w:type="dxa"/>
            <w:noWrap w:val="0"/>
            <w:vAlign w:val="center"/>
          </w:tcPr>
          <w:p w14:paraId="3164B68B">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p>
        </w:tc>
        <w:tc>
          <w:tcPr>
            <w:tcW w:w="1537" w:type="dxa"/>
            <w:noWrap w:val="0"/>
            <w:vAlign w:val="center"/>
          </w:tcPr>
          <w:p w14:paraId="2D43CE3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p>
        </w:tc>
      </w:tr>
      <w:tr w14:paraId="12AE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2290" w:type="dxa"/>
            <w:gridSpan w:val="2"/>
            <w:noWrap w:val="0"/>
            <w:vAlign w:val="center"/>
          </w:tcPr>
          <w:p w14:paraId="3FE52D46">
            <w:pPr>
              <w:keepNext w:val="0"/>
              <w:keepLines w:val="0"/>
              <w:pageBreakBefore w:val="0"/>
              <w:widowControl w:val="0"/>
              <w:kinsoku/>
              <w:wordWrap/>
              <w:overflowPunct/>
              <w:topLinePunct w:val="0"/>
              <w:bidi w:val="0"/>
              <w:snapToGrid/>
              <w:spacing w:line="360" w:lineRule="exact"/>
              <w:ind w:right="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价格评分（</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0%）</w:t>
            </w:r>
          </w:p>
        </w:tc>
        <w:tc>
          <w:tcPr>
            <w:tcW w:w="4617" w:type="dxa"/>
            <w:noWrap w:val="0"/>
            <w:vAlign w:val="center"/>
          </w:tcPr>
          <w:p w14:paraId="2DFFC098">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投报最低价者(单价总和)得分</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0分，其余投标者价格分数=[最低价(单价总和)/投标价格(单价总和)]</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rPr>
              <w:t>0</w:t>
            </w:r>
          </w:p>
          <w:p w14:paraId="60ED5DA2">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说明：</w:t>
            </w:r>
          </w:p>
          <w:p w14:paraId="69F35630">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1、根据财库(2020)46号文要求，对符合价格扣除规定的中小微企业、监狱企业、残疾人福利性企业报价给予10%的价格扣除，用扣除后的价格参加评审。</w:t>
            </w:r>
          </w:p>
          <w:p w14:paraId="073C5BDD">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2、上述扣除后的价格仅用于计算价格评分，成交金额以实际投标(响应)价为准。</w:t>
            </w:r>
          </w:p>
          <w:p w14:paraId="59E4CAB4">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3、计算过程及结果数字保留两位小数。</w:t>
            </w:r>
          </w:p>
        </w:tc>
        <w:tc>
          <w:tcPr>
            <w:tcW w:w="1134" w:type="dxa"/>
            <w:noWrap w:val="0"/>
            <w:vAlign w:val="center"/>
          </w:tcPr>
          <w:p w14:paraId="628BAD62">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p>
        </w:tc>
        <w:tc>
          <w:tcPr>
            <w:tcW w:w="1537" w:type="dxa"/>
            <w:noWrap w:val="0"/>
            <w:vAlign w:val="center"/>
          </w:tcPr>
          <w:p w14:paraId="1B32BCB1">
            <w:pPr>
              <w:keepNext w:val="0"/>
              <w:keepLines w:val="0"/>
              <w:pageBreakBefore w:val="0"/>
              <w:widowControl w:val="0"/>
              <w:kinsoku/>
              <w:wordWrap/>
              <w:overflowPunct/>
              <w:topLinePunct w:val="0"/>
              <w:bidi w:val="0"/>
              <w:snapToGrid/>
              <w:spacing w:line="360" w:lineRule="exact"/>
              <w:ind w:right="0"/>
              <w:jc w:val="left"/>
              <w:textAlignment w:val="auto"/>
              <w:rPr>
                <w:rFonts w:hint="eastAsia" w:ascii="仿宋_GB2312" w:hAnsi="仿宋_GB2312" w:eastAsia="仿宋_GB2312" w:cs="仿宋_GB2312"/>
                <w:sz w:val="21"/>
                <w:szCs w:val="21"/>
                <w:lang w:val="en-US" w:eastAsia="zh-CN"/>
              </w:rPr>
            </w:pPr>
          </w:p>
        </w:tc>
      </w:tr>
    </w:tbl>
    <w:p w14:paraId="52C623F9"/>
    <w:p w14:paraId="027E7ED5">
      <w:pPr>
        <w:ind w:firstLine="211" w:firstLineChars="100"/>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注：</w:t>
      </w:r>
      <w:r>
        <w:rPr>
          <w:rFonts w:hint="eastAsia" w:ascii="仿宋_GB2312" w:hAnsi="仿宋_GB2312" w:eastAsia="仿宋_GB2312" w:cs="仿宋_GB2312"/>
          <w:b/>
          <w:bCs/>
          <w:szCs w:val="21"/>
        </w:rPr>
        <w:t>1、</w:t>
      </w:r>
      <w:r>
        <w:rPr>
          <w:rFonts w:ascii="仿宋_GB2312" w:hAnsi="仿宋_GB2312" w:eastAsia="仿宋_GB2312" w:cs="仿宋_GB2312"/>
          <w:b/>
          <w:bCs/>
          <w:kern w:val="0"/>
          <w:szCs w:val="21"/>
        </w:rPr>
        <w:t>请投标人在投标文件中标注以上评分项目证明资料对应的页码。</w:t>
      </w:r>
    </w:p>
    <w:p w14:paraId="42C98D1C">
      <w:pPr>
        <w:ind w:left="1052" w:leftChars="300" w:hanging="422" w:hangingChars="200"/>
        <w:rPr>
          <w:rFonts w:hint="eastAsia" w:ascii="仿宋_GB2312" w:hAnsi="仿宋_GB2312" w:eastAsia="仿宋_GB2312" w:cs="仿宋_GB2312"/>
          <w:b/>
          <w:bCs/>
          <w:szCs w:val="21"/>
        </w:rPr>
      </w:pPr>
      <w:r>
        <w:rPr>
          <w:rFonts w:hint="eastAsia" w:ascii="仿宋_GB2312" w:hAnsi="仿宋_GB2312" w:eastAsia="仿宋_GB2312" w:cs="仿宋_GB2312"/>
          <w:b/>
          <w:bCs/>
          <w:kern w:val="0"/>
          <w:szCs w:val="21"/>
        </w:rPr>
        <w:t>2、</w:t>
      </w:r>
      <w:r>
        <w:rPr>
          <w:rFonts w:hint="eastAsia" w:ascii="仿宋_GB2312" w:hAnsi="仿宋_GB2312" w:eastAsia="仿宋_GB2312" w:cs="仿宋_GB2312"/>
          <w:b/>
          <w:bCs/>
          <w:szCs w:val="21"/>
        </w:rPr>
        <w:t>综合评分最高者原则上推荐为成交供应商，综合评分相同的以报价低者推荐为成</w:t>
      </w:r>
    </w:p>
    <w:p w14:paraId="76192E59">
      <w:pPr>
        <w:ind w:firstLine="843" w:firstLineChars="400"/>
        <w:rPr>
          <w:rFonts w:hint="eastAsia" w:ascii="仿宋_GB2312" w:hAnsi="仿宋_GB2312" w:eastAsia="仿宋_GB2312" w:cs="仿宋_GB2312"/>
          <w:b/>
          <w:bCs/>
          <w:szCs w:val="21"/>
        </w:rPr>
      </w:pPr>
      <w:r>
        <w:rPr>
          <w:rFonts w:hint="eastAsia" w:ascii="仿宋_GB2312" w:hAnsi="仿宋_GB2312" w:eastAsia="仿宋_GB2312" w:cs="仿宋_GB2312"/>
          <w:b/>
          <w:bCs/>
          <w:szCs w:val="21"/>
        </w:rPr>
        <w:t>交供应商。</w:t>
      </w:r>
    </w:p>
    <w:p w14:paraId="6808A1F6">
      <w:pPr>
        <w:ind w:left="841" w:leftChars="300" w:hanging="211" w:hangingChars="100"/>
        <w:rPr>
          <w:rFonts w:hint="eastAsia" w:ascii="仿宋_GB2312" w:hAnsi="仿宋_GB2312" w:eastAsia="仿宋_GB2312" w:cs="仿宋_GB2312"/>
          <w:b/>
          <w:bCs/>
          <w:kern w:val="0"/>
          <w:szCs w:val="21"/>
        </w:rPr>
      </w:pPr>
      <w:r>
        <w:rPr>
          <w:rFonts w:hint="eastAsia" w:ascii="仿宋_GB2312" w:hAnsi="仿宋_GB2312" w:eastAsia="仿宋_GB2312" w:cs="仿宋_GB2312"/>
          <w:b/>
          <w:bCs/>
          <w:kern w:val="0"/>
          <w:szCs w:val="21"/>
        </w:rPr>
        <w:t>3、评标委员会认为报价供应商的报价明显低于其他通过符合性审查报价供应商的报价，有可能影响产品质量或者不能诚信履约的，应当要求供应商提供书面说明，必要时提交相证明材料；报价供应商不能证明其报价合理性的，评标委员会应当将其作为无效投标处理。</w:t>
      </w:r>
    </w:p>
    <w:p w14:paraId="16476D3B">
      <w:pPr>
        <w:rPr>
          <w:rFonts w:hint="eastAsia" w:ascii="仿宋_GB2312" w:hAnsi="仿宋_GB2312" w:eastAsia="仿宋_GB2312" w:cs="仿宋_GB2312"/>
          <w:b/>
          <w:bCs/>
          <w:kern w:val="0"/>
          <w:szCs w:val="21"/>
        </w:rPr>
      </w:pPr>
    </w:p>
    <w:p w14:paraId="6F5138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C024B"/>
    <w:rsid w:val="028642E4"/>
    <w:rsid w:val="03516B25"/>
    <w:rsid w:val="03E272F9"/>
    <w:rsid w:val="06F51A39"/>
    <w:rsid w:val="0EC52649"/>
    <w:rsid w:val="0F184353"/>
    <w:rsid w:val="0F220EF1"/>
    <w:rsid w:val="0F474DFC"/>
    <w:rsid w:val="10507CE0"/>
    <w:rsid w:val="11182B40"/>
    <w:rsid w:val="11945E6C"/>
    <w:rsid w:val="1F073C5F"/>
    <w:rsid w:val="213D23B6"/>
    <w:rsid w:val="22177AF6"/>
    <w:rsid w:val="28563BB0"/>
    <w:rsid w:val="32A95302"/>
    <w:rsid w:val="427F607F"/>
    <w:rsid w:val="434A043B"/>
    <w:rsid w:val="4AB443EC"/>
    <w:rsid w:val="4C9E7102"/>
    <w:rsid w:val="4D92310A"/>
    <w:rsid w:val="565A143F"/>
    <w:rsid w:val="57B819BF"/>
    <w:rsid w:val="5A6279C1"/>
    <w:rsid w:val="5B5E63DA"/>
    <w:rsid w:val="61170945"/>
    <w:rsid w:val="619743F4"/>
    <w:rsid w:val="62065A1D"/>
    <w:rsid w:val="6A3B3D8A"/>
    <w:rsid w:val="71D2102E"/>
    <w:rsid w:val="72323CC5"/>
    <w:rsid w:val="73AB01D2"/>
    <w:rsid w:val="767D5E56"/>
    <w:rsid w:val="7BA37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1074</Words>
  <Characters>1107</Characters>
  <Lines>0</Lines>
  <Paragraphs>0</Paragraphs>
  <TotalTime>3</TotalTime>
  <ScaleCrop>false</ScaleCrop>
  <LinksUpToDate>false</LinksUpToDate>
  <CharactersWithSpaces>1128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2026-07-13T03:43:00Z</dcterms:created>
  <dc:creator>admin</dc:creator>
  <cp:lastModifiedBy>WPS_1782704133</cp:lastModifiedBy>
  <dcterms:modified xsi:type="dcterms:W3CDTF">2026-07-21T03:42:25Z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eyJoZGlkIjoiMmZhMTVhYjUzYWRkYzNkNGFiODkxOWYxYmQ3YTdjODMiLCJ1c2VySWQiOiIxODYxNTgyMTA5In0=</vt:lpwstr>
  </property>
  <property fmtid="{D5CDD505-2E9C-101B-9397-08002B2CF9AE}" pid="4" name="ICV">
    <vt:lpwstr>F82DD5104DC14E769EB1160E08A36FDF_12</vt:lpwstr>
  </property>
</Properties>
</file>