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00A32">
      <w:pPr>
        <w:jc w:val="center"/>
        <w:rPr>
          <w:rFonts w:hint="eastAsia" w:ascii="方正小标宋简体" w:hAnsi="方正小标宋简体" w:eastAsia="方正小标宋简体" w:cs="方正小标宋简体"/>
          <w:bCs/>
          <w:sz w:val="36"/>
          <w:szCs w:val="36"/>
          <w:lang w:eastAsia="zh-CN"/>
        </w:rPr>
      </w:pPr>
      <w:bookmarkStart w:id="0" w:name="_GoBack"/>
      <w:bookmarkEnd w:id="0"/>
      <w:r>
        <w:rPr>
          <w:rFonts w:hint="eastAsia" w:ascii="方正小标宋简体" w:hAnsi="方正小标宋简体" w:eastAsia="方正小标宋简体" w:cs="方正小标宋简体"/>
          <w:bCs/>
          <w:sz w:val="36"/>
          <w:szCs w:val="36"/>
        </w:rPr>
        <w:t>江门市蓬江区</w:t>
      </w:r>
      <w:r>
        <w:rPr>
          <w:rFonts w:hint="eastAsia" w:ascii="方正小标宋简体" w:hAnsi="方正小标宋简体" w:eastAsia="方正小标宋简体" w:cs="方正小标宋简体"/>
          <w:bCs/>
          <w:sz w:val="36"/>
          <w:szCs w:val="36"/>
          <w:lang w:eastAsia="zh-CN"/>
        </w:rPr>
        <w:t>环境监测站</w:t>
      </w:r>
      <w:r>
        <w:rPr>
          <w:rFonts w:hint="eastAsia" w:ascii="方正小标宋简体" w:hAnsi="方正小标宋简体" w:eastAsia="方正小标宋简体" w:cs="方正小标宋简体"/>
          <w:bCs/>
          <w:sz w:val="36"/>
          <w:szCs w:val="36"/>
          <w:lang w:val="en-US" w:eastAsia="zh-CN"/>
        </w:rPr>
        <w:t>2026年废水处理设施维护保养项目服务（2026D01）</w:t>
      </w:r>
      <w:r>
        <w:rPr>
          <w:rFonts w:hint="eastAsia" w:ascii="方正小标宋简体" w:hAnsi="方正小标宋简体" w:eastAsia="方正小标宋简体" w:cs="方正小标宋简体"/>
          <w:bCs/>
          <w:sz w:val="36"/>
          <w:szCs w:val="36"/>
        </w:rPr>
        <w:t>综合评分</w:t>
      </w:r>
      <w:r>
        <w:rPr>
          <w:rFonts w:hint="eastAsia" w:ascii="方正小标宋简体" w:hAnsi="方正小标宋简体" w:eastAsia="方正小标宋简体" w:cs="方正小标宋简体"/>
          <w:bCs/>
          <w:sz w:val="36"/>
          <w:szCs w:val="36"/>
          <w:lang w:eastAsia="zh-CN"/>
        </w:rPr>
        <w:t>表</w:t>
      </w:r>
    </w:p>
    <w:tbl>
      <w:tblPr>
        <w:tblStyle w:val="6"/>
        <w:tblpPr w:leftFromText="180" w:rightFromText="180" w:vertAnchor="text" w:horzAnchor="page" w:tblpXSpec="center" w:tblpY="205"/>
        <w:tblOverlap w:val="never"/>
        <w:tblW w:w="46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127"/>
        <w:gridCol w:w="731"/>
        <w:gridCol w:w="4937"/>
        <w:gridCol w:w="913"/>
      </w:tblGrid>
      <w:tr w14:paraId="76B1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40" w:type="pct"/>
            <w:tcBorders>
              <w:top w:val="single" w:color="auto" w:sz="4" w:space="0"/>
              <w:left w:val="single" w:color="auto" w:sz="4" w:space="0"/>
              <w:right w:val="single" w:color="auto" w:sz="4" w:space="0"/>
            </w:tcBorders>
            <w:noWrap w:val="0"/>
            <w:vAlign w:val="center"/>
          </w:tcPr>
          <w:p w14:paraId="4E010AA5">
            <w:pPr>
              <w:pStyle w:val="4"/>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sz w:val="24"/>
                <w:szCs w:val="24"/>
                <w:lang w:val="en-US" w:eastAsia="zh-CN"/>
              </w:rPr>
            </w:pPr>
            <w:r>
              <w:rPr>
                <w:rFonts w:hint="eastAsia" w:ascii="仿宋_GB2312" w:hAnsi="仿宋" w:eastAsia="仿宋_GB2312" w:cs="Times New Roman"/>
                <w:b/>
                <w:bCs/>
                <w:sz w:val="24"/>
                <w:szCs w:val="24"/>
                <w:lang w:val="en-US" w:eastAsia="zh-CN"/>
              </w:rPr>
              <w:t>序号</w:t>
            </w:r>
          </w:p>
        </w:tc>
        <w:tc>
          <w:tcPr>
            <w:tcW w:w="681" w:type="pct"/>
            <w:tcBorders>
              <w:top w:val="single" w:color="auto" w:sz="4" w:space="0"/>
              <w:left w:val="single" w:color="auto" w:sz="4" w:space="0"/>
              <w:right w:val="single" w:color="auto" w:sz="4" w:space="0"/>
            </w:tcBorders>
            <w:noWrap w:val="0"/>
            <w:vAlign w:val="center"/>
          </w:tcPr>
          <w:p w14:paraId="53DC8CBC">
            <w:pPr>
              <w:pStyle w:val="4"/>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sz w:val="24"/>
                <w:szCs w:val="24"/>
                <w:lang w:val="en-US" w:eastAsia="zh-CN"/>
              </w:rPr>
            </w:pPr>
            <w:r>
              <w:rPr>
                <w:rFonts w:hint="eastAsia" w:ascii="仿宋_GB2312" w:hAnsi="仿宋" w:eastAsia="仿宋_GB2312" w:cs="Times New Roman"/>
                <w:b/>
                <w:bCs/>
                <w:sz w:val="24"/>
                <w:szCs w:val="24"/>
                <w:lang w:val="en-US" w:eastAsia="zh-CN"/>
              </w:rPr>
              <w:t>评审项目</w:t>
            </w:r>
          </w:p>
        </w:tc>
        <w:tc>
          <w:tcPr>
            <w:tcW w:w="441" w:type="pct"/>
            <w:tcBorders>
              <w:top w:val="single" w:color="auto" w:sz="4" w:space="0"/>
              <w:left w:val="single" w:color="auto" w:sz="4" w:space="0"/>
              <w:right w:val="single" w:color="auto" w:sz="4" w:space="0"/>
            </w:tcBorders>
            <w:noWrap w:val="0"/>
            <w:vAlign w:val="center"/>
          </w:tcPr>
          <w:p w14:paraId="2A76427B">
            <w:pPr>
              <w:pStyle w:val="4"/>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sz w:val="24"/>
                <w:szCs w:val="24"/>
              </w:rPr>
            </w:pPr>
            <w:r>
              <w:rPr>
                <w:rFonts w:hint="eastAsia" w:ascii="仿宋_GB2312" w:hAnsi="仿宋" w:eastAsia="仿宋_GB2312" w:cs="Times New Roman"/>
                <w:b/>
                <w:bCs/>
                <w:sz w:val="24"/>
                <w:szCs w:val="24"/>
              </w:rPr>
              <w:t>分值</w:t>
            </w:r>
          </w:p>
        </w:tc>
        <w:tc>
          <w:tcPr>
            <w:tcW w:w="2984" w:type="pct"/>
            <w:tcBorders>
              <w:top w:val="single" w:color="auto" w:sz="4" w:space="0"/>
              <w:left w:val="single" w:color="auto" w:sz="4" w:space="0"/>
              <w:right w:val="single" w:color="auto" w:sz="4" w:space="0"/>
            </w:tcBorders>
            <w:noWrap w:val="0"/>
            <w:vAlign w:val="center"/>
          </w:tcPr>
          <w:p w14:paraId="463FF76B">
            <w:pPr>
              <w:pStyle w:val="4"/>
              <w:keepNext w:val="0"/>
              <w:keepLines w:val="0"/>
              <w:pageBreakBefore w:val="0"/>
              <w:widowControl w:val="0"/>
              <w:kinsoku/>
              <w:wordWrap/>
              <w:overflowPunct/>
              <w:topLinePunct w:val="0"/>
              <w:autoSpaceDE/>
              <w:autoSpaceDN/>
              <w:bidi w:val="0"/>
              <w:spacing w:line="240" w:lineRule="atLeast"/>
              <w:jc w:val="center"/>
              <w:textAlignment w:val="auto"/>
              <w:rPr>
                <w:rFonts w:hint="default" w:ascii="仿宋_GB2312" w:hAnsi="仿宋" w:eastAsia="仿宋_GB2312" w:cs="Times New Roman"/>
                <w:b/>
                <w:bCs/>
                <w:sz w:val="24"/>
                <w:szCs w:val="24"/>
                <w:lang w:val="en-US" w:eastAsia="zh-CN"/>
              </w:rPr>
            </w:pPr>
            <w:r>
              <w:rPr>
                <w:rFonts w:hint="eastAsia" w:ascii="仿宋_GB2312" w:hAnsi="仿宋" w:eastAsia="仿宋_GB2312" w:cs="Times New Roman"/>
                <w:b/>
                <w:bCs/>
                <w:sz w:val="24"/>
                <w:szCs w:val="24"/>
                <w:lang w:val="en-US" w:eastAsia="zh-CN"/>
              </w:rPr>
              <w:t>评分细则</w:t>
            </w:r>
          </w:p>
        </w:tc>
        <w:tc>
          <w:tcPr>
            <w:tcW w:w="551" w:type="pct"/>
            <w:tcBorders>
              <w:top w:val="single" w:color="auto" w:sz="4" w:space="0"/>
              <w:left w:val="single" w:color="auto" w:sz="4" w:space="0"/>
              <w:bottom w:val="single" w:color="auto" w:sz="4" w:space="0"/>
              <w:right w:val="single" w:color="auto" w:sz="4" w:space="0"/>
            </w:tcBorders>
            <w:noWrap w:val="0"/>
            <w:vAlign w:val="center"/>
          </w:tcPr>
          <w:p w14:paraId="081C3E38">
            <w:pPr>
              <w:pStyle w:val="4"/>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sz w:val="24"/>
                <w:szCs w:val="24"/>
                <w:lang w:val="en-US" w:eastAsia="zh-CN"/>
              </w:rPr>
            </w:pPr>
            <w:r>
              <w:rPr>
                <w:rFonts w:hint="eastAsia" w:ascii="仿宋_GB2312" w:hAnsi="仿宋" w:eastAsia="仿宋_GB2312" w:cs="Times New Roman"/>
                <w:b/>
                <w:bCs/>
                <w:sz w:val="24"/>
                <w:szCs w:val="24"/>
                <w:lang w:val="en-US" w:eastAsia="zh-CN"/>
              </w:rPr>
              <w:t>得分</w:t>
            </w:r>
          </w:p>
        </w:tc>
      </w:tr>
      <w:tr w14:paraId="7E6D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340" w:type="pct"/>
            <w:tcBorders>
              <w:top w:val="single" w:color="auto" w:sz="4" w:space="0"/>
              <w:left w:val="single" w:color="auto" w:sz="4" w:space="0"/>
              <w:right w:val="single" w:color="auto" w:sz="4" w:space="0"/>
            </w:tcBorders>
            <w:noWrap w:val="0"/>
            <w:vAlign w:val="center"/>
          </w:tcPr>
          <w:p w14:paraId="057BE86D">
            <w:pPr>
              <w:pStyle w:val="4"/>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681" w:type="pct"/>
            <w:tcBorders>
              <w:top w:val="single" w:color="auto" w:sz="4" w:space="0"/>
              <w:left w:val="single" w:color="auto" w:sz="4" w:space="0"/>
              <w:right w:val="single" w:color="auto" w:sz="4" w:space="0"/>
            </w:tcBorders>
            <w:noWrap w:val="0"/>
            <w:vAlign w:val="center"/>
          </w:tcPr>
          <w:p w14:paraId="37EB8935">
            <w:pPr>
              <w:pStyle w:val="4"/>
              <w:spacing w:line="240" w:lineRule="auto"/>
              <w:jc w:val="center"/>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技术分</w:t>
            </w:r>
          </w:p>
          <w:p w14:paraId="38354AB1">
            <w:pPr>
              <w:pStyle w:val="4"/>
              <w:spacing w:line="240" w:lineRule="auto"/>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lang w:eastAsia="zh-CN"/>
              </w:rPr>
              <w:t>0分）</w:t>
            </w:r>
          </w:p>
        </w:tc>
        <w:tc>
          <w:tcPr>
            <w:tcW w:w="441" w:type="pct"/>
            <w:tcBorders>
              <w:top w:val="single" w:color="auto" w:sz="4" w:space="0"/>
              <w:left w:val="single" w:color="auto" w:sz="4" w:space="0"/>
              <w:right w:val="single" w:color="auto" w:sz="4" w:space="0"/>
            </w:tcBorders>
            <w:noWrap w:val="0"/>
            <w:vAlign w:val="center"/>
          </w:tcPr>
          <w:p w14:paraId="68E5210E">
            <w:pPr>
              <w:pStyle w:val="4"/>
              <w:spacing w:line="240" w:lineRule="auto"/>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40</w:t>
            </w:r>
          </w:p>
        </w:tc>
        <w:tc>
          <w:tcPr>
            <w:tcW w:w="2984" w:type="pct"/>
            <w:tcBorders>
              <w:top w:val="single" w:color="auto" w:sz="4" w:space="0"/>
              <w:left w:val="single" w:color="auto" w:sz="4" w:space="0"/>
              <w:right w:val="single" w:color="auto" w:sz="4" w:space="0"/>
            </w:tcBorders>
            <w:noWrap w:val="0"/>
            <w:vAlign w:val="center"/>
          </w:tcPr>
          <w:p w14:paraId="6537A815">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color w:val="0C0C0C"/>
                <w:kern w:val="0"/>
                <w:sz w:val="24"/>
                <w:szCs w:val="24"/>
                <w:lang w:val="en" w:eastAsia="zh-CN" w:bidi="ar-SA"/>
              </w:rPr>
            </w:pPr>
            <w:r>
              <w:rPr>
                <w:rFonts w:hint="default" w:ascii="Times New Roman" w:hAnsi="Times New Roman" w:eastAsia="宋体" w:cs="Times New Roman"/>
                <w:color w:val="0C0C0C"/>
                <w:kern w:val="0"/>
                <w:sz w:val="24"/>
                <w:szCs w:val="24"/>
                <w:lang w:val="en" w:eastAsia="zh-CN" w:bidi="ar-SA"/>
              </w:rPr>
              <w:t>对各类设备（臭氧管、加药软管、泵管、酸碱探头、主要机电设备等）分别制定日常巡查方案。</w:t>
            </w:r>
          </w:p>
          <w:p w14:paraId="0E22F44D">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color w:val="0C0C0C"/>
                <w:kern w:val="0"/>
                <w:sz w:val="24"/>
                <w:szCs w:val="24"/>
                <w:lang w:val="en" w:eastAsia="zh-CN" w:bidi="ar-SA"/>
              </w:rPr>
            </w:pPr>
            <w:r>
              <w:rPr>
                <w:rFonts w:hint="default" w:ascii="Times New Roman" w:hAnsi="Times New Roman" w:eastAsia="宋体" w:cs="Times New Roman"/>
                <w:color w:val="0C0C0C"/>
                <w:kern w:val="0"/>
                <w:sz w:val="24"/>
                <w:szCs w:val="24"/>
                <w:lang w:val="en" w:eastAsia="zh-CN" w:bidi="ar-SA"/>
              </w:rPr>
              <w:t>• 方案详尽、措施得当、针对性强，设施故障能迅速到达现场并解决 (50分)</w:t>
            </w:r>
          </w:p>
          <w:p w14:paraId="002D399B">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color w:val="0C0C0C"/>
                <w:kern w:val="0"/>
                <w:sz w:val="24"/>
                <w:szCs w:val="24"/>
                <w:lang w:val="en" w:eastAsia="zh-CN" w:bidi="ar-SA"/>
              </w:rPr>
            </w:pPr>
            <w:r>
              <w:rPr>
                <w:rFonts w:hint="default" w:ascii="Times New Roman" w:hAnsi="Times New Roman" w:eastAsia="宋体" w:cs="Times New Roman"/>
                <w:color w:val="0C0C0C"/>
                <w:kern w:val="0"/>
                <w:sz w:val="24"/>
                <w:szCs w:val="24"/>
                <w:lang w:val="en" w:eastAsia="zh-CN" w:bidi="ar-SA"/>
              </w:rPr>
              <w:t>• 方案较完整、措施基本合理，设施故障能及时解决 (35分)</w:t>
            </w:r>
          </w:p>
          <w:p w14:paraId="485A8E35">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color w:val="0C0C0C"/>
                <w:kern w:val="0"/>
                <w:sz w:val="24"/>
                <w:szCs w:val="24"/>
                <w:lang w:val="en" w:eastAsia="zh-CN" w:bidi="ar-SA"/>
              </w:rPr>
            </w:pPr>
            <w:r>
              <w:rPr>
                <w:rFonts w:hint="default" w:ascii="Times New Roman" w:hAnsi="Times New Roman" w:eastAsia="宋体" w:cs="Times New Roman"/>
                <w:color w:val="0C0C0C"/>
                <w:kern w:val="0"/>
                <w:sz w:val="24"/>
                <w:szCs w:val="24"/>
                <w:lang w:val="en" w:eastAsia="zh-CN" w:bidi="ar-SA"/>
              </w:rPr>
              <w:t>• 方案简单、缺乏针对性，设施故障后续解决 (20分)</w:t>
            </w:r>
          </w:p>
          <w:p w14:paraId="7C0F1F5A">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C0C0C"/>
                <w:kern w:val="0"/>
                <w:sz w:val="24"/>
                <w:szCs w:val="24"/>
                <w:lang w:val="en" w:eastAsia="zh-CN" w:bidi="ar-SA"/>
              </w:rPr>
              <w:t>• 方案不可行或不完整 (0分)</w:t>
            </w:r>
          </w:p>
        </w:tc>
        <w:tc>
          <w:tcPr>
            <w:tcW w:w="551" w:type="pct"/>
            <w:tcBorders>
              <w:top w:val="single" w:color="auto" w:sz="4" w:space="0"/>
              <w:left w:val="single" w:color="auto" w:sz="4" w:space="0"/>
              <w:bottom w:val="single" w:color="auto" w:sz="4" w:space="0"/>
              <w:right w:val="single" w:color="auto" w:sz="4" w:space="0"/>
            </w:tcBorders>
            <w:noWrap w:val="0"/>
            <w:vAlign w:val="center"/>
          </w:tcPr>
          <w:p w14:paraId="4B55C36F">
            <w:pPr>
              <w:pStyle w:val="4"/>
              <w:spacing w:line="240" w:lineRule="auto"/>
              <w:jc w:val="center"/>
              <w:rPr>
                <w:rFonts w:hint="default" w:ascii="仿宋_GB2312" w:hAnsi="仿宋" w:eastAsia="仿宋_GB2312" w:cs="Times New Roman"/>
                <w:sz w:val="24"/>
                <w:szCs w:val="24"/>
                <w:lang w:val="en-US" w:eastAsia="zh-CN"/>
              </w:rPr>
            </w:pPr>
          </w:p>
        </w:tc>
      </w:tr>
      <w:tr w14:paraId="0F50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340" w:type="pct"/>
            <w:tcBorders>
              <w:left w:val="single" w:color="auto" w:sz="4" w:space="0"/>
              <w:right w:val="single" w:color="auto" w:sz="4" w:space="0"/>
            </w:tcBorders>
            <w:noWrap w:val="0"/>
            <w:vAlign w:val="center"/>
          </w:tcPr>
          <w:p w14:paraId="165FD097">
            <w:pPr>
              <w:pStyle w:val="4"/>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681" w:type="pct"/>
            <w:tcBorders>
              <w:left w:val="single" w:color="auto" w:sz="4" w:space="0"/>
              <w:right w:val="single" w:color="auto" w:sz="4" w:space="0"/>
            </w:tcBorders>
            <w:noWrap w:val="0"/>
            <w:vAlign w:val="center"/>
          </w:tcPr>
          <w:p w14:paraId="2348F77D">
            <w:pPr>
              <w:pStyle w:val="4"/>
              <w:spacing w:line="24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资质分</w:t>
            </w:r>
          </w:p>
          <w:p w14:paraId="3034BECC">
            <w:pPr>
              <w:pStyle w:val="4"/>
              <w:spacing w:line="24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（30分）</w:t>
            </w:r>
          </w:p>
        </w:tc>
        <w:tc>
          <w:tcPr>
            <w:tcW w:w="441" w:type="pct"/>
            <w:tcBorders>
              <w:top w:val="single" w:color="auto" w:sz="4" w:space="0"/>
              <w:left w:val="single" w:color="auto" w:sz="4" w:space="0"/>
              <w:bottom w:val="single" w:color="auto" w:sz="4" w:space="0"/>
              <w:right w:val="single" w:color="auto" w:sz="4" w:space="0"/>
            </w:tcBorders>
            <w:noWrap w:val="0"/>
            <w:vAlign w:val="center"/>
          </w:tcPr>
          <w:p w14:paraId="5CB10BB7">
            <w:pPr>
              <w:pStyle w:val="4"/>
              <w:spacing w:line="240" w:lineRule="auto"/>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30</w:t>
            </w:r>
          </w:p>
        </w:tc>
        <w:tc>
          <w:tcPr>
            <w:tcW w:w="2984" w:type="pct"/>
            <w:tcBorders>
              <w:top w:val="single" w:color="auto" w:sz="4" w:space="0"/>
              <w:left w:val="single" w:color="auto" w:sz="4" w:space="0"/>
              <w:bottom w:val="single" w:color="auto" w:sz="4" w:space="0"/>
              <w:right w:val="single" w:color="auto" w:sz="4" w:space="0"/>
            </w:tcBorders>
            <w:noWrap w:val="0"/>
            <w:vAlign w:val="center"/>
          </w:tcPr>
          <w:p w14:paraId="0549E895">
            <w:pPr>
              <w:pStyle w:val="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供应商具备污水处理设施运维的相关资质（15分）</w:t>
            </w:r>
          </w:p>
          <w:p w14:paraId="7B3150E4">
            <w:pPr>
              <w:pStyle w:val="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hAnsi="宋体" w:cs="宋体"/>
                <w:sz w:val="24"/>
                <w:szCs w:val="24"/>
                <w:lang w:eastAsia="zh-CN"/>
              </w:rPr>
              <w:t>具备</w:t>
            </w:r>
            <w:r>
              <w:rPr>
                <w:rFonts w:hint="eastAsia" w:ascii="宋体" w:hAnsi="宋体" w:eastAsia="宋体" w:cs="宋体"/>
                <w:sz w:val="24"/>
                <w:szCs w:val="24"/>
              </w:rPr>
              <w:t>污水处理设施运维</w:t>
            </w:r>
            <w:r>
              <w:rPr>
                <w:rFonts w:hint="eastAsia" w:hAnsi="宋体" w:cs="宋体"/>
                <w:sz w:val="24"/>
                <w:szCs w:val="24"/>
                <w:lang w:eastAsia="zh-CN"/>
              </w:rPr>
              <w:t>相关</w:t>
            </w:r>
            <w:r>
              <w:rPr>
                <w:rFonts w:hint="eastAsia" w:ascii="宋体" w:hAnsi="宋体" w:eastAsia="宋体" w:cs="宋体"/>
                <w:sz w:val="24"/>
                <w:szCs w:val="24"/>
              </w:rPr>
              <w:t>经验</w:t>
            </w:r>
            <w:r>
              <w:rPr>
                <w:rFonts w:hint="eastAsia" w:hAnsi="宋体" w:cs="宋体"/>
                <w:sz w:val="24"/>
                <w:szCs w:val="24"/>
                <w:lang w:eastAsia="zh-CN"/>
              </w:rPr>
              <w:t>，如承接两次及以上污水运维业务，每提供一间合作公司得</w:t>
            </w:r>
            <w:r>
              <w:rPr>
                <w:rFonts w:hint="eastAsia" w:hAnsi="宋体" w:cs="宋体"/>
                <w:sz w:val="24"/>
                <w:szCs w:val="24"/>
                <w:lang w:val="en-US" w:eastAsia="zh-CN"/>
              </w:rPr>
              <w:t>7.5分，满分15分</w:t>
            </w:r>
            <w:r>
              <w:rPr>
                <w:rFonts w:hint="eastAsia" w:ascii="宋体" w:hAnsi="宋体" w:eastAsia="宋体" w:cs="宋体"/>
                <w:sz w:val="24"/>
                <w:szCs w:val="24"/>
              </w:rPr>
              <w:t>（15分）</w:t>
            </w:r>
          </w:p>
          <w:p w14:paraId="3AF41794">
            <w:pPr>
              <w:pStyle w:val="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4"/>
                <w:szCs w:val="24"/>
                <w:lang w:val="en-US" w:eastAsia="zh-CN"/>
              </w:rPr>
            </w:pPr>
            <w:r>
              <w:rPr>
                <w:rFonts w:hint="eastAsia" w:ascii="宋体" w:hAnsi="宋体" w:eastAsia="宋体" w:cs="宋体"/>
                <w:sz w:val="24"/>
                <w:szCs w:val="24"/>
              </w:rPr>
              <w:t>注：供应商须提供资质的证明材料复印件，并加盖供应商公章。</w:t>
            </w:r>
          </w:p>
        </w:tc>
        <w:tc>
          <w:tcPr>
            <w:tcW w:w="551" w:type="pct"/>
            <w:tcBorders>
              <w:top w:val="single" w:color="auto" w:sz="4" w:space="0"/>
              <w:left w:val="single" w:color="auto" w:sz="4" w:space="0"/>
              <w:bottom w:val="single" w:color="auto" w:sz="4" w:space="0"/>
              <w:right w:val="single" w:color="auto" w:sz="4" w:space="0"/>
            </w:tcBorders>
            <w:noWrap w:val="0"/>
            <w:vAlign w:val="center"/>
          </w:tcPr>
          <w:p w14:paraId="6E7FE6AD">
            <w:pPr>
              <w:pStyle w:val="4"/>
              <w:spacing w:line="240" w:lineRule="auto"/>
              <w:jc w:val="center"/>
              <w:rPr>
                <w:rFonts w:hint="default" w:ascii="仿宋_GB2312" w:hAnsi="仿宋" w:eastAsia="仿宋_GB2312" w:cs="Times New Roman"/>
                <w:sz w:val="24"/>
                <w:szCs w:val="24"/>
                <w:lang w:val="en-US" w:eastAsia="zh-CN"/>
              </w:rPr>
            </w:pPr>
          </w:p>
        </w:tc>
      </w:tr>
      <w:tr w14:paraId="584C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340" w:type="pct"/>
            <w:tcBorders>
              <w:left w:val="single" w:color="auto" w:sz="4" w:space="0"/>
              <w:right w:val="single" w:color="auto" w:sz="4" w:space="0"/>
            </w:tcBorders>
            <w:noWrap w:val="0"/>
            <w:vAlign w:val="center"/>
          </w:tcPr>
          <w:p w14:paraId="0F34068A">
            <w:pPr>
              <w:pStyle w:val="4"/>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681" w:type="pct"/>
            <w:tcBorders>
              <w:left w:val="single" w:color="auto" w:sz="4" w:space="0"/>
              <w:right w:val="single" w:color="auto" w:sz="4" w:space="0"/>
            </w:tcBorders>
            <w:noWrap w:val="0"/>
            <w:vAlign w:val="center"/>
          </w:tcPr>
          <w:p w14:paraId="211B6CC6">
            <w:pPr>
              <w:pStyle w:val="4"/>
              <w:spacing w:line="24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价格分</w:t>
            </w:r>
          </w:p>
          <w:p w14:paraId="24625F29">
            <w:pPr>
              <w:pStyle w:val="4"/>
              <w:spacing w:line="240" w:lineRule="auto"/>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0分）</w:t>
            </w:r>
          </w:p>
        </w:tc>
        <w:tc>
          <w:tcPr>
            <w:tcW w:w="441" w:type="pct"/>
            <w:tcBorders>
              <w:top w:val="single" w:color="auto" w:sz="4" w:space="0"/>
              <w:left w:val="single" w:color="auto" w:sz="4" w:space="0"/>
              <w:bottom w:val="single" w:color="auto" w:sz="4" w:space="0"/>
              <w:right w:val="single" w:color="auto" w:sz="4" w:space="0"/>
            </w:tcBorders>
            <w:noWrap w:val="0"/>
            <w:vAlign w:val="center"/>
          </w:tcPr>
          <w:p w14:paraId="06CA3ADA">
            <w:pPr>
              <w:pStyle w:val="4"/>
              <w:spacing w:line="240" w:lineRule="auto"/>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30</w:t>
            </w:r>
          </w:p>
        </w:tc>
        <w:tc>
          <w:tcPr>
            <w:tcW w:w="2984" w:type="pct"/>
            <w:tcBorders>
              <w:top w:val="single" w:color="auto" w:sz="4" w:space="0"/>
              <w:left w:val="single" w:color="auto" w:sz="4" w:space="0"/>
              <w:bottom w:val="single" w:color="auto" w:sz="4" w:space="0"/>
              <w:right w:val="single" w:color="auto" w:sz="4" w:space="0"/>
            </w:tcBorders>
            <w:noWrap w:val="0"/>
            <w:vAlign w:val="center"/>
          </w:tcPr>
          <w:p w14:paraId="178D72C6">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本项目的价格分采用低价优先法计算，即通过本项目资格性检查与符合性检查且投标价格最低的投标报价为评标基准价，其价格分为满分，即</w:t>
            </w:r>
            <w:r>
              <w:rPr>
                <w:rFonts w:hint="eastAsia" w:hAnsi="宋体" w:cs="宋体"/>
                <w:sz w:val="24"/>
                <w:szCs w:val="24"/>
                <w:lang w:val="en-US" w:eastAsia="zh-CN"/>
              </w:rPr>
              <w:t>20</w:t>
            </w:r>
            <w:r>
              <w:rPr>
                <w:rFonts w:hint="eastAsia" w:ascii="宋体" w:hAnsi="宋体" w:eastAsia="宋体" w:cs="宋体"/>
                <w:sz w:val="24"/>
                <w:szCs w:val="24"/>
              </w:rPr>
              <w:t>分。</w:t>
            </w:r>
          </w:p>
          <w:p w14:paraId="4A532F35">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其他投标人的价格分统一按照下列公式计算：</w:t>
            </w:r>
          </w:p>
          <w:p w14:paraId="4D8C4C37">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投标报价得分=（评标基准价／投标报价）×</w:t>
            </w:r>
            <w:r>
              <w:rPr>
                <w:rFonts w:hint="eastAsia" w:ascii="Times New Roman" w:hAnsi="Times New Roman" w:cs="Times New Roman"/>
                <w:kern w:val="2"/>
                <w:sz w:val="24"/>
                <w:szCs w:val="24"/>
                <w:lang w:val="en-US" w:eastAsia="zh-CN" w:bidi="ar-SA"/>
              </w:rPr>
              <w:t>20</w:t>
            </w:r>
            <w:r>
              <w:rPr>
                <w:rFonts w:hint="eastAsia" w:ascii="Times New Roman" w:hAnsi="Times New Roman" w:eastAsia="宋体" w:cs="Times New Roman"/>
                <w:kern w:val="2"/>
                <w:sz w:val="24"/>
                <w:szCs w:val="24"/>
                <w:lang w:val="en-US" w:eastAsia="zh-CN" w:bidi="ar-SA"/>
              </w:rPr>
              <w:t>，结果保留2位小数（小数点后第三位四舍五入）。</w:t>
            </w:r>
          </w:p>
          <w:p w14:paraId="7D822872">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若投标供应商报价低于所有有效投标报价算术平均值20%及以上，视为报价明显偏低，有可能影响产品质量或者不能诚信履约情形的，应当要求其在评标过程合理的时间内提供书面说明，必要时提交相关证明材料；供应商不能证明其报价合理性的，评标委员会应当将其作为无效投标处理。）</w:t>
            </w:r>
          </w:p>
        </w:tc>
        <w:tc>
          <w:tcPr>
            <w:tcW w:w="551" w:type="pct"/>
            <w:tcBorders>
              <w:top w:val="single" w:color="auto" w:sz="4" w:space="0"/>
              <w:left w:val="single" w:color="auto" w:sz="4" w:space="0"/>
              <w:bottom w:val="single" w:color="auto" w:sz="4" w:space="0"/>
              <w:right w:val="single" w:color="auto" w:sz="4" w:space="0"/>
            </w:tcBorders>
            <w:noWrap w:val="0"/>
            <w:vAlign w:val="center"/>
          </w:tcPr>
          <w:p w14:paraId="6F32BB79">
            <w:pPr>
              <w:pStyle w:val="4"/>
              <w:spacing w:line="240" w:lineRule="auto"/>
              <w:jc w:val="center"/>
              <w:rPr>
                <w:rFonts w:hint="default" w:ascii="仿宋_GB2312" w:hAnsi="仿宋" w:eastAsia="仿宋_GB2312" w:cs="Times New Roman"/>
                <w:sz w:val="24"/>
                <w:szCs w:val="24"/>
                <w:lang w:val="en-US" w:eastAsia="zh-CN"/>
              </w:rPr>
            </w:pPr>
          </w:p>
        </w:tc>
      </w:tr>
      <w:tr w14:paraId="772A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22" w:type="pct"/>
            <w:gridSpan w:val="2"/>
            <w:tcBorders>
              <w:left w:val="single" w:color="auto" w:sz="4" w:space="0"/>
              <w:right w:val="single" w:color="auto" w:sz="4" w:space="0"/>
            </w:tcBorders>
            <w:noWrap w:val="0"/>
            <w:vAlign w:val="center"/>
          </w:tcPr>
          <w:p w14:paraId="3CBCD717">
            <w:pPr>
              <w:pStyle w:val="4"/>
              <w:spacing w:line="240" w:lineRule="auto"/>
              <w:jc w:val="center"/>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综合得分</w:t>
            </w:r>
          </w:p>
        </w:tc>
        <w:tc>
          <w:tcPr>
            <w:tcW w:w="441" w:type="pct"/>
            <w:tcBorders>
              <w:top w:val="single" w:color="auto" w:sz="4" w:space="0"/>
              <w:left w:val="single" w:color="auto" w:sz="4" w:space="0"/>
              <w:bottom w:val="single" w:color="auto" w:sz="4" w:space="0"/>
              <w:right w:val="single" w:color="auto" w:sz="4" w:space="0"/>
            </w:tcBorders>
            <w:noWrap w:val="0"/>
            <w:vAlign w:val="center"/>
          </w:tcPr>
          <w:p w14:paraId="072DF844">
            <w:pPr>
              <w:pStyle w:val="4"/>
              <w:spacing w:line="240"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100</w:t>
            </w:r>
          </w:p>
        </w:tc>
        <w:tc>
          <w:tcPr>
            <w:tcW w:w="2984" w:type="pct"/>
            <w:tcBorders>
              <w:top w:val="single" w:color="auto" w:sz="4" w:space="0"/>
              <w:left w:val="single" w:color="auto" w:sz="4" w:space="0"/>
              <w:bottom w:val="single" w:color="auto" w:sz="4" w:space="0"/>
              <w:right w:val="single" w:color="auto" w:sz="4" w:space="0"/>
            </w:tcBorders>
            <w:noWrap w:val="0"/>
            <w:vAlign w:val="center"/>
          </w:tcPr>
          <w:p w14:paraId="0D5CDF6A">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w:t>
            </w:r>
          </w:p>
        </w:tc>
        <w:tc>
          <w:tcPr>
            <w:tcW w:w="551" w:type="pct"/>
            <w:tcBorders>
              <w:top w:val="single" w:color="auto" w:sz="4" w:space="0"/>
              <w:left w:val="single" w:color="auto" w:sz="4" w:space="0"/>
              <w:bottom w:val="single" w:color="auto" w:sz="4" w:space="0"/>
              <w:right w:val="single" w:color="auto" w:sz="4" w:space="0"/>
            </w:tcBorders>
            <w:noWrap w:val="0"/>
            <w:vAlign w:val="center"/>
          </w:tcPr>
          <w:p w14:paraId="68C89BED">
            <w:pPr>
              <w:pStyle w:val="4"/>
              <w:spacing w:line="240" w:lineRule="auto"/>
              <w:jc w:val="center"/>
              <w:rPr>
                <w:rFonts w:hint="default" w:ascii="仿宋_GB2312" w:hAnsi="仿宋" w:eastAsia="仿宋_GB2312" w:cs="Times New Roman"/>
                <w:sz w:val="24"/>
                <w:szCs w:val="24"/>
                <w:lang w:val="en-US" w:eastAsia="zh-CN"/>
              </w:rPr>
            </w:pPr>
          </w:p>
        </w:tc>
      </w:tr>
      <w:tr w14:paraId="4094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5000" w:type="pct"/>
            <w:gridSpan w:val="5"/>
            <w:tcBorders>
              <w:left w:val="single" w:color="auto" w:sz="4" w:space="0"/>
              <w:right w:val="single" w:color="auto" w:sz="4" w:space="0"/>
            </w:tcBorders>
            <w:noWrap w:val="0"/>
            <w:vAlign w:val="center"/>
          </w:tcPr>
          <w:p w14:paraId="60B14F3F">
            <w:pPr>
              <w:pStyle w:val="4"/>
              <w:spacing w:line="240" w:lineRule="auto"/>
              <w:jc w:val="left"/>
              <w:rPr>
                <w:rFonts w:hint="default" w:ascii="仿宋_GB2312" w:hAnsi="仿宋" w:eastAsia="仿宋_GB2312" w:cs="Times New Roman"/>
                <w:sz w:val="24"/>
                <w:szCs w:val="24"/>
                <w:lang w:val="en-US" w:eastAsia="zh-CN"/>
              </w:rPr>
            </w:pPr>
            <w:r>
              <w:rPr>
                <w:rFonts w:hint="default" w:ascii="仿宋_GB2312" w:hAnsi="仿宋" w:eastAsia="仿宋_GB2312" w:cs="Times New Roman"/>
                <w:sz w:val="24"/>
                <w:szCs w:val="24"/>
                <w:lang w:val="en-US" w:eastAsia="zh-CN"/>
              </w:rPr>
              <w:t>综合评分最高者原则上推荐为成交供应商，综合评分相同的以报价低者推荐为成交供应商。</w:t>
            </w:r>
          </w:p>
        </w:tc>
      </w:tr>
    </w:tbl>
    <w:p w14:paraId="42CF65AE">
      <w:pPr>
        <w:jc w:val="both"/>
        <w:rPr>
          <w:rFonts w:hint="eastAsia"/>
          <w:lang w:eastAsia="zh-CN"/>
        </w:rPr>
      </w:pPr>
    </w:p>
    <w:sectPr>
      <w:pgSz w:w="11906" w:h="16838"/>
      <w:pgMar w:top="1440"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c5YzI5MjlhMTZiMTYyOGQ1NDk0MWU3MzY0YWJkYjkifQ=="/>
  </w:docVars>
  <w:rsids>
    <w:rsidRoot w:val="3BBB6B5F"/>
    <w:rsid w:val="02723BA9"/>
    <w:rsid w:val="07711172"/>
    <w:rsid w:val="0B0B19F3"/>
    <w:rsid w:val="0FC10315"/>
    <w:rsid w:val="10DE709A"/>
    <w:rsid w:val="11E77E4C"/>
    <w:rsid w:val="1967632D"/>
    <w:rsid w:val="19BC74A7"/>
    <w:rsid w:val="1F5D7C7A"/>
    <w:rsid w:val="243E18EF"/>
    <w:rsid w:val="25E90563"/>
    <w:rsid w:val="279135A5"/>
    <w:rsid w:val="28480A66"/>
    <w:rsid w:val="2A44220C"/>
    <w:rsid w:val="2DDF5351"/>
    <w:rsid w:val="2F465162"/>
    <w:rsid w:val="2FFB59C1"/>
    <w:rsid w:val="335924A8"/>
    <w:rsid w:val="33A4357E"/>
    <w:rsid w:val="35FD7E84"/>
    <w:rsid w:val="394465B2"/>
    <w:rsid w:val="397A5CD6"/>
    <w:rsid w:val="3AF918F0"/>
    <w:rsid w:val="3BBB6B5F"/>
    <w:rsid w:val="3FF66A24"/>
    <w:rsid w:val="44086A86"/>
    <w:rsid w:val="491732EC"/>
    <w:rsid w:val="4B041AA5"/>
    <w:rsid w:val="4F2A2ECF"/>
    <w:rsid w:val="4FA51107"/>
    <w:rsid w:val="514C537E"/>
    <w:rsid w:val="557453CB"/>
    <w:rsid w:val="595251F6"/>
    <w:rsid w:val="5B3E051C"/>
    <w:rsid w:val="5C634038"/>
    <w:rsid w:val="5EE4730F"/>
    <w:rsid w:val="617704E5"/>
    <w:rsid w:val="676663B4"/>
    <w:rsid w:val="67AA238B"/>
    <w:rsid w:val="6AE93B17"/>
    <w:rsid w:val="70FD0C6C"/>
    <w:rsid w:val="72F737AD"/>
    <w:rsid w:val="73B10BDC"/>
    <w:rsid w:val="75C81543"/>
    <w:rsid w:val="76C44A61"/>
    <w:rsid w:val="77F86090"/>
    <w:rsid w:val="7A0F229C"/>
    <w:rsid w:val="7C1D3B03"/>
    <w:rsid w:val="7DCE39A9"/>
    <w:rsid w:val="7FA80A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Message Header"/>
    <w:basedOn w:val="1"/>
    <w:next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r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szCs w:val="20"/>
    </w:rPr>
  </w:style>
  <w:style w:type="paragraph" w:styleId="5">
    <w:name w:val="Normal (Web)"/>
    <w:basedOn w:val="1"/>
    <w:unhideWhenUsed/>
    <w:qFormat/>
    <w:uiPriority w:val="99"/>
    <w:pPr>
      <w:widowControl/>
      <w:spacing w:before="100" w:beforeAutospacing="1" w:after="100" w:afterAutospacing="1"/>
    </w:pPr>
    <w:rPr>
      <w:rFonts w:hAnsi="宋体"/>
      <w:sz w:val="15"/>
      <w:szCs w:val="15"/>
    </w:rPr>
  </w:style>
  <w:style w:type="paragraph" w:customStyle="1" w:styleId="8">
    <w:name w:val="Table Paragraph"/>
    <w:basedOn w:val="1"/>
    <w:qFormat/>
    <w:uiPriority w:val="1"/>
    <w:rPr>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617</Words>
  <Characters>651</Characters>
  <Lines>0</Lines>
  <Paragraphs>0</Paragraphs>
  <TotalTime>117</TotalTime>
  <ScaleCrop>false</ScaleCrop>
  <LinksUpToDate>false</LinksUpToDate>
  <CharactersWithSpaces>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2023-11-06T07:21:00Z</dcterms:created>
  <dc:creator>纪玉娇</dc:creator>
  <cp:lastModifiedBy>Railgun</cp:lastModifiedBy>
  <cp:lastPrinted>2025-06-04T07:46:00Z</cp:lastPrinted>
  <dcterms:modified xsi:type="dcterms:W3CDTF">2026-07-07T03:35:02Z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57C60AA1A5434479834C3CC10E937C95_13</vt:lpwstr>
  </property>
  <property fmtid="{D5CDD505-2E9C-101B-9397-08002B2CF9AE}" pid="4" name="KSOTemplateDocerSaveRecord">
    <vt:lpwstr>eyJoZGlkIjoiNGZjOTExNjBhNGU4ZjMyZDY1MTVhNmNmYThjMzNjYzIiLCJ1c2VySWQiOiI1MTExMTExMDkifQ==</vt:lpwstr>
  </property>
</Properties>
</file>