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F896B">
      <w:pPr>
        <w:jc w:val="center"/>
        <w:rPr>
          <w:rFonts w:hint="eastAsia" w:ascii="仿宋" w:hAnsi="仿宋" w:eastAsia="仿宋" w:cs="仿宋"/>
          <w:color w:val="000000"/>
          <w:sz w:val="30"/>
          <w:szCs w:val="30"/>
          <w:shd w:val="clear" w:color="auto" w:fill="FFFFFF"/>
          <w:lang w:eastAsia="zh-CN" w:bidi="ar"/>
        </w:rPr>
      </w:pPr>
      <w:r>
        <w:rPr>
          <w:rFonts w:hint="eastAsia" w:ascii="仿宋" w:hAnsi="仿宋" w:eastAsia="仿宋" w:cs="仿宋"/>
          <w:color w:val="000000"/>
          <w:sz w:val="30"/>
          <w:szCs w:val="30"/>
          <w:shd w:val="clear" w:color="auto" w:fill="FFFFFF"/>
          <w:lang w:bidi="ar"/>
        </w:rPr>
        <w:t>附件2 江门市新会区2026年排污登记质量审查服务项目</w:t>
      </w:r>
      <w:r>
        <w:rPr>
          <w:rFonts w:hint="eastAsia" w:ascii="仿宋" w:hAnsi="仿宋" w:eastAsia="仿宋" w:cs="仿宋"/>
          <w:color w:val="000000"/>
          <w:sz w:val="30"/>
          <w:szCs w:val="30"/>
          <w:shd w:val="clear" w:color="auto" w:fill="FFFFFF"/>
          <w:lang w:val="en-US" w:eastAsia="zh-CN" w:bidi="ar"/>
        </w:rPr>
        <w:t>评分表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69"/>
        <w:gridCol w:w="742"/>
        <w:gridCol w:w="5409"/>
        <w:gridCol w:w="851"/>
        <w:gridCol w:w="851"/>
      </w:tblGrid>
      <w:tr w14:paraId="4A9E44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393" w:type="pct"/>
            <w:tcBorders>
              <w:bottom w:val="single" w:color="auto" w:sz="6" w:space="0"/>
              <w:right w:val="single" w:color="auto" w:sz="6" w:space="0"/>
            </w:tcBorders>
            <w:vAlign w:val="center"/>
          </w:tcPr>
          <w:p w14:paraId="6A21CC32">
            <w:pPr>
              <w:autoSpaceDE w:val="0"/>
              <w:autoSpaceDN w:val="0"/>
              <w:adjustRightInd w:val="0"/>
              <w:snapToGrid w:val="0"/>
              <w:ind w:left="-74" w:leftChars="-37" w:right="-70" w:rightChars="-35"/>
              <w:jc w:val="center"/>
              <w:rPr>
                <w:rFonts w:eastAsia="仿宋_GB2312"/>
                <w:b/>
                <w:bCs/>
                <w:szCs w:val="21"/>
              </w:rPr>
            </w:pPr>
            <w:r>
              <w:rPr>
                <w:rFonts w:eastAsia="仿宋_GB2312"/>
                <w:b/>
                <w:bCs/>
                <w:szCs w:val="21"/>
              </w:rPr>
              <w:t>序号</w:t>
            </w:r>
          </w:p>
        </w:tc>
        <w:tc>
          <w:tcPr>
            <w:tcW w:w="435" w:type="pct"/>
            <w:tcBorders>
              <w:left w:val="single" w:color="auto" w:sz="6" w:space="0"/>
              <w:bottom w:val="single" w:color="auto" w:sz="6" w:space="0"/>
              <w:right w:val="single" w:color="auto" w:sz="6" w:space="0"/>
            </w:tcBorders>
            <w:vAlign w:val="center"/>
          </w:tcPr>
          <w:p w14:paraId="388BB4DA">
            <w:pPr>
              <w:autoSpaceDE w:val="0"/>
              <w:autoSpaceDN w:val="0"/>
              <w:adjustRightInd w:val="0"/>
              <w:snapToGrid w:val="0"/>
              <w:ind w:left="-74" w:leftChars="-37" w:right="-70" w:rightChars="-35"/>
              <w:jc w:val="center"/>
              <w:rPr>
                <w:rFonts w:eastAsia="仿宋_GB2312"/>
                <w:b/>
                <w:bCs/>
                <w:szCs w:val="21"/>
              </w:rPr>
            </w:pPr>
            <w:r>
              <w:rPr>
                <w:rFonts w:eastAsia="仿宋_GB2312"/>
                <w:b/>
                <w:bCs/>
                <w:szCs w:val="21"/>
              </w:rPr>
              <w:t>评审</w:t>
            </w:r>
          </w:p>
          <w:p w14:paraId="195A3765">
            <w:pPr>
              <w:autoSpaceDE w:val="0"/>
              <w:autoSpaceDN w:val="0"/>
              <w:adjustRightInd w:val="0"/>
              <w:snapToGrid w:val="0"/>
              <w:ind w:left="-74" w:leftChars="-37" w:right="-70" w:rightChars="-35"/>
              <w:jc w:val="center"/>
              <w:rPr>
                <w:rFonts w:eastAsia="仿宋_GB2312"/>
                <w:b/>
                <w:bCs/>
                <w:szCs w:val="21"/>
              </w:rPr>
            </w:pPr>
            <w:r>
              <w:rPr>
                <w:rFonts w:eastAsia="仿宋_GB2312"/>
                <w:b/>
                <w:bCs/>
                <w:szCs w:val="21"/>
              </w:rPr>
              <w:t>因素</w:t>
            </w:r>
          </w:p>
        </w:tc>
        <w:tc>
          <w:tcPr>
            <w:tcW w:w="3172" w:type="pct"/>
            <w:tcBorders>
              <w:left w:val="single" w:color="auto" w:sz="6" w:space="0"/>
              <w:bottom w:val="single" w:color="auto" w:sz="6" w:space="0"/>
              <w:right w:val="single" w:color="auto" w:sz="6" w:space="0"/>
            </w:tcBorders>
            <w:vAlign w:val="center"/>
          </w:tcPr>
          <w:p w14:paraId="745D9DA4">
            <w:pPr>
              <w:autoSpaceDE w:val="0"/>
              <w:autoSpaceDN w:val="0"/>
              <w:adjustRightInd w:val="0"/>
              <w:snapToGrid w:val="0"/>
              <w:ind w:left="-74" w:leftChars="-37" w:right="-70" w:rightChars="-35"/>
              <w:jc w:val="center"/>
              <w:rPr>
                <w:rFonts w:eastAsia="仿宋_GB2312"/>
                <w:b/>
                <w:bCs/>
                <w:szCs w:val="21"/>
              </w:rPr>
            </w:pPr>
            <w:r>
              <w:rPr>
                <w:rFonts w:eastAsia="仿宋_GB2312"/>
                <w:b/>
                <w:bCs/>
                <w:szCs w:val="21"/>
              </w:rPr>
              <w:t>评分细则</w:t>
            </w:r>
          </w:p>
        </w:tc>
        <w:tc>
          <w:tcPr>
            <w:tcW w:w="499" w:type="pct"/>
            <w:tcBorders>
              <w:left w:val="single" w:color="auto" w:sz="6" w:space="0"/>
              <w:bottom w:val="single" w:color="auto" w:sz="6" w:space="0"/>
              <w:right w:val="single" w:color="auto" w:sz="6" w:space="0"/>
            </w:tcBorders>
            <w:vAlign w:val="center"/>
          </w:tcPr>
          <w:p w14:paraId="64481F33">
            <w:pPr>
              <w:autoSpaceDE w:val="0"/>
              <w:autoSpaceDN w:val="0"/>
              <w:adjustRightInd w:val="0"/>
              <w:snapToGrid w:val="0"/>
              <w:ind w:left="-74" w:leftChars="-37" w:right="-70" w:rightChars="-35"/>
              <w:jc w:val="center"/>
              <w:rPr>
                <w:rFonts w:eastAsia="仿宋_GB2312"/>
                <w:b/>
                <w:bCs/>
                <w:szCs w:val="21"/>
              </w:rPr>
            </w:pPr>
            <w:r>
              <w:rPr>
                <w:rFonts w:eastAsia="仿宋_GB2312"/>
                <w:b/>
                <w:bCs/>
                <w:szCs w:val="21"/>
              </w:rPr>
              <w:t>分值（分）</w:t>
            </w:r>
          </w:p>
        </w:tc>
        <w:tc>
          <w:tcPr>
            <w:tcW w:w="499" w:type="pct"/>
            <w:tcBorders>
              <w:left w:val="single" w:color="auto" w:sz="6" w:space="0"/>
              <w:bottom w:val="single" w:color="auto" w:sz="6" w:space="0"/>
              <w:right w:val="single" w:color="auto" w:sz="6" w:space="0"/>
            </w:tcBorders>
          </w:tcPr>
          <w:p w14:paraId="7320D270">
            <w:pPr>
              <w:autoSpaceDE w:val="0"/>
              <w:autoSpaceDN w:val="0"/>
              <w:adjustRightInd w:val="0"/>
              <w:snapToGrid w:val="0"/>
              <w:ind w:left="-74" w:leftChars="-37" w:right="-70" w:rightChars="-35"/>
              <w:jc w:val="center"/>
              <w:rPr>
                <w:rFonts w:eastAsia="仿宋_GB2312"/>
                <w:b/>
                <w:bCs/>
                <w:szCs w:val="21"/>
              </w:rPr>
            </w:pPr>
            <w:r>
              <w:rPr>
                <w:rFonts w:eastAsia="仿宋_GB2312"/>
                <w:b/>
                <w:bCs/>
                <w:szCs w:val="21"/>
              </w:rPr>
              <w:t>得分</w:t>
            </w:r>
          </w:p>
        </w:tc>
      </w:tr>
      <w:tr w14:paraId="441E868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93" w:type="pct"/>
            <w:tcBorders>
              <w:top w:val="single" w:color="auto" w:sz="6" w:space="0"/>
              <w:bottom w:val="single" w:color="auto" w:sz="6" w:space="0"/>
              <w:right w:val="single" w:color="auto" w:sz="6" w:space="0"/>
            </w:tcBorders>
            <w:vAlign w:val="center"/>
          </w:tcPr>
          <w:p w14:paraId="65863B55">
            <w:pPr>
              <w:numPr>
                <w:ilvl w:val="0"/>
                <w:numId w:val="1"/>
              </w:numPr>
              <w:autoSpaceDE w:val="0"/>
              <w:autoSpaceDN w:val="0"/>
              <w:adjustRightInd w:val="0"/>
              <w:snapToGrid w:val="0"/>
              <w:jc w:val="center"/>
              <w:rPr>
                <w:rFonts w:eastAsia="仿宋_GB2312"/>
                <w:szCs w:val="21"/>
              </w:rPr>
            </w:pPr>
          </w:p>
        </w:tc>
        <w:tc>
          <w:tcPr>
            <w:tcW w:w="435" w:type="pct"/>
            <w:tcBorders>
              <w:top w:val="single" w:color="auto" w:sz="6" w:space="0"/>
              <w:left w:val="single" w:color="auto" w:sz="6" w:space="0"/>
              <w:bottom w:val="single" w:color="auto" w:sz="6" w:space="0"/>
              <w:right w:val="single" w:color="auto" w:sz="6" w:space="0"/>
            </w:tcBorders>
            <w:vAlign w:val="center"/>
          </w:tcPr>
          <w:p w14:paraId="2F7EA4AF">
            <w:pPr>
              <w:adjustRightInd w:val="0"/>
              <w:snapToGrid w:val="0"/>
              <w:jc w:val="center"/>
              <w:rPr>
                <w:rFonts w:eastAsia="仿宋_GB2312"/>
                <w:szCs w:val="21"/>
              </w:rPr>
            </w:pPr>
            <w:r>
              <w:rPr>
                <w:rFonts w:eastAsia="仿宋_GB2312"/>
                <w:szCs w:val="21"/>
                <w:lang w:val="en"/>
              </w:rPr>
              <w:t>实施方案</w:t>
            </w:r>
          </w:p>
        </w:tc>
        <w:tc>
          <w:tcPr>
            <w:tcW w:w="3172" w:type="pct"/>
            <w:tcBorders>
              <w:top w:val="single" w:color="auto" w:sz="6" w:space="0"/>
              <w:left w:val="single" w:color="auto" w:sz="6" w:space="0"/>
              <w:bottom w:val="single" w:color="auto" w:sz="6" w:space="0"/>
              <w:right w:val="single" w:color="auto" w:sz="6" w:space="0"/>
            </w:tcBorders>
            <w:vAlign w:val="center"/>
          </w:tcPr>
          <w:p w14:paraId="1603D1B7">
            <w:pPr>
              <w:snapToGrid w:val="0"/>
              <w:jc w:val="left"/>
              <w:rPr>
                <w:rFonts w:eastAsia="仿宋_GB2312"/>
                <w:szCs w:val="21"/>
              </w:rPr>
            </w:pPr>
            <w:r>
              <w:rPr>
                <w:rFonts w:eastAsia="仿宋_GB2312"/>
                <w:szCs w:val="21"/>
              </w:rPr>
              <w:t>（1）项目实施方案完整详细、进度安排合理、可行性强，有针对性</w:t>
            </w:r>
            <w:r>
              <w:rPr>
                <w:rFonts w:hint="eastAsia" w:eastAsia="仿宋_GB2312"/>
                <w:szCs w:val="21"/>
                <w:lang w:val="en-US" w:eastAsia="zh-CN"/>
              </w:rPr>
              <w:t>的</w:t>
            </w:r>
            <w:r>
              <w:rPr>
                <w:rFonts w:eastAsia="仿宋_GB2312"/>
                <w:szCs w:val="21"/>
              </w:rPr>
              <w:t>，响应情况满足采购文件要求的，</w:t>
            </w:r>
            <w:r>
              <w:rPr>
                <w:rFonts w:hint="eastAsia" w:eastAsia="仿宋_GB2312"/>
                <w:szCs w:val="21"/>
              </w:rPr>
              <w:t>自主完成排污登记资料收集、现场调查的</w:t>
            </w:r>
            <w:r>
              <w:rPr>
                <w:rFonts w:eastAsia="仿宋_GB2312"/>
                <w:szCs w:val="21"/>
              </w:rPr>
              <w:t>，得</w:t>
            </w:r>
            <w:r>
              <w:rPr>
                <w:rFonts w:hint="eastAsia" w:eastAsia="仿宋_GB2312"/>
                <w:szCs w:val="21"/>
              </w:rPr>
              <w:t>30</w:t>
            </w:r>
            <w:r>
              <w:rPr>
                <w:rFonts w:eastAsia="仿宋_GB2312"/>
                <w:szCs w:val="21"/>
              </w:rPr>
              <w:t>分；</w:t>
            </w:r>
          </w:p>
          <w:p w14:paraId="47C3EE73">
            <w:pPr>
              <w:snapToGrid w:val="0"/>
              <w:jc w:val="left"/>
              <w:rPr>
                <w:rFonts w:eastAsia="仿宋_GB2312"/>
                <w:szCs w:val="21"/>
              </w:rPr>
            </w:pPr>
            <w:r>
              <w:rPr>
                <w:rFonts w:eastAsia="仿宋_GB2312"/>
                <w:szCs w:val="21"/>
              </w:rPr>
              <w:t>（2）项目实施方案详细、合理、具有一定的可行性，响应情况</w:t>
            </w:r>
            <w:r>
              <w:rPr>
                <w:rFonts w:hint="eastAsia" w:eastAsia="仿宋_GB2312"/>
                <w:szCs w:val="21"/>
                <w:lang w:val="en-US" w:eastAsia="zh-CN"/>
              </w:rPr>
              <w:t>基本</w:t>
            </w:r>
            <w:r>
              <w:rPr>
                <w:rFonts w:eastAsia="仿宋_GB2312"/>
                <w:szCs w:val="21"/>
              </w:rPr>
              <w:t>能满足采购文件要求的，</w:t>
            </w:r>
            <w:r>
              <w:rPr>
                <w:rFonts w:hint="eastAsia" w:eastAsia="仿宋_GB2312"/>
                <w:szCs w:val="21"/>
                <w:lang w:val="en-US" w:eastAsia="zh-CN"/>
              </w:rPr>
              <w:t>申请帮扶措</w:t>
            </w:r>
            <w:bookmarkStart w:id="0" w:name="_GoBack"/>
            <w:bookmarkEnd w:id="0"/>
            <w:r>
              <w:rPr>
                <w:rFonts w:hint="eastAsia" w:eastAsia="仿宋_GB2312"/>
                <w:szCs w:val="21"/>
                <w:lang w:val="en-US" w:eastAsia="zh-CN"/>
              </w:rPr>
              <w:t>施后能</w:t>
            </w:r>
            <w:r>
              <w:rPr>
                <w:rFonts w:hint="eastAsia" w:eastAsia="仿宋_GB2312"/>
                <w:szCs w:val="21"/>
              </w:rPr>
              <w:t>完成排污登记资料收集、现场调查的</w:t>
            </w:r>
            <w:r>
              <w:rPr>
                <w:rFonts w:hint="eastAsia" w:eastAsia="仿宋_GB2312"/>
                <w:szCs w:val="21"/>
                <w:lang w:eastAsia="zh-CN"/>
              </w:rPr>
              <w:t>，</w:t>
            </w:r>
            <w:r>
              <w:rPr>
                <w:rFonts w:eastAsia="仿宋_GB2312"/>
                <w:szCs w:val="21"/>
              </w:rPr>
              <w:t>得</w:t>
            </w:r>
            <w:r>
              <w:rPr>
                <w:rFonts w:hint="eastAsia" w:eastAsia="仿宋_GB2312"/>
                <w:szCs w:val="21"/>
              </w:rPr>
              <w:t>20</w:t>
            </w:r>
            <w:r>
              <w:rPr>
                <w:rFonts w:eastAsia="仿宋_GB2312"/>
                <w:szCs w:val="21"/>
              </w:rPr>
              <w:t>分；</w:t>
            </w:r>
          </w:p>
          <w:p w14:paraId="7B05F64F">
            <w:pPr>
              <w:snapToGrid w:val="0"/>
              <w:jc w:val="left"/>
              <w:rPr>
                <w:rFonts w:eastAsia="仿宋_GB2312"/>
                <w:szCs w:val="21"/>
              </w:rPr>
            </w:pPr>
            <w:r>
              <w:rPr>
                <w:rFonts w:eastAsia="仿宋_GB2312"/>
                <w:szCs w:val="21"/>
              </w:rPr>
              <w:t>（3）项目实施方案完整、可行性不足，响应情况部分能满足采购文件要求，</w:t>
            </w:r>
            <w:r>
              <w:rPr>
                <w:rFonts w:hint="eastAsia" w:eastAsia="仿宋_GB2312"/>
                <w:szCs w:val="21"/>
                <w:lang w:val="en-US" w:eastAsia="zh-CN"/>
              </w:rPr>
              <w:t>申请帮扶措施后</w:t>
            </w:r>
            <w:r>
              <w:rPr>
                <w:rFonts w:hint="eastAsia" w:eastAsia="仿宋_GB2312"/>
                <w:szCs w:val="21"/>
              </w:rPr>
              <w:t>不能完成排污登记资料收集、现场调查的</w:t>
            </w:r>
            <w:r>
              <w:rPr>
                <w:rFonts w:eastAsia="仿宋_GB2312"/>
                <w:szCs w:val="21"/>
              </w:rPr>
              <w:t>，得1</w:t>
            </w:r>
            <w:r>
              <w:rPr>
                <w:rFonts w:hint="eastAsia" w:eastAsia="仿宋_GB2312"/>
                <w:szCs w:val="21"/>
              </w:rPr>
              <w:t>0</w:t>
            </w:r>
            <w:r>
              <w:rPr>
                <w:rFonts w:eastAsia="仿宋_GB2312"/>
                <w:szCs w:val="21"/>
              </w:rPr>
              <w:t>分；</w:t>
            </w:r>
          </w:p>
          <w:p w14:paraId="4A8028F5">
            <w:pPr>
              <w:adjustRightInd w:val="0"/>
              <w:snapToGrid w:val="0"/>
              <w:jc w:val="left"/>
              <w:rPr>
                <w:rFonts w:eastAsia="仿宋_GB2312"/>
                <w:szCs w:val="21"/>
                <w:lang w:val="en"/>
              </w:rPr>
            </w:pPr>
            <w:r>
              <w:rPr>
                <w:rFonts w:eastAsia="仿宋_GB2312"/>
                <w:szCs w:val="21"/>
              </w:rPr>
              <w:t>（</w:t>
            </w:r>
            <w:r>
              <w:rPr>
                <w:rFonts w:hint="eastAsia" w:eastAsia="仿宋_GB2312"/>
                <w:szCs w:val="21"/>
              </w:rPr>
              <w:t>4</w:t>
            </w:r>
            <w:r>
              <w:rPr>
                <w:rFonts w:eastAsia="仿宋_GB2312"/>
                <w:szCs w:val="21"/>
              </w:rPr>
              <w:t>）未提交响应内容或其他情况，不得分。</w:t>
            </w:r>
          </w:p>
        </w:tc>
        <w:tc>
          <w:tcPr>
            <w:tcW w:w="499" w:type="pct"/>
            <w:tcBorders>
              <w:top w:val="single" w:color="auto" w:sz="6" w:space="0"/>
              <w:left w:val="single" w:color="auto" w:sz="6" w:space="0"/>
              <w:bottom w:val="single" w:color="auto" w:sz="6" w:space="0"/>
              <w:right w:val="single" w:color="auto" w:sz="6" w:space="0"/>
            </w:tcBorders>
            <w:vAlign w:val="center"/>
          </w:tcPr>
          <w:p w14:paraId="1A7F71BB">
            <w:pPr>
              <w:adjustRightInd w:val="0"/>
              <w:snapToGrid w:val="0"/>
              <w:jc w:val="center"/>
              <w:rPr>
                <w:rFonts w:eastAsia="仿宋_GB2312"/>
                <w:szCs w:val="21"/>
              </w:rPr>
            </w:pPr>
            <w:r>
              <w:rPr>
                <w:rFonts w:hint="eastAsia" w:eastAsia="仿宋_GB2312"/>
                <w:szCs w:val="21"/>
              </w:rPr>
              <w:t>30</w:t>
            </w:r>
          </w:p>
        </w:tc>
        <w:tc>
          <w:tcPr>
            <w:tcW w:w="499" w:type="pct"/>
            <w:tcBorders>
              <w:top w:val="single" w:color="auto" w:sz="6" w:space="0"/>
              <w:left w:val="single" w:color="auto" w:sz="6" w:space="0"/>
              <w:bottom w:val="single" w:color="auto" w:sz="6" w:space="0"/>
              <w:right w:val="single" w:color="auto" w:sz="6" w:space="0"/>
            </w:tcBorders>
          </w:tcPr>
          <w:p w14:paraId="114DFDB7">
            <w:pPr>
              <w:adjustRightInd w:val="0"/>
              <w:snapToGrid w:val="0"/>
              <w:jc w:val="center"/>
              <w:rPr>
                <w:rFonts w:eastAsia="仿宋_GB2312"/>
                <w:szCs w:val="21"/>
              </w:rPr>
            </w:pPr>
          </w:p>
        </w:tc>
      </w:tr>
      <w:tr w14:paraId="152115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93" w:type="pct"/>
            <w:tcBorders>
              <w:top w:val="single" w:color="auto" w:sz="6" w:space="0"/>
              <w:bottom w:val="single" w:color="auto" w:sz="6" w:space="0"/>
              <w:right w:val="single" w:color="auto" w:sz="6" w:space="0"/>
            </w:tcBorders>
            <w:vAlign w:val="center"/>
          </w:tcPr>
          <w:p w14:paraId="7C14A231">
            <w:pPr>
              <w:numPr>
                <w:ilvl w:val="0"/>
                <w:numId w:val="1"/>
              </w:numPr>
              <w:autoSpaceDE w:val="0"/>
              <w:autoSpaceDN w:val="0"/>
              <w:adjustRightInd w:val="0"/>
              <w:snapToGrid w:val="0"/>
              <w:jc w:val="center"/>
              <w:rPr>
                <w:rFonts w:eastAsia="仿宋_GB2312"/>
                <w:szCs w:val="21"/>
              </w:rPr>
            </w:pPr>
          </w:p>
        </w:tc>
        <w:tc>
          <w:tcPr>
            <w:tcW w:w="435" w:type="pct"/>
            <w:tcBorders>
              <w:top w:val="single" w:color="auto" w:sz="6" w:space="0"/>
              <w:left w:val="single" w:color="auto" w:sz="6" w:space="0"/>
              <w:bottom w:val="single" w:color="auto" w:sz="6" w:space="0"/>
              <w:right w:val="single" w:color="auto" w:sz="6" w:space="0"/>
            </w:tcBorders>
            <w:vAlign w:val="center"/>
          </w:tcPr>
          <w:p w14:paraId="78F5ED4B">
            <w:pPr>
              <w:adjustRightInd w:val="0"/>
              <w:snapToGrid w:val="0"/>
              <w:jc w:val="center"/>
              <w:rPr>
                <w:rFonts w:eastAsia="仿宋_GB2312"/>
                <w:szCs w:val="21"/>
              </w:rPr>
            </w:pPr>
            <w:r>
              <w:rPr>
                <w:rFonts w:eastAsia="仿宋_GB2312"/>
                <w:szCs w:val="21"/>
                <w:lang w:val="en"/>
              </w:rPr>
              <w:t>质量</w:t>
            </w:r>
            <w:r>
              <w:rPr>
                <w:rFonts w:eastAsia="仿宋_GB2312"/>
                <w:szCs w:val="21"/>
              </w:rPr>
              <w:t>保障</w:t>
            </w:r>
            <w:r>
              <w:rPr>
                <w:rFonts w:eastAsia="仿宋_GB2312"/>
                <w:szCs w:val="21"/>
                <w:lang w:val="en"/>
              </w:rPr>
              <w:t>措施</w:t>
            </w:r>
          </w:p>
        </w:tc>
        <w:tc>
          <w:tcPr>
            <w:tcW w:w="3172" w:type="pct"/>
            <w:tcBorders>
              <w:top w:val="single" w:color="auto" w:sz="6" w:space="0"/>
              <w:left w:val="single" w:color="auto" w:sz="6" w:space="0"/>
              <w:bottom w:val="single" w:color="auto" w:sz="6" w:space="0"/>
              <w:right w:val="single" w:color="auto" w:sz="6" w:space="0"/>
            </w:tcBorders>
            <w:vAlign w:val="center"/>
          </w:tcPr>
          <w:p w14:paraId="04395542">
            <w:pPr>
              <w:snapToGrid w:val="0"/>
              <w:jc w:val="left"/>
              <w:rPr>
                <w:rFonts w:eastAsia="仿宋_GB2312"/>
                <w:szCs w:val="21"/>
              </w:rPr>
            </w:pPr>
            <w:r>
              <w:rPr>
                <w:rFonts w:eastAsia="仿宋_GB2312"/>
                <w:szCs w:val="21"/>
              </w:rPr>
              <w:t>根据供应商提供的质量保障措施进行评审：</w:t>
            </w:r>
          </w:p>
          <w:p w14:paraId="6DBAF4C8">
            <w:pPr>
              <w:snapToGrid w:val="0"/>
              <w:jc w:val="left"/>
              <w:rPr>
                <w:rFonts w:eastAsia="仿宋_GB2312"/>
                <w:szCs w:val="21"/>
              </w:rPr>
            </w:pPr>
            <w:r>
              <w:rPr>
                <w:rFonts w:eastAsia="仿宋_GB2312"/>
                <w:szCs w:val="21"/>
              </w:rPr>
              <w:t>（1）质量保障措施详细、合理，具有针对性，可操作性强，得</w:t>
            </w:r>
            <w:r>
              <w:rPr>
                <w:rFonts w:hint="eastAsia" w:eastAsia="仿宋_GB2312"/>
                <w:szCs w:val="21"/>
              </w:rPr>
              <w:t>30</w:t>
            </w:r>
            <w:r>
              <w:rPr>
                <w:rFonts w:eastAsia="仿宋_GB2312"/>
                <w:szCs w:val="21"/>
              </w:rPr>
              <w:t>分；</w:t>
            </w:r>
          </w:p>
          <w:p w14:paraId="7187193F">
            <w:pPr>
              <w:snapToGrid w:val="0"/>
              <w:jc w:val="left"/>
              <w:rPr>
                <w:rFonts w:eastAsia="仿宋_GB2312"/>
                <w:szCs w:val="21"/>
              </w:rPr>
            </w:pPr>
            <w:r>
              <w:rPr>
                <w:rFonts w:eastAsia="仿宋_GB2312"/>
                <w:szCs w:val="21"/>
              </w:rPr>
              <w:t>（2）质量保障措施基本完善，可操作性有所欠缺，得</w:t>
            </w:r>
            <w:r>
              <w:rPr>
                <w:rFonts w:hint="eastAsia" w:eastAsia="仿宋_GB2312"/>
                <w:szCs w:val="21"/>
              </w:rPr>
              <w:t>20</w:t>
            </w:r>
            <w:r>
              <w:rPr>
                <w:rFonts w:eastAsia="仿宋_GB2312"/>
                <w:szCs w:val="21"/>
              </w:rPr>
              <w:t>分；</w:t>
            </w:r>
          </w:p>
          <w:p w14:paraId="05A83A22">
            <w:pPr>
              <w:pStyle w:val="2"/>
              <w:snapToGrid w:val="0"/>
              <w:ind w:firstLine="0"/>
              <w:textAlignment w:val="auto"/>
              <w:rPr>
                <w:rFonts w:ascii="Times New Roman" w:eastAsia="仿宋_GB2312"/>
                <w:sz w:val="20"/>
                <w:szCs w:val="21"/>
              </w:rPr>
            </w:pPr>
            <w:r>
              <w:rPr>
                <w:rFonts w:ascii="Times New Roman" w:eastAsia="仿宋_GB2312"/>
                <w:sz w:val="20"/>
                <w:szCs w:val="21"/>
              </w:rPr>
              <w:t>（3）质量保障措施基本完善，但缺乏可操作性，得</w:t>
            </w:r>
            <w:r>
              <w:rPr>
                <w:rFonts w:hint="eastAsia" w:ascii="Times New Roman" w:eastAsia="仿宋_GB2312"/>
                <w:sz w:val="20"/>
                <w:szCs w:val="21"/>
              </w:rPr>
              <w:t>10</w:t>
            </w:r>
            <w:r>
              <w:rPr>
                <w:rFonts w:ascii="Times New Roman" w:eastAsia="仿宋_GB2312"/>
                <w:sz w:val="20"/>
                <w:szCs w:val="21"/>
              </w:rPr>
              <w:t>分；</w:t>
            </w:r>
          </w:p>
          <w:p w14:paraId="77B4EE95">
            <w:pPr>
              <w:adjustRightInd w:val="0"/>
              <w:snapToGrid w:val="0"/>
              <w:jc w:val="left"/>
              <w:rPr>
                <w:rFonts w:eastAsia="仿宋_GB2312"/>
                <w:szCs w:val="21"/>
              </w:rPr>
            </w:pPr>
            <w:r>
              <w:rPr>
                <w:rFonts w:eastAsia="仿宋_GB2312"/>
                <w:szCs w:val="21"/>
              </w:rPr>
              <w:t>（4）质量保障措施可行性差或无提供，均不得分。</w:t>
            </w:r>
          </w:p>
        </w:tc>
        <w:tc>
          <w:tcPr>
            <w:tcW w:w="499" w:type="pct"/>
            <w:tcBorders>
              <w:top w:val="single" w:color="auto" w:sz="6" w:space="0"/>
              <w:left w:val="single" w:color="auto" w:sz="6" w:space="0"/>
              <w:bottom w:val="single" w:color="auto" w:sz="6" w:space="0"/>
              <w:right w:val="single" w:color="auto" w:sz="6" w:space="0"/>
            </w:tcBorders>
            <w:vAlign w:val="center"/>
          </w:tcPr>
          <w:p w14:paraId="3DA52430">
            <w:pPr>
              <w:adjustRightInd w:val="0"/>
              <w:snapToGrid w:val="0"/>
              <w:jc w:val="center"/>
              <w:rPr>
                <w:rFonts w:eastAsia="仿宋_GB2312"/>
                <w:szCs w:val="21"/>
              </w:rPr>
            </w:pPr>
            <w:r>
              <w:rPr>
                <w:rFonts w:hint="eastAsia" w:eastAsia="仿宋_GB2312"/>
                <w:szCs w:val="21"/>
              </w:rPr>
              <w:t>30</w:t>
            </w:r>
          </w:p>
        </w:tc>
        <w:tc>
          <w:tcPr>
            <w:tcW w:w="499" w:type="pct"/>
            <w:tcBorders>
              <w:top w:val="single" w:color="auto" w:sz="6" w:space="0"/>
              <w:left w:val="single" w:color="auto" w:sz="6" w:space="0"/>
              <w:bottom w:val="single" w:color="auto" w:sz="6" w:space="0"/>
              <w:right w:val="single" w:color="auto" w:sz="6" w:space="0"/>
            </w:tcBorders>
          </w:tcPr>
          <w:p w14:paraId="07CE4D71">
            <w:pPr>
              <w:adjustRightInd w:val="0"/>
              <w:snapToGrid w:val="0"/>
              <w:jc w:val="center"/>
              <w:rPr>
                <w:rFonts w:eastAsia="仿宋_GB2312"/>
                <w:szCs w:val="21"/>
              </w:rPr>
            </w:pPr>
          </w:p>
        </w:tc>
      </w:tr>
      <w:tr w14:paraId="6FDC7F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93" w:type="pct"/>
            <w:tcBorders>
              <w:top w:val="single" w:color="auto" w:sz="6" w:space="0"/>
              <w:bottom w:val="single" w:color="auto" w:sz="6" w:space="0"/>
              <w:right w:val="single" w:color="auto" w:sz="6" w:space="0"/>
            </w:tcBorders>
            <w:vAlign w:val="center"/>
          </w:tcPr>
          <w:p w14:paraId="367237AF">
            <w:pPr>
              <w:numPr>
                <w:ilvl w:val="0"/>
                <w:numId w:val="1"/>
              </w:numPr>
              <w:autoSpaceDE w:val="0"/>
              <w:autoSpaceDN w:val="0"/>
              <w:adjustRightInd w:val="0"/>
              <w:snapToGrid w:val="0"/>
              <w:jc w:val="center"/>
              <w:rPr>
                <w:rFonts w:eastAsia="仿宋_GB2312"/>
                <w:bCs/>
                <w:szCs w:val="21"/>
              </w:rPr>
            </w:pPr>
          </w:p>
        </w:tc>
        <w:tc>
          <w:tcPr>
            <w:tcW w:w="435" w:type="pct"/>
            <w:tcBorders>
              <w:top w:val="single" w:color="auto" w:sz="6" w:space="0"/>
              <w:left w:val="single" w:color="auto" w:sz="6" w:space="0"/>
              <w:bottom w:val="single" w:color="auto" w:sz="6" w:space="0"/>
              <w:right w:val="single" w:color="auto" w:sz="6" w:space="0"/>
            </w:tcBorders>
            <w:vAlign w:val="center"/>
          </w:tcPr>
          <w:p w14:paraId="2616D4A5">
            <w:pPr>
              <w:adjustRightInd w:val="0"/>
              <w:snapToGrid w:val="0"/>
              <w:jc w:val="center"/>
              <w:rPr>
                <w:rFonts w:eastAsia="仿宋_GB2312"/>
                <w:szCs w:val="21"/>
              </w:rPr>
            </w:pPr>
            <w:r>
              <w:rPr>
                <w:rFonts w:eastAsia="仿宋_GB2312"/>
                <w:szCs w:val="21"/>
              </w:rPr>
              <w:t>项目业绩</w:t>
            </w:r>
          </w:p>
        </w:tc>
        <w:tc>
          <w:tcPr>
            <w:tcW w:w="3172" w:type="pct"/>
            <w:tcBorders>
              <w:top w:val="single" w:color="auto" w:sz="6" w:space="0"/>
              <w:left w:val="single" w:color="auto" w:sz="6" w:space="0"/>
              <w:bottom w:val="single" w:color="auto" w:sz="6" w:space="0"/>
              <w:right w:val="single" w:color="auto" w:sz="6" w:space="0"/>
            </w:tcBorders>
            <w:vAlign w:val="center"/>
          </w:tcPr>
          <w:p w14:paraId="210F6DA7">
            <w:pPr>
              <w:adjustRightInd w:val="0"/>
              <w:snapToGrid w:val="0"/>
              <w:rPr>
                <w:rFonts w:eastAsia="仿宋_GB2312"/>
                <w:szCs w:val="21"/>
              </w:rPr>
            </w:pPr>
            <w:r>
              <w:rPr>
                <w:rFonts w:eastAsia="仿宋_GB2312"/>
                <w:szCs w:val="21"/>
              </w:rPr>
              <w:t>供应商承担过</w:t>
            </w:r>
            <w:r>
              <w:rPr>
                <w:rFonts w:hint="eastAsia" w:eastAsia="仿宋_GB2312"/>
                <w:szCs w:val="21"/>
              </w:rPr>
              <w:t>排污许可有关</w:t>
            </w:r>
            <w:r>
              <w:rPr>
                <w:rFonts w:eastAsia="仿宋_GB2312"/>
                <w:szCs w:val="21"/>
              </w:rPr>
              <w:t>业绩情况，每提供一个得</w:t>
            </w:r>
            <w:r>
              <w:rPr>
                <w:rFonts w:hint="eastAsia" w:eastAsia="仿宋_GB2312"/>
                <w:szCs w:val="21"/>
              </w:rPr>
              <w:t>2</w:t>
            </w:r>
            <w:r>
              <w:rPr>
                <w:rFonts w:eastAsia="仿宋_GB2312"/>
                <w:szCs w:val="21"/>
              </w:rPr>
              <w:t>分，本项最高得</w:t>
            </w:r>
            <w:r>
              <w:rPr>
                <w:rFonts w:hint="eastAsia" w:eastAsia="仿宋_GB2312"/>
                <w:szCs w:val="21"/>
              </w:rPr>
              <w:t>10</w:t>
            </w:r>
            <w:r>
              <w:rPr>
                <w:rFonts w:eastAsia="仿宋_GB2312"/>
                <w:szCs w:val="21"/>
              </w:rPr>
              <w:t>分；</w:t>
            </w:r>
          </w:p>
          <w:p w14:paraId="4ACD9211">
            <w:pPr>
              <w:adjustRightInd w:val="0"/>
              <w:snapToGrid w:val="0"/>
              <w:rPr>
                <w:rFonts w:eastAsia="仿宋_GB2312"/>
                <w:szCs w:val="21"/>
              </w:rPr>
            </w:pPr>
            <w:r>
              <w:rPr>
                <w:rFonts w:eastAsia="仿宋_GB2312"/>
                <w:szCs w:val="21"/>
              </w:rPr>
              <w:t>注:</w:t>
            </w:r>
            <w:r>
              <w:rPr>
                <w:rFonts w:hint="eastAsia" w:ascii="宋体" w:hAnsi="宋体" w:cs="宋体"/>
                <w:szCs w:val="21"/>
              </w:rPr>
              <w:t>①</w:t>
            </w:r>
            <w:r>
              <w:rPr>
                <w:rFonts w:eastAsia="仿宋_GB2312"/>
                <w:szCs w:val="21"/>
              </w:rPr>
              <w:t>须提供项目合同复印件并加盖供应商公章</w:t>
            </w:r>
            <w:r>
              <w:rPr>
                <w:rFonts w:hint="eastAsia" w:eastAsia="仿宋_GB2312"/>
                <w:szCs w:val="21"/>
                <w:lang w:eastAsia="zh-CN"/>
              </w:rPr>
              <w:t>，</w:t>
            </w:r>
            <w:r>
              <w:rPr>
                <w:rFonts w:eastAsia="仿宋_GB2312"/>
                <w:szCs w:val="21"/>
              </w:rPr>
              <w:t>提供不全或未提供不得分。</w:t>
            </w:r>
          </w:p>
          <w:p w14:paraId="5CEE86F8">
            <w:pPr>
              <w:adjustRightInd w:val="0"/>
              <w:snapToGrid w:val="0"/>
              <w:rPr>
                <w:rFonts w:eastAsia="仿宋_GB2312"/>
                <w:szCs w:val="21"/>
              </w:rPr>
            </w:pPr>
            <w:r>
              <w:rPr>
                <w:rFonts w:hint="eastAsia" w:ascii="宋体" w:hAnsi="宋体" w:cs="宋体"/>
                <w:szCs w:val="21"/>
              </w:rPr>
              <w:t>②</w:t>
            </w:r>
            <w:r>
              <w:rPr>
                <w:rFonts w:eastAsia="仿宋_GB2312"/>
                <w:szCs w:val="21"/>
              </w:rPr>
              <w:t>同一份合同包括两种</w:t>
            </w:r>
            <w:r>
              <w:rPr>
                <w:rFonts w:hint="eastAsia" w:eastAsia="仿宋_GB2312"/>
                <w:szCs w:val="21"/>
                <w:lang w:val="en-US" w:eastAsia="zh-CN"/>
              </w:rPr>
              <w:t>及以上</w:t>
            </w:r>
            <w:r>
              <w:rPr>
                <w:rFonts w:eastAsia="仿宋_GB2312"/>
                <w:szCs w:val="21"/>
              </w:rPr>
              <w:t>业绩的只计分一次，不重复计分。</w:t>
            </w:r>
          </w:p>
          <w:p w14:paraId="593458DD">
            <w:pPr>
              <w:adjustRightInd w:val="0"/>
              <w:snapToGrid w:val="0"/>
              <w:rPr>
                <w:rFonts w:eastAsia="仿宋_GB2312"/>
                <w:szCs w:val="21"/>
              </w:rPr>
            </w:pPr>
            <w:r>
              <w:rPr>
                <w:rFonts w:hint="eastAsia" w:eastAsia="仿宋_GB2312"/>
                <w:szCs w:val="21"/>
              </w:rPr>
              <w:t>③为企业提供排污许可</w:t>
            </w:r>
            <w:r>
              <w:rPr>
                <w:rFonts w:hint="eastAsia" w:eastAsia="仿宋_GB2312"/>
                <w:szCs w:val="21"/>
                <w:lang w:val="en-US" w:eastAsia="zh-CN"/>
              </w:rPr>
              <w:t>填报等</w:t>
            </w:r>
            <w:r>
              <w:rPr>
                <w:rFonts w:hint="eastAsia" w:eastAsia="仿宋_GB2312"/>
                <w:szCs w:val="21"/>
              </w:rPr>
              <w:t>有偿服务的有关业务不作为项目业绩。</w:t>
            </w:r>
          </w:p>
        </w:tc>
        <w:tc>
          <w:tcPr>
            <w:tcW w:w="499" w:type="pct"/>
            <w:tcBorders>
              <w:top w:val="single" w:color="auto" w:sz="6" w:space="0"/>
              <w:left w:val="single" w:color="auto" w:sz="6" w:space="0"/>
              <w:bottom w:val="single" w:color="auto" w:sz="6" w:space="0"/>
              <w:right w:val="single" w:color="auto" w:sz="6" w:space="0"/>
            </w:tcBorders>
            <w:vAlign w:val="center"/>
          </w:tcPr>
          <w:p w14:paraId="7DC46F8E">
            <w:pPr>
              <w:autoSpaceDE w:val="0"/>
              <w:autoSpaceDN w:val="0"/>
              <w:adjustRightInd w:val="0"/>
              <w:snapToGrid w:val="0"/>
              <w:ind w:left="-60" w:leftChars="-30" w:right="-84" w:rightChars="-42"/>
              <w:jc w:val="center"/>
              <w:rPr>
                <w:rFonts w:eastAsia="仿宋_GB2312"/>
                <w:szCs w:val="21"/>
              </w:rPr>
            </w:pPr>
            <w:r>
              <w:rPr>
                <w:rFonts w:hint="eastAsia" w:eastAsia="仿宋_GB2312"/>
                <w:szCs w:val="21"/>
              </w:rPr>
              <w:t>10</w:t>
            </w:r>
          </w:p>
        </w:tc>
        <w:tc>
          <w:tcPr>
            <w:tcW w:w="499" w:type="pct"/>
            <w:tcBorders>
              <w:top w:val="single" w:color="auto" w:sz="6" w:space="0"/>
              <w:left w:val="single" w:color="auto" w:sz="6" w:space="0"/>
              <w:bottom w:val="single" w:color="auto" w:sz="6" w:space="0"/>
              <w:right w:val="single" w:color="auto" w:sz="6" w:space="0"/>
            </w:tcBorders>
          </w:tcPr>
          <w:p w14:paraId="1264EE51">
            <w:pPr>
              <w:autoSpaceDE w:val="0"/>
              <w:autoSpaceDN w:val="0"/>
              <w:adjustRightInd w:val="0"/>
              <w:snapToGrid w:val="0"/>
              <w:ind w:left="-60" w:leftChars="-30" w:right="-84" w:rightChars="-42"/>
              <w:jc w:val="center"/>
              <w:rPr>
                <w:rFonts w:eastAsia="仿宋_GB2312"/>
                <w:szCs w:val="21"/>
              </w:rPr>
            </w:pPr>
          </w:p>
        </w:tc>
      </w:tr>
      <w:tr w14:paraId="212038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93" w:type="pct"/>
            <w:tcBorders>
              <w:top w:val="single" w:color="auto" w:sz="6" w:space="0"/>
              <w:bottom w:val="single" w:color="auto" w:sz="6" w:space="0"/>
              <w:right w:val="single" w:color="auto" w:sz="6" w:space="0"/>
            </w:tcBorders>
            <w:vAlign w:val="center"/>
          </w:tcPr>
          <w:p w14:paraId="00642F95">
            <w:pPr>
              <w:numPr>
                <w:ilvl w:val="0"/>
                <w:numId w:val="1"/>
              </w:numPr>
              <w:autoSpaceDE w:val="0"/>
              <w:autoSpaceDN w:val="0"/>
              <w:adjustRightInd w:val="0"/>
              <w:snapToGrid w:val="0"/>
              <w:jc w:val="center"/>
              <w:rPr>
                <w:rFonts w:eastAsia="仿宋_GB2312"/>
                <w:bCs/>
                <w:szCs w:val="21"/>
              </w:rPr>
            </w:pPr>
          </w:p>
        </w:tc>
        <w:tc>
          <w:tcPr>
            <w:tcW w:w="435" w:type="pct"/>
            <w:tcBorders>
              <w:top w:val="single" w:color="auto" w:sz="6" w:space="0"/>
              <w:left w:val="single" w:color="auto" w:sz="6" w:space="0"/>
              <w:bottom w:val="single" w:color="auto" w:sz="6" w:space="0"/>
              <w:right w:val="single" w:color="auto" w:sz="6" w:space="0"/>
            </w:tcBorders>
            <w:vAlign w:val="center"/>
          </w:tcPr>
          <w:p w14:paraId="7FF7D774">
            <w:pPr>
              <w:adjustRightInd w:val="0"/>
              <w:snapToGrid w:val="0"/>
              <w:jc w:val="center"/>
              <w:rPr>
                <w:rFonts w:eastAsia="仿宋_GB2312"/>
                <w:szCs w:val="21"/>
              </w:rPr>
            </w:pPr>
            <w:r>
              <w:rPr>
                <w:rFonts w:eastAsia="仿宋_GB2312"/>
                <w:szCs w:val="21"/>
              </w:rPr>
              <w:t>团队实力</w:t>
            </w:r>
          </w:p>
        </w:tc>
        <w:tc>
          <w:tcPr>
            <w:tcW w:w="3172" w:type="pct"/>
            <w:tcBorders>
              <w:top w:val="single" w:color="auto" w:sz="6" w:space="0"/>
              <w:left w:val="single" w:color="auto" w:sz="6" w:space="0"/>
              <w:bottom w:val="single" w:color="auto" w:sz="6" w:space="0"/>
              <w:right w:val="single" w:color="auto" w:sz="6" w:space="0"/>
            </w:tcBorders>
            <w:vAlign w:val="center"/>
          </w:tcPr>
          <w:p w14:paraId="6CD0603E">
            <w:pPr>
              <w:adjustRightInd w:val="0"/>
              <w:snapToGrid w:val="0"/>
              <w:rPr>
                <w:rFonts w:eastAsia="仿宋_GB2312"/>
                <w:szCs w:val="21"/>
              </w:rPr>
            </w:pPr>
            <w:r>
              <w:rPr>
                <w:rFonts w:eastAsia="仿宋_GB2312"/>
                <w:szCs w:val="21"/>
              </w:rPr>
              <w:t>（1）拟派项目负责人具有环境保护相关专业副高及以上职称的得5分，本小项最高得5分。</w:t>
            </w:r>
          </w:p>
          <w:p w14:paraId="1A3D6ACE">
            <w:pPr>
              <w:adjustRightInd w:val="0"/>
              <w:snapToGrid w:val="0"/>
              <w:rPr>
                <w:rFonts w:eastAsia="仿宋_GB2312"/>
                <w:szCs w:val="21"/>
              </w:rPr>
            </w:pPr>
            <w:r>
              <w:rPr>
                <w:rFonts w:eastAsia="仿宋_GB2312"/>
                <w:szCs w:val="21"/>
              </w:rPr>
              <w:t>（2）拟参与本项目人员（不含项目负责人）具有环境保护相关专业工程师及以上职称，每人得3分，本小项最高得15分。</w:t>
            </w:r>
          </w:p>
          <w:p w14:paraId="755FE8CB">
            <w:pPr>
              <w:adjustRightInd w:val="0"/>
              <w:snapToGrid w:val="0"/>
              <w:rPr>
                <w:rFonts w:eastAsia="仿宋_GB2312"/>
                <w:szCs w:val="21"/>
              </w:rPr>
            </w:pPr>
            <w:r>
              <w:rPr>
                <w:rFonts w:eastAsia="仿宋_GB2312"/>
                <w:szCs w:val="21"/>
              </w:rPr>
              <w:t>注：须提供上述人员相关职称证书复印件、与供应商签订的劳务合同复印件或由社保机构或税务部门出具的在本项目投标截止日前3个月内任意1个月的由供应商为其购买的社保证明加盖供应商公章，无或缺项或未按要求递交证明材料的不得分。</w:t>
            </w:r>
          </w:p>
        </w:tc>
        <w:tc>
          <w:tcPr>
            <w:tcW w:w="499" w:type="pct"/>
            <w:tcBorders>
              <w:top w:val="single" w:color="auto" w:sz="6" w:space="0"/>
              <w:left w:val="single" w:color="auto" w:sz="6" w:space="0"/>
              <w:bottom w:val="single" w:color="auto" w:sz="6" w:space="0"/>
              <w:right w:val="single" w:color="auto" w:sz="6" w:space="0"/>
            </w:tcBorders>
            <w:vAlign w:val="center"/>
          </w:tcPr>
          <w:p w14:paraId="5773CB6A">
            <w:pPr>
              <w:autoSpaceDE w:val="0"/>
              <w:autoSpaceDN w:val="0"/>
              <w:adjustRightInd w:val="0"/>
              <w:snapToGrid w:val="0"/>
              <w:ind w:left="-60" w:leftChars="-30" w:right="-84" w:rightChars="-42"/>
              <w:jc w:val="center"/>
              <w:rPr>
                <w:rFonts w:eastAsia="仿宋_GB2312"/>
                <w:szCs w:val="21"/>
              </w:rPr>
            </w:pPr>
            <w:r>
              <w:rPr>
                <w:rFonts w:eastAsia="仿宋_GB2312"/>
                <w:szCs w:val="21"/>
              </w:rPr>
              <w:t>20</w:t>
            </w:r>
          </w:p>
        </w:tc>
        <w:tc>
          <w:tcPr>
            <w:tcW w:w="499" w:type="pct"/>
            <w:tcBorders>
              <w:top w:val="single" w:color="auto" w:sz="6" w:space="0"/>
              <w:left w:val="single" w:color="auto" w:sz="6" w:space="0"/>
              <w:bottom w:val="single" w:color="auto" w:sz="6" w:space="0"/>
              <w:right w:val="single" w:color="auto" w:sz="6" w:space="0"/>
            </w:tcBorders>
          </w:tcPr>
          <w:p w14:paraId="3FB09E16">
            <w:pPr>
              <w:autoSpaceDE w:val="0"/>
              <w:autoSpaceDN w:val="0"/>
              <w:adjustRightInd w:val="0"/>
              <w:snapToGrid w:val="0"/>
              <w:ind w:left="-60" w:leftChars="-30" w:right="-84" w:rightChars="-42"/>
              <w:jc w:val="center"/>
              <w:rPr>
                <w:rFonts w:eastAsia="仿宋_GB2312"/>
                <w:szCs w:val="21"/>
              </w:rPr>
            </w:pPr>
          </w:p>
        </w:tc>
      </w:tr>
      <w:tr w14:paraId="103539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93" w:type="pct"/>
            <w:tcBorders>
              <w:top w:val="single" w:color="auto" w:sz="6" w:space="0"/>
              <w:bottom w:val="single" w:color="auto" w:sz="6" w:space="0"/>
              <w:right w:val="single" w:color="auto" w:sz="6" w:space="0"/>
            </w:tcBorders>
            <w:vAlign w:val="center"/>
          </w:tcPr>
          <w:p w14:paraId="208CA94A">
            <w:pPr>
              <w:numPr>
                <w:ilvl w:val="0"/>
                <w:numId w:val="2"/>
              </w:numPr>
              <w:autoSpaceDE w:val="0"/>
              <w:autoSpaceDN w:val="0"/>
              <w:adjustRightInd w:val="0"/>
              <w:snapToGrid w:val="0"/>
              <w:jc w:val="center"/>
              <w:rPr>
                <w:rFonts w:eastAsia="仿宋_GB2312"/>
                <w:szCs w:val="21"/>
              </w:rPr>
            </w:pPr>
          </w:p>
        </w:tc>
        <w:tc>
          <w:tcPr>
            <w:tcW w:w="435" w:type="pct"/>
            <w:tcBorders>
              <w:top w:val="single" w:color="auto" w:sz="6" w:space="0"/>
              <w:left w:val="single" w:color="auto" w:sz="6" w:space="0"/>
              <w:bottom w:val="single" w:color="auto" w:sz="6" w:space="0"/>
              <w:right w:val="single" w:color="auto" w:sz="6" w:space="0"/>
            </w:tcBorders>
            <w:vAlign w:val="center"/>
          </w:tcPr>
          <w:p w14:paraId="08C8EC33">
            <w:pPr>
              <w:autoSpaceDE w:val="0"/>
              <w:autoSpaceDN w:val="0"/>
              <w:adjustRightInd w:val="0"/>
              <w:snapToGrid w:val="0"/>
              <w:jc w:val="center"/>
              <w:rPr>
                <w:rFonts w:eastAsia="仿宋_GB2312"/>
                <w:szCs w:val="21"/>
              </w:rPr>
            </w:pPr>
            <w:r>
              <w:rPr>
                <w:rFonts w:eastAsia="仿宋_GB2312"/>
                <w:szCs w:val="21"/>
              </w:rPr>
              <w:t>价格得分</w:t>
            </w:r>
          </w:p>
        </w:tc>
        <w:tc>
          <w:tcPr>
            <w:tcW w:w="3172" w:type="pct"/>
            <w:tcBorders>
              <w:top w:val="single" w:color="auto" w:sz="6" w:space="0"/>
              <w:left w:val="single" w:color="auto" w:sz="6" w:space="0"/>
              <w:bottom w:val="single" w:color="auto" w:sz="6" w:space="0"/>
              <w:right w:val="single" w:color="auto" w:sz="6" w:space="0"/>
            </w:tcBorders>
            <w:vAlign w:val="center"/>
          </w:tcPr>
          <w:p w14:paraId="3D179F89">
            <w:pPr>
              <w:adjustRightInd w:val="0"/>
              <w:snapToGrid w:val="0"/>
              <w:rPr>
                <w:rFonts w:eastAsia="仿宋_GB2312"/>
                <w:szCs w:val="21"/>
              </w:rPr>
            </w:pPr>
            <w:r>
              <w:rPr>
                <w:rFonts w:hint="eastAsia" w:eastAsia="仿宋_GB2312"/>
                <w:szCs w:val="21"/>
              </w:rPr>
              <w:t>价格分应当采用低价优先法计算，即满足采购需求且报价最低的为基准价，该项价格得分为满分。其他供应商的价格得分统一按照下列公式计算：供应商价格得分=(基准价／报价)×10，价格得分四舍五入后保留小数点后两位有效数。（对符合规定的小型和微型企业（监狱企业、残疾人福利单位视同小型、微型企业）报价给予10%的价格扣除。）</w:t>
            </w:r>
          </w:p>
        </w:tc>
        <w:tc>
          <w:tcPr>
            <w:tcW w:w="499" w:type="pct"/>
            <w:tcBorders>
              <w:top w:val="single" w:color="auto" w:sz="6" w:space="0"/>
              <w:left w:val="single" w:color="auto" w:sz="6" w:space="0"/>
              <w:bottom w:val="single" w:color="auto" w:sz="6" w:space="0"/>
              <w:right w:val="single" w:color="auto" w:sz="6" w:space="0"/>
            </w:tcBorders>
            <w:vAlign w:val="center"/>
          </w:tcPr>
          <w:p w14:paraId="33CF04CA">
            <w:pPr>
              <w:autoSpaceDE w:val="0"/>
              <w:autoSpaceDN w:val="0"/>
              <w:adjustRightInd w:val="0"/>
              <w:snapToGrid w:val="0"/>
              <w:ind w:left="-74" w:leftChars="-37" w:right="-70" w:rightChars="-35"/>
              <w:jc w:val="center"/>
              <w:rPr>
                <w:rFonts w:eastAsia="仿宋_GB2312"/>
                <w:szCs w:val="21"/>
              </w:rPr>
            </w:pPr>
            <w:r>
              <w:rPr>
                <w:rFonts w:eastAsia="仿宋_GB2312"/>
                <w:szCs w:val="21"/>
              </w:rPr>
              <w:t>10</w:t>
            </w:r>
          </w:p>
        </w:tc>
        <w:tc>
          <w:tcPr>
            <w:tcW w:w="499" w:type="pct"/>
            <w:tcBorders>
              <w:top w:val="single" w:color="auto" w:sz="6" w:space="0"/>
              <w:left w:val="single" w:color="auto" w:sz="6" w:space="0"/>
              <w:bottom w:val="single" w:color="auto" w:sz="6" w:space="0"/>
              <w:right w:val="single" w:color="auto" w:sz="6" w:space="0"/>
            </w:tcBorders>
          </w:tcPr>
          <w:p w14:paraId="223ED529">
            <w:pPr>
              <w:autoSpaceDE w:val="0"/>
              <w:autoSpaceDN w:val="0"/>
              <w:adjustRightInd w:val="0"/>
              <w:snapToGrid w:val="0"/>
              <w:ind w:left="-74" w:leftChars="-37" w:right="-70" w:rightChars="-35"/>
              <w:jc w:val="center"/>
              <w:rPr>
                <w:rFonts w:eastAsia="仿宋_GB2312"/>
                <w:szCs w:val="21"/>
              </w:rPr>
            </w:pPr>
          </w:p>
        </w:tc>
      </w:tr>
      <w:tr w14:paraId="5DF28E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4001" w:type="pct"/>
            <w:gridSpan w:val="3"/>
            <w:tcBorders>
              <w:top w:val="single" w:color="auto" w:sz="6" w:space="0"/>
              <w:right w:val="single" w:color="auto" w:sz="6" w:space="0"/>
            </w:tcBorders>
            <w:vAlign w:val="center"/>
          </w:tcPr>
          <w:p w14:paraId="5CB5A828">
            <w:pPr>
              <w:autoSpaceDE w:val="0"/>
              <w:autoSpaceDN w:val="0"/>
              <w:adjustRightInd w:val="0"/>
              <w:snapToGrid w:val="0"/>
              <w:ind w:left="-74" w:leftChars="-37" w:right="-70" w:rightChars="-35"/>
              <w:jc w:val="center"/>
              <w:rPr>
                <w:rFonts w:eastAsia="仿宋_GB2312"/>
                <w:b/>
                <w:szCs w:val="21"/>
              </w:rPr>
            </w:pPr>
            <w:r>
              <w:rPr>
                <w:rFonts w:eastAsia="仿宋_GB2312"/>
                <w:b/>
                <w:szCs w:val="21"/>
              </w:rPr>
              <w:t>合计</w:t>
            </w:r>
          </w:p>
        </w:tc>
        <w:tc>
          <w:tcPr>
            <w:tcW w:w="499" w:type="pct"/>
            <w:tcBorders>
              <w:top w:val="single" w:color="auto" w:sz="6" w:space="0"/>
              <w:left w:val="single" w:color="auto" w:sz="6" w:space="0"/>
              <w:right w:val="single" w:color="auto" w:sz="6" w:space="0"/>
            </w:tcBorders>
            <w:vAlign w:val="center"/>
          </w:tcPr>
          <w:p w14:paraId="2EC4CDCF">
            <w:pPr>
              <w:autoSpaceDE w:val="0"/>
              <w:autoSpaceDN w:val="0"/>
              <w:adjustRightInd w:val="0"/>
              <w:snapToGrid w:val="0"/>
              <w:ind w:left="-74" w:leftChars="-37" w:right="-70" w:rightChars="-35"/>
              <w:jc w:val="center"/>
              <w:rPr>
                <w:rFonts w:eastAsia="仿宋_GB2312"/>
                <w:b/>
                <w:szCs w:val="21"/>
              </w:rPr>
            </w:pPr>
            <w:r>
              <w:rPr>
                <w:rFonts w:eastAsia="仿宋_GB2312"/>
                <w:b/>
                <w:szCs w:val="21"/>
              </w:rPr>
              <w:t xml:space="preserve">100 </w:t>
            </w:r>
          </w:p>
        </w:tc>
        <w:tc>
          <w:tcPr>
            <w:tcW w:w="499" w:type="pct"/>
            <w:tcBorders>
              <w:top w:val="single" w:color="auto" w:sz="6" w:space="0"/>
              <w:left w:val="single" w:color="auto" w:sz="6" w:space="0"/>
              <w:right w:val="single" w:color="auto" w:sz="6" w:space="0"/>
            </w:tcBorders>
          </w:tcPr>
          <w:p w14:paraId="31118F7D">
            <w:pPr>
              <w:autoSpaceDE w:val="0"/>
              <w:autoSpaceDN w:val="0"/>
              <w:adjustRightInd w:val="0"/>
              <w:snapToGrid w:val="0"/>
              <w:ind w:left="-74" w:leftChars="-37" w:right="-70" w:rightChars="-35"/>
              <w:jc w:val="center"/>
              <w:rPr>
                <w:rFonts w:eastAsia="仿宋_GB2312"/>
                <w:b/>
                <w:szCs w:val="21"/>
              </w:rPr>
            </w:pPr>
          </w:p>
        </w:tc>
      </w:tr>
    </w:tbl>
    <w:p w14:paraId="6AD166FA"/>
    <w:p w14:paraId="51215FE7"/>
    <w:p w14:paraId="04358ABE">
      <w:pPr>
        <w:autoSpaceDE w:val="0"/>
        <w:autoSpaceDN w:val="0"/>
        <w:adjustRightInd w:val="0"/>
        <w:jc w:val="left"/>
        <w:outlineLvl w:val="0"/>
        <w:rPr>
          <w:rFonts w:ascii="仿宋_GB2312" w:hAnsi="宋体" w:eastAsia="仿宋_GB2312" w:cs="宋体"/>
          <w:sz w:val="24"/>
          <w:szCs w:val="24"/>
          <w:lang w:val="en"/>
        </w:rPr>
      </w:pPr>
      <w:r>
        <w:rPr>
          <w:rFonts w:ascii="仿宋_GB2312" w:hAnsi="宋体" w:eastAsia="仿宋_GB2312" w:cs="宋体"/>
          <w:sz w:val="24"/>
          <w:szCs w:val="24"/>
          <w:lang w:val="en"/>
        </w:rPr>
        <w:t>评审人签名：</w:t>
      </w:r>
      <w:r>
        <w:rPr>
          <w:rFonts w:hint="eastAsia" w:ascii="仿宋_GB2312" w:hAnsi="宋体" w:eastAsia="仿宋_GB2312" w:cs="宋体"/>
          <w:sz w:val="24"/>
          <w:szCs w:val="24"/>
        </w:rPr>
        <w:t xml:space="preserve">                    </w:t>
      </w:r>
      <w:r>
        <w:rPr>
          <w:rFonts w:ascii="仿宋_GB2312" w:hAnsi="宋体" w:eastAsia="仿宋_GB2312" w:cs="宋体"/>
          <w:sz w:val="24"/>
          <w:szCs w:val="24"/>
          <w:lang w:val="en"/>
        </w:rPr>
        <w:t>评审日期：       年     月     日</w:t>
      </w:r>
    </w:p>
    <w:p w14:paraId="6421DAE7">
      <w:pPr>
        <w:rPr>
          <w:lang w:val="e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6729FA"/>
    <w:multiLevelType w:val="multilevel"/>
    <w:tmpl w:val="166729FA"/>
    <w:lvl w:ilvl="0" w:tentative="0">
      <w:start w:val="1"/>
      <w:numFmt w:val="chineseCountingThousand"/>
      <w:lvlText w:val="(%1)"/>
      <w:lvlJc w:val="left"/>
      <w:pPr>
        <w:ind w:left="420" w:hanging="420"/>
      </w:pPr>
      <w:rPr>
        <w:rFonts w:hint="eastAsia" w:ascii="仿宋" w:hAnsi="仿宋" w:eastAsia="仿宋" w:cs="仿宋"/>
        <w:b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E0E"/>
    <w:rsid w:val="00044443"/>
    <w:rsid w:val="000C1584"/>
    <w:rsid w:val="001A0544"/>
    <w:rsid w:val="00254A53"/>
    <w:rsid w:val="00263723"/>
    <w:rsid w:val="002B71A3"/>
    <w:rsid w:val="002C6B59"/>
    <w:rsid w:val="00422481"/>
    <w:rsid w:val="004C72F4"/>
    <w:rsid w:val="005A3E0E"/>
    <w:rsid w:val="00677199"/>
    <w:rsid w:val="007A622A"/>
    <w:rsid w:val="00832E47"/>
    <w:rsid w:val="009A5F64"/>
    <w:rsid w:val="009E331A"/>
    <w:rsid w:val="00A43300"/>
    <w:rsid w:val="00CC6FD4"/>
    <w:rsid w:val="00D021F6"/>
    <w:rsid w:val="00DE7D1F"/>
    <w:rsid w:val="00E77CBD"/>
    <w:rsid w:val="00F34F44"/>
    <w:rsid w:val="08A346EB"/>
    <w:rsid w:val="0C2555DB"/>
    <w:rsid w:val="12971BF6"/>
    <w:rsid w:val="20A6233A"/>
    <w:rsid w:val="4627600C"/>
    <w:rsid w:val="47953C4F"/>
    <w:rsid w:val="60477D84"/>
    <w:rsid w:val="648B1B8D"/>
    <w:rsid w:val="660D1128"/>
    <w:rsid w:val="6EC800E1"/>
    <w:rsid w:val="71BB3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next w:val="3"/>
    <w:qFormat/>
    <w:uiPriority w:val="0"/>
    <w:pPr>
      <w:autoSpaceDE w:val="0"/>
      <w:autoSpaceDN w:val="0"/>
      <w:adjustRightInd w:val="0"/>
      <w:ind w:firstLine="420"/>
      <w:jc w:val="left"/>
      <w:textAlignment w:val="baseline"/>
    </w:pPr>
    <w:rPr>
      <w:rFonts w:ascii="宋体"/>
      <w:sz w:val="34"/>
    </w:rPr>
  </w:style>
  <w:style w:type="paragraph" w:styleId="3">
    <w:name w:val="Body Text"/>
    <w:basedOn w:val="1"/>
    <w:link w:val="13"/>
    <w:semiHidden/>
    <w:unhideWhenUsed/>
    <w:qFormat/>
    <w:uiPriority w:val="99"/>
    <w:pPr>
      <w:spacing w:after="120"/>
    </w:pPr>
  </w:style>
  <w:style w:type="paragraph" w:styleId="4">
    <w:name w:val="annotation text"/>
    <w:basedOn w:val="1"/>
    <w:semiHidden/>
    <w:unhideWhenUsed/>
    <w:qFormat/>
    <w:uiPriority w:val="99"/>
    <w:pPr>
      <w:jc w:val="left"/>
    </w:pPr>
  </w:style>
  <w:style w:type="paragraph" w:styleId="5">
    <w:name w:val="Balloon Text"/>
    <w:basedOn w:val="1"/>
    <w:link w:val="14"/>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7"/>
    <w:qFormat/>
    <w:uiPriority w:val="99"/>
    <w:rPr>
      <w:sz w:val="18"/>
      <w:szCs w:val="18"/>
    </w:rPr>
  </w:style>
  <w:style w:type="character" w:customStyle="1" w:styleId="12">
    <w:name w:val="页脚 Char"/>
    <w:basedOn w:val="9"/>
    <w:link w:val="6"/>
    <w:qFormat/>
    <w:uiPriority w:val="99"/>
    <w:rPr>
      <w:sz w:val="18"/>
      <w:szCs w:val="18"/>
    </w:rPr>
  </w:style>
  <w:style w:type="character" w:customStyle="1" w:styleId="13">
    <w:name w:val="正文文本 Char"/>
    <w:basedOn w:val="9"/>
    <w:link w:val="3"/>
    <w:semiHidden/>
    <w:qFormat/>
    <w:uiPriority w:val="99"/>
    <w:rPr>
      <w:rFonts w:ascii="Times New Roman" w:hAnsi="Times New Roman" w:eastAsia="宋体" w:cs="Times New Roman"/>
      <w:kern w:val="0"/>
      <w:sz w:val="20"/>
      <w:szCs w:val="20"/>
    </w:rPr>
  </w:style>
  <w:style w:type="character" w:customStyle="1" w:styleId="14">
    <w:name w:val="批注框文本 Char"/>
    <w:basedOn w:val="9"/>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Pages>
  <Words>915</Words>
  <Characters>937</Characters>
  <Lines>7</Lines>
  <Paragraphs>2</Paragraphs>
  <TotalTime>373</TotalTime>
  <ScaleCrop>false</ScaleCrop>
  <LinksUpToDate>false</LinksUpToDate>
  <CharactersWithSpaces>976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2026-07-02T08:02:00Z</dcterms:created>
  <dc:creator>ADMINS</dc:creator>
  <cp:lastModifiedBy>benwye</cp:lastModifiedBy>
  <cp:lastPrinted>2026-07-13T09:01:16Z</cp:lastPrinted>
  <dcterms:modified xsi:type="dcterms:W3CDTF">2026-07-13T09:01:18Z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eyJoZGlkIjoiZjQ0MDUwNWJmNTBlYTRkY2I1OWM4MDBiZWE3OGUzNjUiLCJ1c2VySWQiOiI4MDczMjI4In0=</vt:lpwstr>
  </property>
  <property fmtid="{D5CDD505-2E9C-101B-9397-08002B2CF9AE}" pid="3" name="KSOProductBuildVer">
    <vt:lpwstr>2052-12.1.0.26895</vt:lpwstr>
  </property>
  <property fmtid="{D5CDD505-2E9C-101B-9397-08002B2CF9AE}" pid="4" name="ICV">
    <vt:lpwstr>BF0164AA0BF743C1ACB9BDAB94F0F4FF_13</vt:lpwstr>
  </property>
</Properties>
</file>