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line="360" w:lineRule="auto"/>
        <w:jc w:val="both"/>
        <w:rPr>
          <w:rStyle w:val="83"/>
          <w:rFonts w:hint="default" w:ascii="黑体" w:hAnsi="黑体" w:eastAsia="黑体" w:cs="黑体"/>
          <w:b w:val="0"/>
          <w:bCs w:val="0"/>
          <w:snapToGrid w:val="0"/>
          <w:sz w:val="30"/>
          <w:szCs w:val="30"/>
        </w:rPr>
      </w:pPr>
      <w:bookmarkStart w:id="185" w:name="_GoBack"/>
      <w:bookmarkEnd w:id="185"/>
      <w:r>
        <w:rPr>
          <w:rStyle w:val="83"/>
          <w:rFonts w:hint="default" w:ascii="黑体" w:hAnsi="黑体" w:eastAsia="黑体" w:cs="黑体"/>
          <w:b w:val="0"/>
          <w:bCs w:val="0"/>
          <w:snapToGrid w:val="0"/>
          <w:sz w:val="30"/>
          <w:szCs w:val="30"/>
        </w:rPr>
        <w:t>附件3</w:t>
      </w:r>
    </w:p>
    <w:p>
      <w:pPr>
        <w:pStyle w:val="13"/>
        <w:spacing w:line="360" w:lineRule="auto"/>
        <w:rPr>
          <w:rStyle w:val="83"/>
          <w:rFonts w:hint="eastAsia" w:ascii="黑体" w:hAnsi="黑体" w:eastAsia="黑体" w:cs="黑体"/>
          <w:b w:val="0"/>
          <w:bCs w:val="0"/>
          <w:snapToGrid w:val="0"/>
          <w:sz w:val="30"/>
          <w:szCs w:val="30"/>
        </w:rPr>
      </w:pPr>
    </w:p>
    <w:p>
      <w:pPr>
        <w:pStyle w:val="13"/>
        <w:spacing w:line="360" w:lineRule="auto"/>
        <w:rPr>
          <w:rStyle w:val="83"/>
          <w:rFonts w:ascii="黑体" w:hAnsi="黑体" w:eastAsia="黑体" w:cs="黑体"/>
          <w:b w:val="0"/>
          <w:bCs w:val="0"/>
          <w:snapToGrid w:val="0"/>
          <w:sz w:val="30"/>
          <w:szCs w:val="30"/>
        </w:rPr>
      </w:pPr>
      <w:r>
        <w:rPr>
          <w:rStyle w:val="83"/>
          <w:rFonts w:hint="eastAsia" w:ascii="黑体" w:hAnsi="黑体" w:eastAsia="黑体" w:cs="黑体"/>
          <w:b w:val="0"/>
          <w:bCs w:val="0"/>
          <w:snapToGrid w:val="0"/>
          <w:sz w:val="30"/>
          <w:szCs w:val="30"/>
        </w:rPr>
        <w:t xml:space="preserve">                                       </w:t>
      </w:r>
      <w:bookmarkStart w:id="0" w:name="_Toc76484251"/>
      <w:bookmarkStart w:id="1" w:name="_Toc116"/>
      <w:bookmarkStart w:id="2" w:name="_Toc5718"/>
      <w:bookmarkStart w:id="3" w:name="_Toc662"/>
      <w:r>
        <w:rPr>
          <w:rStyle w:val="83"/>
          <w:rFonts w:hint="eastAsia" w:ascii="黑体" w:hAnsi="黑体" w:eastAsia="黑体" w:cs="黑体"/>
          <w:b w:val="0"/>
          <w:bCs w:val="0"/>
          <w:snapToGrid w:val="0"/>
          <w:sz w:val="30"/>
          <w:szCs w:val="30"/>
        </w:rPr>
        <w:t>版本：V</w:t>
      </w:r>
      <w:r>
        <w:rPr>
          <w:rStyle w:val="83"/>
          <w:rFonts w:ascii="黑体" w:hAnsi="黑体" w:eastAsia="黑体" w:cs="黑体"/>
          <w:b w:val="0"/>
          <w:bCs w:val="0"/>
          <w:snapToGrid w:val="0"/>
          <w:sz w:val="30"/>
          <w:szCs w:val="30"/>
        </w:rPr>
        <w:t>2</w:t>
      </w:r>
      <w:r>
        <w:rPr>
          <w:rStyle w:val="83"/>
          <w:rFonts w:hint="eastAsia" w:ascii="黑体" w:hAnsi="黑体" w:eastAsia="黑体" w:cs="黑体"/>
          <w:b w:val="0"/>
          <w:bCs w:val="0"/>
          <w:snapToGrid w:val="0"/>
          <w:sz w:val="30"/>
          <w:szCs w:val="30"/>
        </w:rPr>
        <w:t>.</w:t>
      </w:r>
      <w:bookmarkEnd w:id="0"/>
      <w:r>
        <w:rPr>
          <w:rStyle w:val="83"/>
          <w:rFonts w:ascii="黑体" w:hAnsi="黑体" w:eastAsia="黑体" w:cs="黑体"/>
          <w:b w:val="0"/>
          <w:bCs w:val="0"/>
          <w:snapToGrid w:val="0"/>
          <w:sz w:val="30"/>
          <w:szCs w:val="30"/>
        </w:rPr>
        <w:t>0</w:t>
      </w:r>
    </w:p>
    <w:bookmarkEnd w:id="1"/>
    <w:bookmarkEnd w:id="2"/>
    <w:bookmarkEnd w:id="3"/>
    <w:p>
      <w:pPr>
        <w:pStyle w:val="63"/>
      </w:pPr>
    </w:p>
    <w:p>
      <w:pPr>
        <w:pStyle w:val="63"/>
      </w:pPr>
    </w:p>
    <w:p>
      <w:pPr>
        <w:pStyle w:val="63"/>
      </w:pPr>
      <w:r>
        <w:rPr>
          <w:rFonts w:hint="eastAsia"/>
        </w:rPr>
        <w:t>企业安全生产标准化信息管理系统</w:t>
      </w:r>
    </w:p>
    <w:p>
      <w:pPr>
        <w:pStyle w:val="63"/>
      </w:pPr>
      <w:r>
        <w:rPr>
          <w:rFonts w:hint="eastAsia"/>
        </w:rPr>
        <w:t>用户操作手册</w:t>
      </w:r>
    </w:p>
    <w:p>
      <w:pPr>
        <w:pStyle w:val="63"/>
      </w:pPr>
      <w:r>
        <w:rPr>
          <w:rFonts w:hint="eastAsia"/>
        </w:rPr>
        <w:t>（企业版）</w:t>
      </w:r>
    </w:p>
    <w:p>
      <w:pPr>
        <w:pStyle w:val="63"/>
      </w:pPr>
    </w:p>
    <w:p>
      <w:pPr>
        <w:pStyle w:val="63"/>
      </w:pPr>
    </w:p>
    <w:p>
      <w:pPr>
        <w:pStyle w:val="63"/>
      </w:pPr>
    </w:p>
    <w:p>
      <w:pPr>
        <w:pStyle w:val="63"/>
      </w:pPr>
    </w:p>
    <w:p>
      <w:pPr>
        <w:pStyle w:val="63"/>
      </w:pPr>
    </w:p>
    <w:p>
      <w:pPr>
        <w:pStyle w:val="63"/>
      </w:pPr>
    </w:p>
    <w:p>
      <w:pPr>
        <w:pStyle w:val="65"/>
      </w:pPr>
      <w:r>
        <w:rPr>
          <w:rFonts w:hint="eastAsia"/>
        </w:rPr>
        <w:t>太极计算机股份有限公司</w:t>
      </w:r>
    </w:p>
    <w:p>
      <w:pPr>
        <w:pStyle w:val="65"/>
      </w:pPr>
      <w:r>
        <w:rPr>
          <w:rFonts w:hint="eastAsia"/>
        </w:rPr>
        <w:t>2021年</w:t>
      </w:r>
      <w:r>
        <w:t>12</w:t>
      </w:r>
      <w:r>
        <w:rPr>
          <w:rFonts w:hint="eastAsia"/>
        </w:rPr>
        <w:t>月</w:t>
      </w:r>
    </w:p>
    <w:p>
      <w:pPr>
        <w:pStyle w:val="63"/>
        <w:rPr>
          <w:lang w:val="zh-CN"/>
        </w:rPr>
      </w:pPr>
      <w:r>
        <w:rPr>
          <w:rFonts w:hint="eastAsia"/>
          <w:lang w:val="zh-CN"/>
        </w:rPr>
        <w:tab/>
      </w:r>
    </w:p>
    <w:sdt>
      <w:sdtPr>
        <w:rPr>
          <w:b w:val="0"/>
          <w:bCs w:val="0"/>
          <w:kern w:val="2"/>
          <w:sz w:val="21"/>
          <w:szCs w:val="22"/>
          <w:lang w:val="zh-CN"/>
        </w:rPr>
        <w:id w:val="-353883033"/>
        <w:docPartObj>
          <w:docPartGallery w:val="Table of Contents"/>
          <w:docPartUnique/>
        </w:docPartObj>
      </w:sdtPr>
      <w:sdtEndPr>
        <w:rPr>
          <w:b w:val="0"/>
          <w:bCs w:val="0"/>
          <w:kern w:val="2"/>
          <w:sz w:val="21"/>
          <w:szCs w:val="22"/>
          <w:lang w:val="zh-CN"/>
        </w:rPr>
      </w:sdtEndPr>
      <w:sdtContent>
        <w:p>
          <w:pPr>
            <w:pStyle w:val="69"/>
            <w:jc w:val="center"/>
          </w:pPr>
          <w:r>
            <w:rPr>
              <w:lang w:val="zh-CN"/>
            </w:rPr>
            <w:t>目</w:t>
          </w:r>
          <w:r>
            <w:rPr>
              <w:rFonts w:hint="eastAsia"/>
              <w:lang w:val="zh-CN"/>
            </w:rPr>
            <w:t xml:space="preserve"> </w:t>
          </w:r>
          <w:r>
            <w:rPr>
              <w:lang w:val="zh-CN"/>
            </w:rPr>
            <w:t xml:space="preserve"> 录</w:t>
          </w:r>
        </w:p>
        <w:p>
          <w:pPr>
            <w:pStyle w:val="20"/>
            <w:tabs>
              <w:tab w:val="left" w:pos="630"/>
              <w:tab w:val="right" w:leader="dot" w:pos="8296"/>
            </w:tabs>
            <w:rPr>
              <w:rFonts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"_Toc177200849" </w:instrText>
          </w:r>
          <w:r>
            <w:fldChar w:fldCharType="separate"/>
          </w:r>
          <w:r>
            <w:rPr>
              <w:rStyle w:val="33"/>
              <w:rFonts w:ascii="Times New Roman" w:hAnsi="Times New Roman"/>
            </w:rPr>
            <w:t>1.</w:t>
          </w:r>
          <w:r>
            <w:rPr>
              <w:rFonts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注册与登录</w:t>
          </w:r>
          <w:r>
            <w:tab/>
          </w:r>
          <w:r>
            <w:fldChar w:fldCharType="begin"/>
          </w:r>
          <w:r>
            <w:instrText xml:space="preserve"> PAGEREF _Toc177200849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23"/>
            <w:tabs>
              <w:tab w:val="left" w:pos="840"/>
              <w:tab w:val="right" w:leader="dot" w:pos="8296"/>
            </w:tabs>
            <w:rPr>
              <w:rFonts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"_Toc177200850" </w:instrText>
          </w:r>
          <w:r>
            <w:fldChar w:fldCharType="separate"/>
          </w:r>
          <w:r>
            <w:rPr>
              <w:rStyle w:val="33"/>
            </w:rPr>
            <w:t>1.1.</w:t>
          </w:r>
          <w:r>
            <w:rPr>
              <w:rFonts w:hAnsiTheme="minorHAnsi" w:eastAsiaTheme="minorEastAsia" w:cstheme="minorBidi"/>
              <w:small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企业注册</w:t>
          </w:r>
          <w:r>
            <w:tab/>
          </w:r>
          <w:r>
            <w:fldChar w:fldCharType="begin"/>
          </w:r>
          <w:r>
            <w:instrText xml:space="preserve"> PAGEREF _Toc177200850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"_Toc177200851" </w:instrText>
          </w:r>
          <w:r>
            <w:fldChar w:fldCharType="separate"/>
          </w:r>
          <w:r>
            <w:rPr>
              <w:rStyle w:val="33"/>
            </w:rPr>
            <w:t>1.1.1.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操作方法</w:t>
          </w:r>
          <w:r>
            <w:tab/>
          </w:r>
          <w:r>
            <w:fldChar w:fldCharType="begin"/>
          </w:r>
          <w:r>
            <w:instrText xml:space="preserve"> PAGEREF _Toc177200851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"_Toc177200852" </w:instrText>
          </w:r>
          <w:r>
            <w:fldChar w:fldCharType="separate"/>
          </w:r>
          <w:r>
            <w:rPr>
              <w:rStyle w:val="33"/>
            </w:rPr>
            <w:t>1.1.2.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_Toc177200852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23"/>
            <w:tabs>
              <w:tab w:val="left" w:pos="840"/>
              <w:tab w:val="right" w:leader="dot" w:pos="8296"/>
            </w:tabs>
            <w:rPr>
              <w:rFonts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"_Toc177200853" </w:instrText>
          </w:r>
          <w:r>
            <w:fldChar w:fldCharType="separate"/>
          </w:r>
          <w:r>
            <w:rPr>
              <w:rStyle w:val="33"/>
            </w:rPr>
            <w:t>1.2.</w:t>
          </w:r>
          <w:r>
            <w:rPr>
              <w:rFonts w:hAnsiTheme="minorHAnsi" w:eastAsiaTheme="minorEastAsia" w:cstheme="minorBidi"/>
              <w:small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登录系统</w:t>
          </w:r>
          <w:r>
            <w:tab/>
          </w:r>
          <w:r>
            <w:fldChar w:fldCharType="begin"/>
          </w:r>
          <w:r>
            <w:instrText xml:space="preserve"> PAGEREF _Toc177200853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"_Toc177200857" </w:instrText>
          </w:r>
          <w:r>
            <w:fldChar w:fldCharType="separate"/>
          </w:r>
          <w:r>
            <w:rPr>
              <w:rStyle w:val="33"/>
            </w:rPr>
            <w:t>1.2.1.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操作方法</w:t>
          </w:r>
          <w:r>
            <w:tab/>
          </w:r>
          <w:r>
            <w:fldChar w:fldCharType="begin"/>
          </w:r>
          <w:r>
            <w:instrText xml:space="preserve"> PAGEREF _Toc177200857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left" w:pos="630"/>
              <w:tab w:val="right" w:leader="dot" w:pos="8296"/>
            </w:tabs>
            <w:rPr>
              <w:rFonts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"_Toc177200858" </w:instrText>
          </w:r>
          <w:r>
            <w:fldChar w:fldCharType="separate"/>
          </w:r>
          <w:r>
            <w:rPr>
              <w:rStyle w:val="33"/>
            </w:rPr>
            <w:t>2.</w:t>
          </w:r>
          <w:r>
            <w:rPr>
              <w:rFonts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安全生产标准化管理</w:t>
          </w:r>
          <w:r>
            <w:tab/>
          </w:r>
          <w:r>
            <w:fldChar w:fldCharType="begin"/>
          </w:r>
          <w:r>
            <w:instrText xml:space="preserve"> PAGEREF _Toc177200858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23"/>
            <w:tabs>
              <w:tab w:val="left" w:pos="840"/>
              <w:tab w:val="right" w:leader="dot" w:pos="8296"/>
            </w:tabs>
            <w:rPr>
              <w:rFonts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"_Toc177200860" </w:instrText>
          </w:r>
          <w:r>
            <w:fldChar w:fldCharType="separate"/>
          </w:r>
          <w:r>
            <w:rPr>
              <w:rStyle w:val="33"/>
              <w:rFonts w:ascii="Arial" w:hAnsi="Arial"/>
            </w:rPr>
            <w:t>2.1.</w:t>
          </w:r>
          <w:r>
            <w:rPr>
              <w:rFonts w:hAnsiTheme="minorHAnsi" w:eastAsiaTheme="minorEastAsia" w:cstheme="minorBidi"/>
              <w:small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【企业】自评信息登记</w:t>
          </w:r>
          <w:r>
            <w:tab/>
          </w:r>
          <w:r>
            <w:fldChar w:fldCharType="begin"/>
          </w:r>
          <w:r>
            <w:instrText xml:space="preserve"> PAGEREF _Toc177200860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"_Toc177200863" </w:instrText>
          </w:r>
          <w:r>
            <w:fldChar w:fldCharType="separate"/>
          </w:r>
          <w:r>
            <w:rPr>
              <w:rStyle w:val="33"/>
            </w:rPr>
            <w:t>2.1.1.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操作方法</w:t>
          </w:r>
          <w:r>
            <w:tab/>
          </w:r>
          <w:r>
            <w:fldChar w:fldCharType="begin"/>
          </w:r>
          <w:r>
            <w:instrText xml:space="preserve"> PAGEREF _Toc177200863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"_Toc177200864" </w:instrText>
          </w:r>
          <w:r>
            <w:fldChar w:fldCharType="separate"/>
          </w:r>
          <w:r>
            <w:rPr>
              <w:rStyle w:val="33"/>
            </w:rPr>
            <w:t>2.1.2.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_Toc177200864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23"/>
            <w:tabs>
              <w:tab w:val="left" w:pos="840"/>
              <w:tab w:val="right" w:leader="dot" w:pos="8296"/>
            </w:tabs>
            <w:rPr>
              <w:rFonts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"_Toc177200866" </w:instrText>
          </w:r>
          <w:r>
            <w:fldChar w:fldCharType="separate"/>
          </w:r>
          <w:r>
            <w:rPr>
              <w:rStyle w:val="33"/>
            </w:rPr>
            <w:t>2.2.</w:t>
          </w:r>
          <w:r>
            <w:rPr>
              <w:rFonts w:hAnsiTheme="minorHAnsi" w:eastAsiaTheme="minorEastAsia" w:cstheme="minorBidi"/>
              <w:small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【企业】定级申请</w:t>
          </w:r>
          <w:r>
            <w:tab/>
          </w:r>
          <w:r>
            <w:fldChar w:fldCharType="begin"/>
          </w:r>
          <w:r>
            <w:instrText xml:space="preserve"> PAGEREF _Toc177200866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"_Toc177200867" </w:instrText>
          </w:r>
          <w:r>
            <w:fldChar w:fldCharType="separate"/>
          </w:r>
          <w:r>
            <w:rPr>
              <w:rStyle w:val="33"/>
            </w:rPr>
            <w:t>2.2.1.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操作方法</w:t>
          </w:r>
          <w:r>
            <w:tab/>
          </w:r>
          <w:r>
            <w:fldChar w:fldCharType="begin"/>
          </w:r>
          <w:r>
            <w:instrText xml:space="preserve"> PAGEREF _Toc177200867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"_Toc177200868" </w:instrText>
          </w:r>
          <w:r>
            <w:fldChar w:fldCharType="separate"/>
          </w:r>
          <w:r>
            <w:rPr>
              <w:rStyle w:val="33"/>
            </w:rPr>
            <w:t>2.2.2.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_Toc177200868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23"/>
            <w:tabs>
              <w:tab w:val="left" w:pos="840"/>
              <w:tab w:val="right" w:leader="dot" w:pos="8296"/>
            </w:tabs>
            <w:rPr>
              <w:rFonts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"_Toc177200869" </w:instrText>
          </w:r>
          <w:r>
            <w:fldChar w:fldCharType="separate"/>
          </w:r>
          <w:r>
            <w:rPr>
              <w:rStyle w:val="33"/>
            </w:rPr>
            <w:t>2.3.</w:t>
          </w:r>
          <w:r>
            <w:rPr>
              <w:rFonts w:hAnsiTheme="minorHAnsi" w:eastAsiaTheme="minorEastAsia" w:cstheme="minorBidi"/>
              <w:small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【企业】企业整改反馈</w:t>
          </w:r>
          <w:r>
            <w:tab/>
          </w:r>
          <w:r>
            <w:fldChar w:fldCharType="begin"/>
          </w:r>
          <w:r>
            <w:instrText xml:space="preserve"> PAGEREF _Toc177200869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"_Toc177200870" </w:instrText>
          </w:r>
          <w:r>
            <w:fldChar w:fldCharType="separate"/>
          </w:r>
          <w:r>
            <w:rPr>
              <w:rStyle w:val="33"/>
            </w:rPr>
            <w:t>2.3.1.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操作方法</w:t>
          </w:r>
          <w:r>
            <w:tab/>
          </w:r>
          <w:r>
            <w:fldChar w:fldCharType="begin"/>
          </w:r>
          <w:r>
            <w:instrText xml:space="preserve"> PAGEREF _Toc177200870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"_Toc177200871" </w:instrText>
          </w:r>
          <w:r>
            <w:fldChar w:fldCharType="separate"/>
          </w:r>
          <w:r>
            <w:rPr>
              <w:rStyle w:val="33"/>
            </w:rPr>
            <w:t>2.9.1.1.</w:t>
          </w:r>
          <w:r>
            <w:rPr>
              <w:rStyle w:val="33"/>
              <w:rFonts w:hint="eastAsia"/>
            </w:rPr>
            <w:t>上传整改报告</w:t>
          </w:r>
          <w:r>
            <w:tab/>
          </w:r>
          <w:r>
            <w:fldChar w:fldCharType="begin"/>
          </w:r>
          <w:r>
            <w:instrText xml:space="preserve"> PAGEREF _Toc177200871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"_Toc177200872" </w:instrText>
          </w:r>
          <w:r>
            <w:fldChar w:fldCharType="separate"/>
          </w:r>
          <w:r>
            <w:rPr>
              <w:rStyle w:val="33"/>
              <w:b/>
              <w:bCs/>
            </w:rPr>
            <w:t>2.9.2.</w:t>
          </w:r>
          <w:r>
            <w:rPr>
              <w:rStyle w:val="33"/>
              <w:rFonts w:hint="eastAsia"/>
              <w:b/>
              <w:bCs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_Toc177200872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left" w:pos="630"/>
              <w:tab w:val="right" w:leader="dot" w:pos="8296"/>
            </w:tabs>
            <w:rPr>
              <w:rFonts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"_Toc177200873" </w:instrText>
          </w:r>
          <w:r>
            <w:fldChar w:fldCharType="separate"/>
          </w:r>
          <w:r>
            <w:rPr>
              <w:rStyle w:val="33"/>
            </w:rPr>
            <w:t>3.</w:t>
          </w:r>
          <w:r>
            <w:rPr>
              <w:rFonts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系统维护</w:t>
          </w:r>
          <w:r>
            <w:tab/>
          </w:r>
          <w:r>
            <w:fldChar w:fldCharType="begin"/>
          </w:r>
          <w:r>
            <w:instrText xml:space="preserve"> PAGEREF _Toc177200873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23"/>
            <w:tabs>
              <w:tab w:val="left" w:pos="840"/>
              <w:tab w:val="right" w:leader="dot" w:pos="8296"/>
            </w:tabs>
            <w:rPr>
              <w:rFonts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"_Toc177200875" </w:instrText>
          </w:r>
          <w:r>
            <w:fldChar w:fldCharType="separate"/>
          </w:r>
          <w:r>
            <w:rPr>
              <w:rStyle w:val="33"/>
              <w:rFonts w:ascii="Arial" w:hAnsi="Arial"/>
            </w:rPr>
            <w:t>3.1.</w:t>
          </w:r>
          <w:r>
            <w:rPr>
              <w:rFonts w:hAnsiTheme="minorHAnsi" w:eastAsiaTheme="minorEastAsia" w:cstheme="minorBidi"/>
              <w:smallCaps w:val="0"/>
              <w:sz w:val="21"/>
              <w:szCs w:val="22"/>
            </w:rPr>
            <w:tab/>
          </w:r>
          <w:r>
            <w:rPr>
              <w:rStyle w:val="33"/>
              <w:rFonts w:hint="eastAsia"/>
            </w:rPr>
            <w:t>企业基本信息维护</w:t>
          </w:r>
          <w:r>
            <w:tab/>
          </w:r>
          <w:r>
            <w:fldChar w:fldCharType="begin"/>
          </w:r>
          <w:r>
            <w:instrText xml:space="preserve"> PAGEREF _Toc177200875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260"/>
              <w:tab w:val="right" w:leader="dot" w:pos="8296"/>
            </w:tabs>
            <w:rPr>
              <w:rFonts w:hAnsiTheme="minorHAnsi" w:eastAsiaTheme="minorEastAsia" w:cstheme="minorBidi"/>
              <w:i w:val="0"/>
              <w:iCs w:val="0"/>
              <w:szCs w:val="22"/>
            </w:rPr>
          </w:pPr>
          <w:r>
            <w:fldChar w:fldCharType="begin"/>
          </w:r>
          <w:r>
            <w:instrText xml:space="preserve"> HYPERLINK \l "_Toc177200878" </w:instrText>
          </w:r>
          <w:r>
            <w:fldChar w:fldCharType="separate"/>
          </w:r>
          <w:r>
            <w:rPr>
              <w:rStyle w:val="33"/>
            </w:rPr>
            <w:t>3.1.1.</w:t>
          </w:r>
          <w:r>
            <w:rPr>
              <w:rFonts w:hAnsiTheme="minorHAnsi" w:eastAsiaTheme="minorEastAsia" w:cstheme="minorBidi"/>
              <w:i w:val="0"/>
              <w:iCs w:val="0"/>
              <w:szCs w:val="22"/>
            </w:rPr>
            <w:tab/>
          </w:r>
          <w:r>
            <w:rPr>
              <w:rStyle w:val="33"/>
              <w:rFonts w:hint="eastAsia"/>
            </w:rPr>
            <w:t>操作方法</w:t>
          </w:r>
          <w:r>
            <w:tab/>
          </w:r>
          <w:r>
            <w:fldChar w:fldCharType="begin"/>
          </w:r>
          <w:r>
            <w:instrText xml:space="preserve"> PAGEREF _Toc177200878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spacing w:line="312" w:lineRule="auto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59"/>
        <w:spacing w:before="46" w:after="46"/>
        <w:ind w:firstLine="480"/>
      </w:pPr>
    </w:p>
    <w:p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br w:type="page"/>
      </w:r>
    </w:p>
    <w:p>
      <w:pPr>
        <w:pStyle w:val="55"/>
        <w:rPr>
          <w:rFonts w:ascii="Times New Roman" w:hAnsi="Times New Roman"/>
        </w:rPr>
      </w:pPr>
      <w:bookmarkStart w:id="4" w:name="_Toc177200849"/>
      <w:bookmarkStart w:id="5" w:name="_Toc76484252"/>
      <w:bookmarkStart w:id="6" w:name="_Toc60157458"/>
      <w:r>
        <w:rPr>
          <w:rFonts w:hint="eastAsia"/>
        </w:rPr>
        <w:t>注册与登录</w:t>
      </w:r>
      <w:bookmarkEnd w:id="4"/>
      <w:bookmarkEnd w:id="5"/>
      <w:bookmarkEnd w:id="6"/>
    </w:p>
    <w:p>
      <w:pPr>
        <w:pStyle w:val="46"/>
      </w:pPr>
      <w:bookmarkStart w:id="7" w:name="_Toc76484253"/>
      <w:bookmarkStart w:id="8" w:name="_Toc60157459"/>
      <w:bookmarkStart w:id="9" w:name="_Toc419187176"/>
      <w:bookmarkStart w:id="10" w:name="_Toc177200850"/>
      <w:r>
        <w:rPr>
          <w:rFonts w:hint="eastAsia"/>
        </w:rPr>
        <w:t>企业注册</w:t>
      </w:r>
      <w:bookmarkEnd w:id="7"/>
      <w:bookmarkEnd w:id="8"/>
      <w:bookmarkEnd w:id="9"/>
      <w:bookmarkEnd w:id="10"/>
    </w:p>
    <w:p>
      <w:pPr>
        <w:pStyle w:val="48"/>
      </w:pPr>
      <w:bookmarkStart w:id="11" w:name="_Toc60157460"/>
      <w:bookmarkStart w:id="12" w:name="_Toc419187177"/>
      <w:bookmarkStart w:id="13" w:name="_Toc177200851"/>
      <w:bookmarkStart w:id="14" w:name="_Toc76484254"/>
      <w:r>
        <w:rPr>
          <w:rFonts w:hint="eastAsia"/>
        </w:rPr>
        <w:t>操作方法</w:t>
      </w:r>
      <w:bookmarkEnd w:id="11"/>
      <w:bookmarkEnd w:id="12"/>
      <w:bookmarkEnd w:id="13"/>
      <w:bookmarkEnd w:id="14"/>
    </w:p>
    <w:p>
      <w:pPr>
        <w:pStyle w:val="85"/>
      </w:pPr>
      <w:r>
        <w:rPr>
          <w:rFonts w:hint="eastAsia"/>
        </w:rPr>
        <w:t>使用360安全浏览器极速模式、或谷歌浏览器，输入网址：https://aqbzh.mem.gov.cn/bzhxt/，或者访问“应急管理部”官方网站，点击上方“服务” &gt; “业务系统”，找到“企业安全生产标准化信息管理系统”，点击后进入跳转页面，选择企业端入口后进入登录页面。如下图所示：</w:t>
      </w:r>
    </w:p>
    <w:p>
      <w:pPr>
        <w:pStyle w:val="67"/>
        <w:spacing w:before="156"/>
        <w:rPr>
          <w:sz w:val="21"/>
          <w:szCs w:val="24"/>
        </w:rPr>
      </w:pPr>
      <w:r>
        <w:drawing>
          <wp:inline distT="0" distB="0" distL="0" distR="0">
            <wp:extent cx="5274310" cy="25368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跳转页面</w:t>
      </w:r>
    </w:p>
    <w:p>
      <w:pPr>
        <w:pStyle w:val="91"/>
      </w:pPr>
    </w:p>
    <w:p>
      <w:r>
        <w:drawing>
          <wp:inline distT="0" distB="0" distL="0" distR="0">
            <wp:extent cx="5274310" cy="253682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选择入口</w:t>
      </w:r>
    </w:p>
    <w:p>
      <w:pPr>
        <w:pStyle w:val="91"/>
      </w:pPr>
    </w:p>
    <w:p>
      <w:r>
        <w:drawing>
          <wp:inline distT="0" distB="0" distL="0" distR="0">
            <wp:extent cx="5274310" cy="2474595"/>
            <wp:effectExtent l="0" t="0" r="254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认证入口界面</w:t>
      </w:r>
    </w:p>
    <w:p>
      <w:pPr>
        <w:pStyle w:val="91"/>
      </w:pPr>
    </w:p>
    <w:p>
      <w:pPr>
        <w:pStyle w:val="85"/>
      </w:pPr>
      <w:r>
        <w:rPr>
          <w:rFonts w:hint="eastAsia"/>
        </w:rPr>
        <w:t>点击“新用户注册”，在弹出的页面中输入相应的企业基础信息、用户信息、登录信息，注册成为新用户。旧系统用户，可通过认证账号进行登录，无需重新注册。认证方式详见系统页面说明。</w:t>
      </w:r>
    </w:p>
    <w:p>
      <w:r>
        <w:drawing>
          <wp:inline distT="0" distB="0" distL="0" distR="0">
            <wp:extent cx="5274310" cy="280733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注册界面</w:t>
      </w:r>
    </w:p>
    <w:p>
      <w:pPr>
        <w:pStyle w:val="91"/>
      </w:pPr>
    </w:p>
    <w:p>
      <w:pPr>
        <w:pStyle w:val="48"/>
      </w:pPr>
      <w:bookmarkStart w:id="15" w:name="_Toc177200852"/>
      <w:bookmarkStart w:id="16" w:name="_Toc76484255"/>
      <w:bookmarkStart w:id="17" w:name="_Toc419187178"/>
      <w:bookmarkStart w:id="18" w:name="_Toc60157461"/>
      <w:r>
        <w:rPr>
          <w:rFonts w:hint="eastAsia"/>
        </w:rPr>
        <w:t>注意事项</w:t>
      </w:r>
      <w:bookmarkEnd w:id="15"/>
      <w:bookmarkEnd w:id="16"/>
      <w:bookmarkEnd w:id="17"/>
      <w:bookmarkEnd w:id="18"/>
    </w:p>
    <w:p>
      <w:pPr>
        <w:pStyle w:val="85"/>
        <w:numPr>
          <w:ilvl w:val="0"/>
          <w:numId w:val="7"/>
        </w:numPr>
      </w:pPr>
      <w:r>
        <w:rPr>
          <w:rFonts w:hint="eastAsia"/>
        </w:rPr>
        <w:t>推荐使用360安全浏览器极速模式、或谷歌浏览器。</w:t>
      </w:r>
    </w:p>
    <w:p>
      <w:pPr>
        <w:pStyle w:val="85"/>
        <w:numPr>
          <w:ilvl w:val="0"/>
          <w:numId w:val="7"/>
        </w:numPr>
      </w:pPr>
      <w:r>
        <w:rPr>
          <w:rFonts w:hint="eastAsia"/>
        </w:rPr>
        <w:t>标有红色星号的项目为必填项。</w:t>
      </w:r>
    </w:p>
    <w:p>
      <w:pPr>
        <w:pStyle w:val="85"/>
        <w:numPr>
          <w:ilvl w:val="0"/>
          <w:numId w:val="7"/>
        </w:numPr>
      </w:pPr>
      <w:r>
        <w:rPr>
          <w:rFonts w:hint="eastAsia"/>
        </w:rPr>
        <w:t>用户名：必填，长度为9到16个字符，</w:t>
      </w:r>
      <w:r>
        <w:rPr>
          <w:rFonts w:hint="eastAsia"/>
          <w:b/>
          <w:color w:val="FF0000"/>
        </w:rPr>
        <w:t>请牢记自己创建的用户名</w:t>
      </w:r>
      <w:r>
        <w:rPr>
          <w:rFonts w:hint="eastAsia"/>
        </w:rPr>
        <w:t>。</w:t>
      </w:r>
    </w:p>
    <w:p>
      <w:pPr>
        <w:pStyle w:val="85"/>
        <w:numPr>
          <w:ilvl w:val="0"/>
          <w:numId w:val="7"/>
        </w:numPr>
      </w:pPr>
      <w:r>
        <w:rPr>
          <w:rFonts w:hint="eastAsia"/>
        </w:rPr>
        <w:t>密码：必填，最少9位，最长不能超过16位。</w:t>
      </w:r>
    </w:p>
    <w:p>
      <w:pPr>
        <w:pStyle w:val="85"/>
        <w:numPr>
          <w:ilvl w:val="0"/>
          <w:numId w:val="0"/>
        </w:numPr>
        <w:ind w:left="210"/>
      </w:pPr>
      <w:r>
        <w:rPr>
          <w:rFonts w:hint="eastAsia"/>
        </w:rPr>
        <w:t>密码设置规则：</w:t>
      </w:r>
    </w:p>
    <w:p>
      <w:pPr>
        <w:pStyle w:val="85"/>
        <w:numPr>
          <w:ilvl w:val="0"/>
          <w:numId w:val="0"/>
        </w:numPr>
        <w:ind w:left="210"/>
      </w:pPr>
      <w:r>
        <w:rPr>
          <w:rFonts w:hint="eastAsia"/>
        </w:rPr>
        <w:t>1、密码长度为9到16位之间；</w:t>
      </w:r>
    </w:p>
    <w:p>
      <w:pPr>
        <w:pStyle w:val="85"/>
        <w:numPr>
          <w:ilvl w:val="0"/>
          <w:numId w:val="0"/>
        </w:numPr>
        <w:ind w:left="210"/>
      </w:pPr>
      <w:r>
        <w:rPr>
          <w:rFonts w:hint="eastAsia"/>
        </w:rPr>
        <w:t>2、密码要包含大小写字母、数字和特殊字符（! @ $ ^ * _ ? .）；</w:t>
      </w:r>
    </w:p>
    <w:p>
      <w:pPr>
        <w:pStyle w:val="85"/>
        <w:numPr>
          <w:ilvl w:val="0"/>
          <w:numId w:val="0"/>
        </w:numPr>
        <w:ind w:left="210"/>
      </w:pPr>
      <w:r>
        <w:rPr>
          <w:rFonts w:hint="eastAsia"/>
        </w:rPr>
        <w:t>3、密码中的特殊字符，不允许使用“#”和“%”；</w:t>
      </w:r>
    </w:p>
    <w:p>
      <w:pPr>
        <w:pStyle w:val="85"/>
        <w:numPr>
          <w:ilvl w:val="0"/>
          <w:numId w:val="0"/>
        </w:numPr>
        <w:ind w:left="210"/>
      </w:pPr>
      <w:r>
        <w:rPr>
          <w:rFonts w:hint="eastAsia"/>
        </w:rPr>
        <w:t>4、密码中的特殊字符要在英文键盘下输入；</w:t>
      </w:r>
    </w:p>
    <w:p>
      <w:pPr>
        <w:pStyle w:val="85"/>
        <w:numPr>
          <w:ilvl w:val="0"/>
          <w:numId w:val="0"/>
        </w:numPr>
        <w:ind w:left="210"/>
      </w:pPr>
      <w:r>
        <w:rPr>
          <w:rFonts w:hint="eastAsia"/>
        </w:rPr>
        <w:t>5、密码中不允许使用超过两个连续或相同的数字和字母；</w:t>
      </w:r>
    </w:p>
    <w:p>
      <w:pPr>
        <w:pStyle w:val="85"/>
        <w:numPr>
          <w:ilvl w:val="0"/>
          <w:numId w:val="0"/>
        </w:numPr>
        <w:ind w:left="930" w:hanging="720"/>
      </w:pPr>
      <w:r>
        <w:rPr>
          <w:rFonts w:hint="eastAsia"/>
        </w:rPr>
        <w:t>6、密码中不允许包含登录用户名。</w:t>
      </w:r>
    </w:p>
    <w:p>
      <w:pPr>
        <w:pStyle w:val="46"/>
      </w:pPr>
      <w:bookmarkStart w:id="19" w:name="_Toc60157463"/>
      <w:bookmarkStart w:id="20" w:name="_Toc76484257"/>
      <w:bookmarkStart w:id="21" w:name="_Toc410850228"/>
      <w:bookmarkStart w:id="22" w:name="_Toc177200853"/>
      <w:bookmarkStart w:id="23" w:name="_Toc419187179"/>
      <w:bookmarkStart w:id="24" w:name="_Toc76484256"/>
      <w:bookmarkStart w:id="25" w:name="_Toc60157462"/>
      <w:r>
        <w:rPr>
          <w:rFonts w:hint="eastAsia"/>
        </w:rPr>
        <w:t>登录系统</w:t>
      </w:r>
      <w:bookmarkEnd w:id="19"/>
      <w:bookmarkEnd w:id="20"/>
      <w:bookmarkEnd w:id="21"/>
      <w:bookmarkEnd w:id="22"/>
      <w:bookmarkEnd w:id="23"/>
    </w:p>
    <w:p>
      <w:pPr>
        <w:pStyle w:val="79"/>
        <w:keepNext/>
        <w:keepLines/>
        <w:numPr>
          <w:ilvl w:val="0"/>
          <w:numId w:val="8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26" w:name="_Toc177198623"/>
      <w:bookmarkEnd w:id="26"/>
      <w:bookmarkStart w:id="27" w:name="_Toc91168621"/>
      <w:bookmarkEnd w:id="27"/>
      <w:bookmarkStart w:id="28" w:name="_Toc76562122"/>
      <w:bookmarkEnd w:id="28"/>
      <w:bookmarkStart w:id="29" w:name="_Toc76484258"/>
      <w:bookmarkEnd w:id="29"/>
      <w:bookmarkStart w:id="30" w:name="_Toc177200854"/>
      <w:bookmarkEnd w:id="30"/>
      <w:bookmarkStart w:id="31" w:name="_Toc177198552"/>
      <w:bookmarkEnd w:id="31"/>
      <w:bookmarkStart w:id="32" w:name="_Toc76562044"/>
      <w:bookmarkEnd w:id="32"/>
      <w:bookmarkStart w:id="33" w:name="_Toc177199718"/>
      <w:bookmarkEnd w:id="33"/>
      <w:bookmarkStart w:id="34" w:name="_Toc177199641"/>
      <w:bookmarkEnd w:id="34"/>
      <w:bookmarkStart w:id="35" w:name="_Toc177199605"/>
      <w:bookmarkEnd w:id="35"/>
      <w:bookmarkStart w:id="36" w:name="_Toc419187180"/>
      <w:bookmarkStart w:id="37" w:name="_Toc60157464"/>
      <w:bookmarkStart w:id="38" w:name="_Toc414892017"/>
    </w:p>
    <w:p>
      <w:pPr>
        <w:pStyle w:val="79"/>
        <w:keepNext/>
        <w:keepLines/>
        <w:numPr>
          <w:ilvl w:val="1"/>
          <w:numId w:val="8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39" w:name="_Toc76562123"/>
      <w:bookmarkEnd w:id="39"/>
      <w:bookmarkStart w:id="40" w:name="_Toc177199642"/>
      <w:bookmarkEnd w:id="40"/>
      <w:bookmarkStart w:id="41" w:name="_Toc177199719"/>
      <w:bookmarkEnd w:id="41"/>
      <w:bookmarkStart w:id="42" w:name="_Toc177198553"/>
      <w:bookmarkEnd w:id="42"/>
      <w:bookmarkStart w:id="43" w:name="_Toc177199606"/>
      <w:bookmarkEnd w:id="43"/>
      <w:bookmarkStart w:id="44" w:name="_Toc76484259"/>
      <w:bookmarkEnd w:id="44"/>
      <w:bookmarkStart w:id="45" w:name="_Toc177200855"/>
      <w:bookmarkEnd w:id="45"/>
      <w:bookmarkStart w:id="46" w:name="_Toc76562045"/>
      <w:bookmarkEnd w:id="46"/>
      <w:bookmarkStart w:id="47" w:name="_Toc91168622"/>
      <w:bookmarkEnd w:id="47"/>
      <w:bookmarkStart w:id="48" w:name="_Toc177198624"/>
      <w:bookmarkEnd w:id="48"/>
    </w:p>
    <w:p>
      <w:pPr>
        <w:pStyle w:val="79"/>
        <w:keepNext/>
        <w:keepLines/>
        <w:numPr>
          <w:ilvl w:val="1"/>
          <w:numId w:val="8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49" w:name="_Toc177198625"/>
      <w:bookmarkEnd w:id="49"/>
      <w:bookmarkStart w:id="50" w:name="_Toc76562046"/>
      <w:bookmarkEnd w:id="50"/>
      <w:bookmarkStart w:id="51" w:name="_Toc177199607"/>
      <w:bookmarkEnd w:id="51"/>
      <w:bookmarkStart w:id="52" w:name="_Toc76562124"/>
      <w:bookmarkEnd w:id="52"/>
      <w:bookmarkStart w:id="53" w:name="_Toc91168623"/>
      <w:bookmarkEnd w:id="53"/>
      <w:bookmarkStart w:id="54" w:name="_Toc177200856"/>
      <w:bookmarkEnd w:id="54"/>
      <w:bookmarkStart w:id="55" w:name="_Toc76484260"/>
      <w:bookmarkEnd w:id="55"/>
      <w:bookmarkStart w:id="56" w:name="_Toc177199643"/>
      <w:bookmarkEnd w:id="56"/>
      <w:bookmarkStart w:id="57" w:name="_Toc177198554"/>
      <w:bookmarkEnd w:id="57"/>
      <w:bookmarkStart w:id="58" w:name="_Toc177199720"/>
      <w:bookmarkEnd w:id="58"/>
    </w:p>
    <w:p>
      <w:pPr>
        <w:pStyle w:val="48"/>
        <w:rPr>
          <w:sz w:val="32"/>
          <w:szCs w:val="32"/>
        </w:rPr>
      </w:pPr>
      <w:bookmarkStart w:id="59" w:name="_Toc177200857"/>
      <w:bookmarkStart w:id="60" w:name="_Toc76484261"/>
      <w:r>
        <w:rPr>
          <w:rFonts w:hint="eastAsia"/>
        </w:rPr>
        <w:t>操作方法</w:t>
      </w:r>
      <w:bookmarkEnd w:id="36"/>
      <w:bookmarkEnd w:id="37"/>
      <w:bookmarkEnd w:id="38"/>
      <w:bookmarkEnd w:id="59"/>
      <w:bookmarkEnd w:id="60"/>
    </w:p>
    <w:p>
      <w:pPr>
        <w:pStyle w:val="85"/>
        <w:numPr>
          <w:ilvl w:val="0"/>
          <w:numId w:val="9"/>
        </w:numPr>
      </w:pPr>
      <w:r>
        <w:rPr>
          <w:rFonts w:hint="eastAsia"/>
        </w:rPr>
        <w:t>使用360安全浏览器极速模式、或谷歌浏览器，输入网址：https://aqbzh.mem.gov.cn/bzhxt/，</w:t>
      </w:r>
      <w:r>
        <w:rPr>
          <w:rFonts w:hint="eastAsia" w:ascii="宋体" w:hAnsi="宋体"/>
        </w:rPr>
        <w:t>或者访问“应急管理部”官方网站，点击上方“服务” &gt; “业务系统”，找到“企业安全生产标准化信息管理系统”，点击后进入跳转页面，选择企业端入口后进入登录页面。</w:t>
      </w:r>
    </w:p>
    <w:p>
      <w:pPr>
        <w:jc w:val="center"/>
      </w:pPr>
      <w:r>
        <w:drawing>
          <wp:inline distT="0" distB="0" distL="0" distR="0">
            <wp:extent cx="5274310" cy="2437130"/>
            <wp:effectExtent l="0" t="0" r="254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企业端登录页面</w:t>
      </w:r>
    </w:p>
    <w:p>
      <w:pPr>
        <w:pStyle w:val="91"/>
      </w:pPr>
    </w:p>
    <w:p>
      <w:pPr>
        <w:pStyle w:val="85"/>
      </w:pPr>
      <w:bookmarkStart w:id="61" w:name="_Toc419187182"/>
      <w:r>
        <w:rPr>
          <w:rFonts w:hint="eastAsia"/>
        </w:rPr>
        <w:t>成功登录后，进入企业端门户页面，包含业务办理、企业信息与通知公告等模块。可在该页面点击右上角的“修改密码”，进行密码修改操作。</w:t>
      </w:r>
    </w:p>
    <w:p>
      <w:pPr>
        <w:pStyle w:val="87"/>
      </w:pPr>
      <w:r>
        <w:drawing>
          <wp:inline distT="0" distB="0" distL="0" distR="0">
            <wp:extent cx="5274310" cy="2623185"/>
            <wp:effectExtent l="0" t="0" r="254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企业端门户页面</w:t>
      </w:r>
    </w:p>
    <w:p>
      <w:pPr>
        <w:pStyle w:val="91"/>
      </w:pPr>
    </w:p>
    <w:p>
      <w:pPr>
        <w:pStyle w:val="85"/>
      </w:pPr>
      <w:r>
        <w:rPr>
          <w:rFonts w:hint="eastAsia"/>
        </w:rPr>
        <w:t>点击业务办理中的“企业安全生产标准化管理”，将自动跳转至企业安全生产标准化信息管理系统首页。如下图所示：</w:t>
      </w:r>
    </w:p>
    <w:p>
      <w:pPr>
        <w:pStyle w:val="87"/>
      </w:pPr>
      <w:r>
        <w:drawing>
          <wp:inline distT="0" distB="0" distL="0" distR="0">
            <wp:extent cx="5274310" cy="23812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企业端系统首页</w:t>
      </w:r>
    </w:p>
    <w:p>
      <w:pPr>
        <w:pStyle w:val="91"/>
      </w:pPr>
    </w:p>
    <w:bookmarkEnd w:id="24"/>
    <w:bookmarkEnd w:id="25"/>
    <w:bookmarkEnd w:id="61"/>
    <w:p>
      <w:pPr>
        <w:pStyle w:val="55"/>
      </w:pPr>
      <w:bookmarkStart w:id="62" w:name="_Toc60157466"/>
      <w:bookmarkStart w:id="63" w:name="_Toc76484262"/>
      <w:bookmarkStart w:id="64" w:name="_Toc419187192"/>
      <w:bookmarkStart w:id="65" w:name="_Toc410850235"/>
      <w:bookmarkStart w:id="66" w:name="_Toc177200858"/>
      <w:r>
        <w:rPr>
          <w:rFonts w:hint="eastAsia"/>
        </w:rPr>
        <w:t>安全生产标准化管理</w:t>
      </w:r>
      <w:bookmarkEnd w:id="62"/>
      <w:bookmarkEnd w:id="63"/>
      <w:bookmarkEnd w:id="64"/>
      <w:bookmarkEnd w:id="65"/>
      <w:bookmarkEnd w:id="66"/>
    </w:p>
    <w:p>
      <w:pPr>
        <w:pStyle w:val="79"/>
        <w:keepNext/>
        <w:keepLines/>
        <w:numPr>
          <w:ilvl w:val="0"/>
          <w:numId w:val="1"/>
        </w:numPr>
        <w:spacing w:before="260" w:after="260" w:line="415" w:lineRule="auto"/>
        <w:ind w:firstLineChars="0"/>
        <w:outlineLvl w:val="1"/>
        <w:rPr>
          <w:rFonts w:ascii="Arial" w:hAnsi="Arial" w:eastAsia="黑体"/>
          <w:b/>
          <w:bCs/>
          <w:vanish/>
          <w:sz w:val="32"/>
          <w:szCs w:val="32"/>
        </w:rPr>
      </w:pPr>
      <w:bookmarkStart w:id="67" w:name="_Toc177200859"/>
      <w:bookmarkEnd w:id="67"/>
      <w:bookmarkStart w:id="68" w:name="_Toc91168628"/>
      <w:bookmarkEnd w:id="68"/>
      <w:bookmarkStart w:id="69" w:name="_Toc76562127"/>
      <w:bookmarkEnd w:id="69"/>
      <w:bookmarkStart w:id="70" w:name="_Toc76562049"/>
      <w:bookmarkEnd w:id="70"/>
      <w:bookmarkStart w:id="71" w:name="_Toc76484263"/>
      <w:bookmarkEnd w:id="71"/>
      <w:bookmarkStart w:id="72" w:name="_Toc177199646"/>
      <w:bookmarkEnd w:id="72"/>
      <w:bookmarkStart w:id="73" w:name="_Toc177198558"/>
      <w:bookmarkEnd w:id="73"/>
      <w:bookmarkStart w:id="74" w:name="_Toc177199723"/>
      <w:bookmarkEnd w:id="74"/>
      <w:bookmarkStart w:id="75" w:name="_Toc177199611"/>
      <w:bookmarkEnd w:id="75"/>
      <w:bookmarkStart w:id="76" w:name="_Toc177198629"/>
      <w:bookmarkEnd w:id="76"/>
      <w:bookmarkStart w:id="77" w:name="_Toc410850236"/>
      <w:bookmarkStart w:id="78" w:name="_Toc60157467"/>
      <w:bookmarkStart w:id="79" w:name="_Toc419187193"/>
    </w:p>
    <w:p>
      <w:pPr>
        <w:pStyle w:val="46"/>
        <w:rPr>
          <w:rFonts w:ascii="Arial" w:hAnsi="Arial" w:eastAsia="黑体"/>
          <w:szCs w:val="32"/>
        </w:rPr>
      </w:pPr>
      <w:bookmarkStart w:id="80" w:name="_Toc76484264"/>
      <w:bookmarkStart w:id="81" w:name="_Toc177200860"/>
      <w:r>
        <w:rPr>
          <w:rFonts w:hint="eastAsia"/>
        </w:rPr>
        <w:t>【企业】自评信息登记</w:t>
      </w:r>
      <w:bookmarkEnd w:id="77"/>
      <w:bookmarkEnd w:id="78"/>
      <w:bookmarkEnd w:id="79"/>
      <w:bookmarkEnd w:id="80"/>
      <w:bookmarkEnd w:id="81"/>
    </w:p>
    <w:p>
      <w:pPr>
        <w:pStyle w:val="91"/>
      </w:pPr>
      <w:r>
        <w:rPr>
          <w:rFonts w:hint="eastAsia"/>
        </w:rPr>
        <w:t>点击“安全生产标准化管理”-“自评信息登记”，进入自评信息登记页面。</w:t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drawing>
          <wp:inline distT="0" distB="0" distL="0" distR="0">
            <wp:extent cx="5274310" cy="246634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  <w:rPr>
          <w:rFonts w:ascii="Times New Roman" w:hAnsi="Times New Roman" w:cs="Times New Roman"/>
        </w:rPr>
      </w:pPr>
      <w:r>
        <w:rPr>
          <w:rFonts w:hint="eastAsia"/>
        </w:rPr>
        <w:t>自评信息登记列表页面</w:t>
      </w:r>
    </w:p>
    <w:p>
      <w:pPr>
        <w:pStyle w:val="91"/>
      </w:pPr>
    </w:p>
    <w:p>
      <w:pPr>
        <w:pStyle w:val="79"/>
        <w:keepNext/>
        <w:keepLines/>
        <w:numPr>
          <w:ilvl w:val="0"/>
          <w:numId w:val="8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82" w:name="_Toc76562129"/>
      <w:bookmarkEnd w:id="82"/>
      <w:bookmarkStart w:id="83" w:name="_Toc91168630"/>
      <w:bookmarkEnd w:id="83"/>
      <w:bookmarkStart w:id="84" w:name="_Toc76562051"/>
      <w:bookmarkEnd w:id="84"/>
      <w:bookmarkStart w:id="85" w:name="_Toc76484265"/>
      <w:bookmarkEnd w:id="85"/>
      <w:bookmarkStart w:id="86" w:name="_Toc177199725"/>
      <w:bookmarkEnd w:id="86"/>
      <w:bookmarkStart w:id="87" w:name="_Toc177200861"/>
      <w:bookmarkEnd w:id="87"/>
      <w:bookmarkStart w:id="88" w:name="_Toc177198560"/>
      <w:bookmarkEnd w:id="88"/>
      <w:bookmarkStart w:id="89" w:name="_Toc177199648"/>
      <w:bookmarkEnd w:id="89"/>
      <w:bookmarkStart w:id="90" w:name="_Toc177199613"/>
      <w:bookmarkEnd w:id="90"/>
      <w:bookmarkStart w:id="91" w:name="_Toc177198631"/>
      <w:bookmarkEnd w:id="91"/>
      <w:bookmarkStart w:id="92" w:name="_Toc60157468"/>
      <w:bookmarkStart w:id="93" w:name="_Toc419187194"/>
    </w:p>
    <w:p>
      <w:pPr>
        <w:pStyle w:val="79"/>
        <w:keepNext/>
        <w:keepLines/>
        <w:numPr>
          <w:ilvl w:val="1"/>
          <w:numId w:val="8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94" w:name="_Toc177198632"/>
      <w:bookmarkEnd w:id="94"/>
      <w:bookmarkStart w:id="95" w:name="_Toc177199726"/>
      <w:bookmarkEnd w:id="95"/>
      <w:bookmarkStart w:id="96" w:name="_Toc177200862"/>
      <w:bookmarkEnd w:id="96"/>
      <w:bookmarkStart w:id="97" w:name="_Toc76484266"/>
      <w:bookmarkEnd w:id="97"/>
      <w:bookmarkStart w:id="98" w:name="_Toc91168631"/>
      <w:bookmarkEnd w:id="98"/>
      <w:bookmarkStart w:id="99" w:name="_Toc76562052"/>
      <w:bookmarkEnd w:id="99"/>
      <w:bookmarkStart w:id="100" w:name="_Toc177198561"/>
      <w:bookmarkEnd w:id="100"/>
      <w:bookmarkStart w:id="101" w:name="_Toc76562130"/>
      <w:bookmarkEnd w:id="101"/>
      <w:bookmarkStart w:id="102" w:name="_Toc177199614"/>
      <w:bookmarkEnd w:id="102"/>
      <w:bookmarkStart w:id="103" w:name="_Toc177199649"/>
      <w:bookmarkEnd w:id="103"/>
    </w:p>
    <w:p>
      <w:pPr>
        <w:pStyle w:val="48"/>
        <w:rPr>
          <w:sz w:val="32"/>
          <w:szCs w:val="32"/>
        </w:rPr>
      </w:pPr>
      <w:bookmarkStart w:id="104" w:name="_Toc177200863"/>
      <w:bookmarkStart w:id="105" w:name="_Toc76484267"/>
      <w:r>
        <w:rPr>
          <w:rFonts w:hint="eastAsia"/>
        </w:rPr>
        <w:t>操作方法</w:t>
      </w:r>
      <w:bookmarkEnd w:id="92"/>
      <w:bookmarkEnd w:id="93"/>
      <w:bookmarkEnd w:id="104"/>
      <w:bookmarkEnd w:id="105"/>
    </w:p>
    <w:p>
      <w:pPr>
        <w:pStyle w:val="79"/>
        <w:keepNext/>
        <w:keepLines/>
        <w:numPr>
          <w:ilvl w:val="0"/>
          <w:numId w:val="10"/>
        </w:numPr>
        <w:spacing w:before="280" w:after="290" w:line="374" w:lineRule="auto"/>
        <w:ind w:firstLineChars="0"/>
        <w:outlineLvl w:val="3"/>
        <w:rPr>
          <w:rFonts w:ascii="Arial" w:hAnsi="Arial"/>
          <w:b/>
          <w:bCs/>
          <w:vanish/>
          <w:sz w:val="28"/>
          <w:szCs w:val="28"/>
        </w:rPr>
      </w:pPr>
      <w:bookmarkStart w:id="106" w:name="_Toc60157469"/>
    </w:p>
    <w:p>
      <w:pPr>
        <w:pStyle w:val="79"/>
        <w:keepNext/>
        <w:keepLines/>
        <w:numPr>
          <w:ilvl w:val="0"/>
          <w:numId w:val="10"/>
        </w:numPr>
        <w:spacing w:before="280" w:after="290" w:line="374" w:lineRule="auto"/>
        <w:ind w:firstLineChars="0"/>
        <w:outlineLvl w:val="3"/>
        <w:rPr>
          <w:rFonts w:ascii="Arial" w:hAnsi="Arial"/>
          <w:b/>
          <w:bCs/>
          <w:vanish/>
          <w:sz w:val="28"/>
          <w:szCs w:val="28"/>
        </w:rPr>
      </w:pPr>
    </w:p>
    <w:p>
      <w:pPr>
        <w:pStyle w:val="79"/>
        <w:keepNext/>
        <w:keepLines/>
        <w:numPr>
          <w:ilvl w:val="1"/>
          <w:numId w:val="10"/>
        </w:numPr>
        <w:spacing w:before="280" w:after="290" w:line="374" w:lineRule="auto"/>
        <w:ind w:firstLineChars="0"/>
        <w:outlineLvl w:val="3"/>
        <w:rPr>
          <w:rFonts w:ascii="Arial" w:hAnsi="Arial"/>
          <w:b/>
          <w:bCs/>
          <w:vanish/>
          <w:sz w:val="28"/>
          <w:szCs w:val="28"/>
        </w:rPr>
      </w:pPr>
    </w:p>
    <w:p>
      <w:pPr>
        <w:pStyle w:val="79"/>
        <w:keepNext/>
        <w:keepLines/>
        <w:numPr>
          <w:ilvl w:val="2"/>
          <w:numId w:val="10"/>
        </w:numPr>
        <w:spacing w:before="280" w:after="290" w:line="374" w:lineRule="auto"/>
        <w:ind w:firstLineChars="0"/>
        <w:outlineLvl w:val="3"/>
        <w:rPr>
          <w:rFonts w:ascii="Arial" w:hAnsi="Arial"/>
          <w:b/>
          <w:bCs/>
          <w:vanish/>
          <w:sz w:val="28"/>
          <w:szCs w:val="28"/>
        </w:rPr>
      </w:pPr>
    </w:p>
    <w:p>
      <w:pPr>
        <w:pStyle w:val="50"/>
        <w:rPr>
          <w:rFonts w:ascii="Arial" w:hAnsi="Arial"/>
          <w:sz w:val="28"/>
          <w:szCs w:val="28"/>
        </w:rPr>
      </w:pPr>
      <w:r>
        <w:rPr>
          <w:rFonts w:hint="eastAsia"/>
        </w:rPr>
        <w:t>新增</w:t>
      </w:r>
      <w:bookmarkEnd w:id="106"/>
    </w:p>
    <w:p>
      <w:pPr>
        <w:pStyle w:val="91"/>
      </w:pPr>
      <w:r>
        <w:rPr>
          <w:rFonts w:hint="eastAsia"/>
        </w:rPr>
        <w:t>点击“新增”，输入自评信息。如果自评信息还需要继续修改，可以点击“暂存”按钮；如果信息已经填写完整无须修改，可以点击“上报”按钮来上报该自评；如果信息已经填写完整无须修改且需要申请安全生产标准化证书，可以点击“上报并申请安全生产标准化证书”按钮，自评报告提交成功后，系统将自动跳转到证书申请界面。上报成功后，自评信息将不能修改。</w:t>
      </w:r>
    </w:p>
    <w:p>
      <w:pPr>
        <w:jc w:val="center"/>
      </w:pPr>
      <w:r>
        <w:drawing>
          <wp:inline distT="0" distB="0" distL="0" distR="0">
            <wp:extent cx="5274310" cy="2907665"/>
            <wp:effectExtent l="0" t="0" r="254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新增自评信息页面</w:t>
      </w:r>
    </w:p>
    <w:p>
      <w:pPr>
        <w:pStyle w:val="91"/>
      </w:pPr>
    </w:p>
    <w:p>
      <w:pPr>
        <w:pStyle w:val="50"/>
      </w:pPr>
      <w:bookmarkStart w:id="107" w:name="_Toc60157470"/>
      <w:r>
        <w:rPr>
          <w:rFonts w:hint="eastAsia"/>
        </w:rPr>
        <w:t>修改</w:t>
      </w:r>
      <w:bookmarkEnd w:id="107"/>
    </w:p>
    <w:p>
      <w:pPr>
        <w:pStyle w:val="91"/>
      </w:pPr>
      <w:r>
        <w:rPr>
          <w:rFonts w:hint="eastAsia"/>
        </w:rPr>
        <w:t>点击选中需修改的“未上报”的自评信息之后，点击“修改”按钮。信息修改完成后保存。“暂存”、“上报”、“上报并申请安全生产标准化证书”按钮功能参照2.1.1.1。</w:t>
      </w:r>
    </w:p>
    <w:p>
      <w:r>
        <w:drawing>
          <wp:inline distT="0" distB="0" distL="0" distR="0">
            <wp:extent cx="5274310" cy="2893060"/>
            <wp:effectExtent l="0" t="0" r="254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自评信息登记列表页面</w:t>
      </w:r>
    </w:p>
    <w:p>
      <w:pPr>
        <w:pStyle w:val="91"/>
      </w:pPr>
    </w:p>
    <w:p>
      <w:pPr>
        <w:pStyle w:val="50"/>
      </w:pPr>
      <w:bookmarkStart w:id="108" w:name="_Toc60157471"/>
      <w:r>
        <w:rPr>
          <w:rFonts w:hint="eastAsia"/>
        </w:rPr>
        <w:t>删除</w:t>
      </w:r>
      <w:bookmarkEnd w:id="108"/>
    </w:p>
    <w:p>
      <w:pPr>
        <w:pStyle w:val="91"/>
      </w:pPr>
      <w:r>
        <w:rPr>
          <w:rFonts w:hint="eastAsia"/>
        </w:rPr>
        <w:t>点击选中需删除的“未上报”的自评信息之后，点击“删除”按钮。删除成功后，系统会提示“删除成功！”</w:t>
      </w:r>
    </w:p>
    <w:p>
      <w:pPr>
        <w:jc w:val="center"/>
      </w:pPr>
      <w:r>
        <w:drawing>
          <wp:inline distT="0" distB="0" distL="0" distR="0">
            <wp:extent cx="5274310" cy="2874645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自评信息登记列表页面</w:t>
      </w:r>
    </w:p>
    <w:p>
      <w:pPr>
        <w:pStyle w:val="91"/>
      </w:pPr>
    </w:p>
    <w:p>
      <w:pPr>
        <w:pStyle w:val="50"/>
      </w:pPr>
      <w:bookmarkStart w:id="109" w:name="_Toc60157472"/>
      <w:r>
        <w:rPr>
          <w:rFonts w:hint="eastAsia"/>
        </w:rPr>
        <w:t>查看</w:t>
      </w:r>
      <w:bookmarkEnd w:id="109"/>
    </w:p>
    <w:p>
      <w:pPr>
        <w:pStyle w:val="91"/>
      </w:pPr>
      <w:r>
        <w:rPr>
          <w:rFonts w:hint="eastAsia"/>
        </w:rPr>
        <w:t>点击选中需查看的自评信息之后，点击“查看”按钮，系统将弹出自评信息查看页面；也可直接双击想要查看的数据。</w:t>
      </w:r>
    </w:p>
    <w:p>
      <w:r>
        <w:drawing>
          <wp:inline distT="0" distB="0" distL="0" distR="0">
            <wp:extent cx="5274310" cy="2893060"/>
            <wp:effectExtent l="0" t="0" r="254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自评信息登记列表页面</w:t>
      </w:r>
    </w:p>
    <w:p>
      <w:pPr>
        <w:pStyle w:val="91"/>
      </w:pPr>
    </w:p>
    <w:p>
      <w:pPr>
        <w:pStyle w:val="50"/>
      </w:pPr>
      <w:bookmarkStart w:id="110" w:name="_Toc60157473"/>
      <w:r>
        <w:rPr>
          <w:rFonts w:hint="eastAsia"/>
        </w:rPr>
        <w:t>导出</w:t>
      </w:r>
      <w:bookmarkEnd w:id="110"/>
    </w:p>
    <w:p>
      <w:pPr>
        <w:pStyle w:val="91"/>
      </w:pPr>
      <w:r>
        <w:rPr>
          <w:rFonts w:hint="eastAsia"/>
        </w:rPr>
        <w:t>点击选中需导出的自评信息之后，点击“导出”按钮，系统将自动开始以WORD格式导出自评信息。当进度条变为100%后，点击下载按钮进行下载。</w:t>
      </w:r>
    </w:p>
    <w:p>
      <w:pPr>
        <w:jc w:val="center"/>
      </w:pPr>
      <w:r>
        <w:drawing>
          <wp:inline distT="0" distB="0" distL="0" distR="0">
            <wp:extent cx="5274310" cy="2893060"/>
            <wp:effectExtent l="0" t="0" r="25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导出进度提示窗口</w:t>
      </w:r>
    </w:p>
    <w:p>
      <w:pPr>
        <w:pStyle w:val="91"/>
      </w:pPr>
    </w:p>
    <w:p>
      <w:pPr>
        <w:pStyle w:val="48"/>
      </w:pPr>
      <w:bookmarkStart w:id="111" w:name="_Toc177200864"/>
      <w:bookmarkStart w:id="112" w:name="_Toc419187195"/>
      <w:bookmarkStart w:id="113" w:name="_Toc76484268"/>
      <w:bookmarkStart w:id="114" w:name="_Toc60157474"/>
      <w:r>
        <w:rPr>
          <w:rFonts w:hint="eastAsia"/>
        </w:rPr>
        <w:t>注意事项</w:t>
      </w:r>
      <w:bookmarkEnd w:id="111"/>
      <w:bookmarkEnd w:id="112"/>
      <w:bookmarkEnd w:id="113"/>
      <w:bookmarkEnd w:id="114"/>
    </w:p>
    <w:p>
      <w:pPr>
        <w:pStyle w:val="79"/>
        <w:keepNext/>
        <w:keepLines/>
        <w:numPr>
          <w:ilvl w:val="1"/>
          <w:numId w:val="11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115" w:name="_Toc91168634"/>
      <w:bookmarkEnd w:id="115"/>
      <w:bookmarkStart w:id="116" w:name="_Toc76484269"/>
      <w:bookmarkEnd w:id="116"/>
      <w:bookmarkStart w:id="117" w:name="_Toc177199652"/>
      <w:bookmarkEnd w:id="117"/>
      <w:bookmarkStart w:id="118" w:name="_Toc76562133"/>
      <w:bookmarkEnd w:id="118"/>
      <w:bookmarkStart w:id="119" w:name="_Toc177198635"/>
      <w:bookmarkEnd w:id="119"/>
      <w:bookmarkStart w:id="120" w:name="_Toc76562055"/>
      <w:bookmarkEnd w:id="120"/>
      <w:bookmarkStart w:id="121" w:name="_Toc177200865"/>
      <w:bookmarkEnd w:id="121"/>
      <w:bookmarkStart w:id="122" w:name="_Toc177198564"/>
      <w:bookmarkEnd w:id="122"/>
      <w:bookmarkStart w:id="123" w:name="_Toc177199729"/>
      <w:bookmarkEnd w:id="123"/>
      <w:bookmarkStart w:id="124" w:name="_Toc177199617"/>
      <w:bookmarkEnd w:id="124"/>
    </w:p>
    <w:p>
      <w:pPr>
        <w:pStyle w:val="85"/>
        <w:numPr>
          <w:ilvl w:val="0"/>
          <w:numId w:val="12"/>
        </w:numPr>
      </w:pPr>
      <w:r>
        <w:rPr>
          <w:rFonts w:hint="eastAsia"/>
        </w:rPr>
        <w:t>企业名称、地址(省、市、县、详细地址)字段的状态为只读，不能修改。</w:t>
      </w:r>
    </w:p>
    <w:p>
      <w:pPr>
        <w:pStyle w:val="85"/>
      </w:pPr>
      <w:r>
        <w:rPr>
          <w:rFonts w:hint="eastAsia"/>
        </w:rPr>
        <w:t>行业(专业)：没有专业的行业，必须选择行业；有专业的行业，必须选择专业。专业会根据选择的行业自动变化。</w:t>
      </w:r>
    </w:p>
    <w:p>
      <w:pPr>
        <w:pStyle w:val="85"/>
      </w:pPr>
      <w:r>
        <w:rPr>
          <w:rFonts w:hint="eastAsia"/>
        </w:rPr>
        <w:t>自评得分：必填，数值型数据，必须小于等于100并且大于等于0，小数点后最多一位。</w:t>
      </w:r>
    </w:p>
    <w:p>
      <w:pPr>
        <w:pStyle w:val="85"/>
      </w:pPr>
      <w:r>
        <w:rPr>
          <w:rFonts w:hint="eastAsia"/>
        </w:rPr>
        <w:t>自评等级：必须选择。</w:t>
      </w:r>
    </w:p>
    <w:p>
      <w:pPr>
        <w:pStyle w:val="85"/>
      </w:pPr>
      <w:r>
        <w:rPr>
          <w:rFonts w:hint="eastAsia"/>
        </w:rPr>
        <w:t>自评日期：必填，必须小于等于系统当前日期。</w:t>
      </w:r>
    </w:p>
    <w:p>
      <w:pPr>
        <w:pStyle w:val="85"/>
      </w:pPr>
      <w:r>
        <w:rPr>
          <w:rFonts w:hint="eastAsia"/>
        </w:rPr>
        <w:t>是否在企业内部公示：必须选择。</w:t>
      </w:r>
    </w:p>
    <w:p>
      <w:pPr>
        <w:pStyle w:val="85"/>
      </w:pPr>
      <w:r>
        <w:rPr>
          <w:rFonts w:hint="eastAsia"/>
        </w:rPr>
        <w:t>固定资产：大于0的数值型数据，最长20位，小数点后最多一位。</w:t>
      </w:r>
    </w:p>
    <w:p>
      <w:pPr>
        <w:pStyle w:val="85"/>
      </w:pPr>
      <w:r>
        <w:rPr>
          <w:rFonts w:hint="eastAsia"/>
        </w:rPr>
        <w:t>主营业务收入：大于0的数值型数据，最长20位，小数点后最多一位。</w:t>
      </w:r>
    </w:p>
    <w:p>
      <w:pPr>
        <w:pStyle w:val="85"/>
      </w:pPr>
      <w:r>
        <w:rPr>
          <w:rFonts w:hint="eastAsia"/>
        </w:rPr>
        <w:t>倒班情况：必须选择。</w:t>
      </w:r>
    </w:p>
    <w:p>
      <w:pPr>
        <w:pStyle w:val="85"/>
      </w:pPr>
      <w:r>
        <w:rPr>
          <w:rFonts w:hint="eastAsia"/>
        </w:rPr>
        <w:t>倒班人数及方式：倒班情况为有，倒班人数及方式必须填写，最长不能超过100个汉字或者字符；倒班情况为无，倒班人数及方式必须为空。</w:t>
      </w:r>
    </w:p>
    <w:p>
      <w:pPr>
        <w:pStyle w:val="85"/>
      </w:pPr>
      <w:r>
        <w:rPr>
          <w:rFonts w:hint="eastAsia"/>
        </w:rPr>
        <w:t>联系人：必填，50位字符之内。</w:t>
      </w:r>
    </w:p>
    <w:p>
      <w:pPr>
        <w:pStyle w:val="85"/>
      </w:pPr>
      <w:r>
        <w:rPr>
          <w:rFonts w:hint="eastAsia"/>
        </w:rPr>
        <w:t>电话：必填，25位字符之内。</w:t>
      </w:r>
    </w:p>
    <w:p>
      <w:pPr>
        <w:pStyle w:val="85"/>
      </w:pPr>
      <w:r>
        <w:rPr>
          <w:rFonts w:hint="eastAsia"/>
        </w:rPr>
        <w:t>传真：25位字符之内。</w:t>
      </w:r>
    </w:p>
    <w:p>
      <w:pPr>
        <w:pStyle w:val="85"/>
      </w:pPr>
      <w:r>
        <w:rPr>
          <w:rFonts w:hint="eastAsia"/>
        </w:rPr>
        <w:t>手机：11位数字。</w:t>
      </w:r>
    </w:p>
    <w:p>
      <w:pPr>
        <w:pStyle w:val="85"/>
      </w:pPr>
      <w:r>
        <w:rPr>
          <w:rFonts w:hint="eastAsia"/>
        </w:rPr>
        <w:t>电子邮箱：30位字符之内，请按固定格式填写XXX@XXX.COM</w:t>
      </w:r>
    </w:p>
    <w:p>
      <w:pPr>
        <w:pStyle w:val="85"/>
      </w:pPr>
      <w:r>
        <w:rPr>
          <w:rFonts w:hint="eastAsia"/>
        </w:rPr>
        <w:t>本次自评前本行业(或专业)曾经取得的标准化等级：必填，最长不能超过10个汉字或者字符。</w:t>
      </w:r>
    </w:p>
    <w:p>
      <w:pPr>
        <w:pStyle w:val="85"/>
      </w:pPr>
      <w:r>
        <w:rPr>
          <w:rFonts w:hint="eastAsia"/>
        </w:rPr>
        <w:t>“如果企业是某企业集团的成员单位，请注明企业集团名称”：必填，最长不能超过100个汉字或者字符。</w:t>
      </w:r>
    </w:p>
    <w:p>
      <w:pPr>
        <w:pStyle w:val="85"/>
      </w:pPr>
      <w:r>
        <w:rPr>
          <w:rFonts w:hint="eastAsia"/>
        </w:rPr>
        <w:t>“如果已取得职业健康安全管理体系认证证书，请注明证书名称和发证机构”：必填，最长不能超过200个汉字或者字符。</w:t>
      </w:r>
    </w:p>
    <w:p>
      <w:pPr>
        <w:pStyle w:val="85"/>
      </w:pPr>
      <w:r>
        <w:rPr>
          <w:rFonts w:hint="eastAsia"/>
        </w:rPr>
        <w:t>自评小组主要成员：组长必填，成员最少一位，最多9位。姓名和 “所在部门 职务/职称”、电话必填，姓名必须在50位字符之内，“所在部门 职务/职称”必须在100个汉字或者字符之内，电话必须在25个字符之内，备注不能查过50个汉字。</w:t>
      </w:r>
    </w:p>
    <w:p>
      <w:pPr>
        <w:pStyle w:val="85"/>
      </w:pPr>
      <w:r>
        <w:rPr>
          <w:rFonts w:hint="eastAsia"/>
        </w:rPr>
        <w:t>企业自评总结：最长不能超过1000个汉字，如果自评总结较大，以文件形式上传。</w:t>
      </w:r>
    </w:p>
    <w:p>
      <w:pPr>
        <w:pStyle w:val="85"/>
      </w:pPr>
      <w:r>
        <w:rPr>
          <w:rFonts w:hint="eastAsia"/>
        </w:rPr>
        <w:t>企业自评结论：必选，合格或者不合格</w:t>
      </w:r>
    </w:p>
    <w:p>
      <w:pPr>
        <w:pStyle w:val="85"/>
      </w:pPr>
      <w:r>
        <w:rPr>
          <w:rFonts w:hint="eastAsia"/>
        </w:rPr>
        <w:t>企业自评总结报告：上传文件格式为PDF、DOC、DOCX、RAR、ZIP，不能超过2m。</w:t>
      </w:r>
    </w:p>
    <w:p>
      <w:pPr>
        <w:pStyle w:val="85"/>
      </w:pPr>
      <w:r>
        <w:rPr>
          <w:rFonts w:hint="eastAsia"/>
        </w:rPr>
        <w:t>自评扣分项目汇总表：必须上传，上传文件格式为XLS、XLSX，不能超过2m。</w:t>
      </w:r>
    </w:p>
    <w:p>
      <w:pPr>
        <w:pStyle w:val="85"/>
      </w:pPr>
      <w:r>
        <w:rPr>
          <w:rFonts w:hint="eastAsia"/>
        </w:rPr>
        <w:t>可以对自评小组成员进行增行和删行操作，组长必须有，      成员至少一位，最多9位。</w:t>
      </w:r>
    </w:p>
    <w:p>
      <w:pPr>
        <w:pStyle w:val="46"/>
      </w:pPr>
      <w:bookmarkStart w:id="125" w:name="_Toc177200866"/>
      <w:r>
        <w:rPr>
          <w:rFonts w:hint="eastAsia"/>
        </w:rPr>
        <w:t>【企业】定级申请</w:t>
      </w:r>
      <w:bookmarkEnd w:id="125"/>
    </w:p>
    <w:p>
      <w:pPr>
        <w:pStyle w:val="91"/>
      </w:pPr>
      <w:r>
        <w:rPr>
          <w:rFonts w:hint="eastAsia"/>
        </w:rPr>
        <w:t>点击“安全生产标准化管理”-“定级申请”，进入定级申请页面。</w:t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drawing>
          <wp:inline distT="0" distB="0" distL="0" distR="0">
            <wp:extent cx="5274310" cy="2092960"/>
            <wp:effectExtent l="0" t="0" r="254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  <w:rPr>
          <w:rFonts w:ascii="Times New Roman" w:hAnsi="Times New Roman" w:cs="Times New Roman"/>
        </w:rPr>
      </w:pPr>
      <w:r>
        <w:rPr>
          <w:rFonts w:hint="eastAsia"/>
        </w:rPr>
        <w:t>定级申请列表页面</w:t>
      </w:r>
    </w:p>
    <w:p>
      <w:pPr>
        <w:pStyle w:val="91"/>
      </w:pPr>
    </w:p>
    <w:p>
      <w:pPr>
        <w:pStyle w:val="48"/>
      </w:pPr>
      <w:bookmarkStart w:id="126" w:name="_Toc60157476"/>
      <w:bookmarkStart w:id="127" w:name="_Toc177200867"/>
      <w:bookmarkStart w:id="128" w:name="_Toc76484271"/>
      <w:r>
        <w:rPr>
          <w:rFonts w:hint="eastAsia"/>
        </w:rPr>
        <w:t>操作方法</w:t>
      </w:r>
      <w:bookmarkEnd w:id="126"/>
      <w:bookmarkEnd w:id="127"/>
      <w:bookmarkEnd w:id="128"/>
    </w:p>
    <w:p>
      <w:pPr>
        <w:pStyle w:val="79"/>
        <w:keepNext/>
        <w:keepLines/>
        <w:numPr>
          <w:ilvl w:val="1"/>
          <w:numId w:val="10"/>
        </w:numPr>
        <w:spacing w:before="280" w:after="290" w:line="374" w:lineRule="auto"/>
        <w:ind w:firstLineChars="0"/>
        <w:outlineLvl w:val="3"/>
        <w:rPr>
          <w:rFonts w:ascii="Arial" w:hAnsi="Arial"/>
          <w:b/>
          <w:bCs/>
          <w:vanish/>
          <w:sz w:val="28"/>
          <w:szCs w:val="28"/>
        </w:rPr>
      </w:pPr>
      <w:bookmarkStart w:id="129" w:name="_Toc60157477"/>
    </w:p>
    <w:p>
      <w:pPr>
        <w:pStyle w:val="79"/>
        <w:keepNext/>
        <w:keepLines/>
        <w:numPr>
          <w:ilvl w:val="2"/>
          <w:numId w:val="10"/>
        </w:numPr>
        <w:spacing w:before="280" w:after="290" w:line="374" w:lineRule="auto"/>
        <w:ind w:firstLineChars="0"/>
        <w:outlineLvl w:val="3"/>
        <w:rPr>
          <w:rFonts w:ascii="Arial" w:hAnsi="Arial"/>
          <w:b/>
          <w:bCs/>
          <w:vanish/>
          <w:sz w:val="28"/>
          <w:szCs w:val="28"/>
        </w:rPr>
      </w:pPr>
    </w:p>
    <w:p>
      <w:pPr>
        <w:pStyle w:val="50"/>
        <w:rPr>
          <w:rFonts w:ascii="Arial" w:hAnsi="Arial"/>
          <w:sz w:val="28"/>
          <w:szCs w:val="28"/>
        </w:rPr>
      </w:pPr>
      <w:r>
        <w:rPr>
          <w:rFonts w:hint="eastAsia"/>
        </w:rPr>
        <w:t>新增</w:t>
      </w:r>
      <w:bookmarkEnd w:id="129"/>
    </w:p>
    <w:p>
      <w:pPr>
        <w:pStyle w:val="91"/>
      </w:pPr>
      <w:r>
        <w:rPr>
          <w:rFonts w:hint="eastAsia"/>
        </w:rPr>
        <w:t>点击“新增”按钮，输入定级申请信息。如果信息还需要继续修改，可以先“暂存”按钮，如果信息已经填写完整无须修改可以点击“提交”按钮。提交成功后，申请将进入评审流程。</w:t>
      </w:r>
    </w:p>
    <w:p>
      <w:pPr>
        <w:pStyle w:val="91"/>
      </w:pPr>
      <w:bookmarkStart w:id="130" w:name="_Hlk87533063"/>
      <w:r>
        <w:rPr>
          <w:rFonts w:hint="eastAsia"/>
        </w:rPr>
        <w:t>同行业同专业不同等级，每个等级只能进行一次定级申请</w:t>
      </w:r>
      <w:bookmarkEnd w:id="130"/>
      <w:r>
        <w:rPr>
          <w:rFonts w:hint="eastAsia"/>
        </w:rPr>
        <w:t>。</w:t>
      </w:r>
    </w:p>
    <w:p>
      <w:pPr>
        <w:jc w:val="center"/>
      </w:pPr>
      <w:r>
        <w:drawing>
          <wp:inline distT="0" distB="0" distL="0" distR="0">
            <wp:extent cx="5274310" cy="271081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新增定级申请页面</w:t>
      </w:r>
    </w:p>
    <w:p>
      <w:pPr>
        <w:pStyle w:val="91"/>
      </w:pPr>
    </w:p>
    <w:p>
      <w:pPr>
        <w:pStyle w:val="50"/>
      </w:pPr>
      <w:bookmarkStart w:id="131" w:name="_Toc60157478"/>
      <w:r>
        <w:rPr>
          <w:rFonts w:hint="eastAsia"/>
        </w:rPr>
        <w:t>修改</w:t>
      </w:r>
      <w:bookmarkEnd w:id="131"/>
    </w:p>
    <w:p>
      <w:pPr>
        <w:pStyle w:val="91"/>
      </w:pPr>
      <w:r>
        <w:rPr>
          <w:rFonts w:hint="eastAsia"/>
        </w:rPr>
        <w:t>点击选中需修改的“未提交申请”或“退回补正材料”的定级申请信息之后，点击“修改”按钮，系统将弹出修改定级申请页面。修改信息后，如果信息还需要继续修改，可以先点击“暂存”按钮，如果信息已经填写完整无须修改，可以点击“提交”按钮。提交成功后，申请将进入评审流程。</w:t>
      </w:r>
    </w:p>
    <w:p>
      <w:pPr>
        <w:jc w:val="center"/>
      </w:pPr>
      <w:r>
        <w:drawing>
          <wp:inline distT="0" distB="0" distL="0" distR="0">
            <wp:extent cx="5274310" cy="202311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定级申请列表页面</w:t>
      </w:r>
    </w:p>
    <w:p>
      <w:pPr>
        <w:pStyle w:val="91"/>
      </w:pPr>
    </w:p>
    <w:p>
      <w:pPr>
        <w:pStyle w:val="50"/>
      </w:pPr>
      <w:bookmarkStart w:id="132" w:name="_Toc60157479"/>
      <w:r>
        <w:rPr>
          <w:rFonts w:hint="eastAsia"/>
        </w:rPr>
        <w:t>删除</w:t>
      </w:r>
      <w:bookmarkEnd w:id="132"/>
    </w:p>
    <w:p>
      <w:pPr>
        <w:pStyle w:val="91"/>
      </w:pPr>
      <w:r>
        <w:rPr>
          <w:rFonts w:hint="eastAsia"/>
        </w:rPr>
        <w:t>点击选中需删除的“未提交申请”或“退回补正材料”定级申请信息之后，点击“删除”按钮。删除成功后，系统将提示“删除成功！”。</w:t>
      </w:r>
    </w:p>
    <w:p>
      <w:pPr>
        <w:jc w:val="center"/>
      </w:pPr>
      <w:r>
        <w:drawing>
          <wp:inline distT="0" distB="0" distL="0" distR="0">
            <wp:extent cx="5274310" cy="2011045"/>
            <wp:effectExtent l="0" t="0" r="254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定级申请列表页面</w:t>
      </w:r>
    </w:p>
    <w:p>
      <w:pPr>
        <w:pStyle w:val="91"/>
      </w:pPr>
    </w:p>
    <w:p>
      <w:pPr>
        <w:pStyle w:val="50"/>
      </w:pPr>
      <w:r>
        <w:rPr>
          <w:rFonts w:hint="eastAsia"/>
        </w:rPr>
        <w:t>撤回</w:t>
      </w:r>
    </w:p>
    <w:p>
      <w:pPr>
        <w:pStyle w:val="91"/>
      </w:pPr>
      <w:r>
        <w:rPr>
          <w:rFonts w:hint="eastAsia"/>
        </w:rPr>
        <w:t>点击选中需要撤回的“已提交申请，待受理”且未被签收的定级申请信息之后，点击“撤回申请”按钮。确认后即可完成撤回申请操作。撤回后的申请状态变更为“未提交申请”。</w:t>
      </w:r>
    </w:p>
    <w:p>
      <w:pPr>
        <w:pStyle w:val="67"/>
        <w:spacing w:before="156"/>
      </w:pPr>
      <w:r>
        <w:drawing>
          <wp:inline distT="0" distB="0" distL="0" distR="0">
            <wp:extent cx="5274310" cy="220599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定级申请列表页面</w:t>
      </w:r>
    </w:p>
    <w:p>
      <w:pPr>
        <w:pStyle w:val="91"/>
      </w:pPr>
    </w:p>
    <w:p>
      <w:pPr>
        <w:pStyle w:val="50"/>
      </w:pPr>
      <w:bookmarkStart w:id="133" w:name="_Toc60157480"/>
      <w:r>
        <w:rPr>
          <w:rFonts w:hint="eastAsia"/>
        </w:rPr>
        <w:t>查看</w:t>
      </w:r>
      <w:bookmarkEnd w:id="133"/>
    </w:p>
    <w:p>
      <w:pPr>
        <w:pStyle w:val="91"/>
      </w:pPr>
      <w:r>
        <w:rPr>
          <w:rFonts w:hint="eastAsia"/>
        </w:rPr>
        <w:t>点击选中需查看的定级申请信息之后，点击“查看”按钮，系统将弹出查看定级申请信息页面。</w:t>
      </w:r>
    </w:p>
    <w:p>
      <w:pPr>
        <w:jc w:val="center"/>
      </w:pPr>
      <w:r>
        <w:drawing>
          <wp:inline distT="0" distB="0" distL="0" distR="0">
            <wp:extent cx="5274310" cy="196024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定级申请列表页面</w:t>
      </w:r>
    </w:p>
    <w:p>
      <w:pPr>
        <w:pStyle w:val="91"/>
      </w:pPr>
    </w:p>
    <w:p>
      <w:pPr>
        <w:pStyle w:val="50"/>
      </w:pPr>
      <w:bookmarkStart w:id="134" w:name="_Toc60157481"/>
      <w:r>
        <w:rPr>
          <w:rFonts w:hint="eastAsia"/>
        </w:rPr>
        <w:t>办理过程</w:t>
      </w:r>
      <w:bookmarkEnd w:id="134"/>
    </w:p>
    <w:p>
      <w:pPr>
        <w:pStyle w:val="91"/>
      </w:pPr>
      <w:r>
        <w:rPr>
          <w:rFonts w:hint="eastAsia"/>
        </w:rPr>
        <w:t>点击选中需查看申请办理过程的定级申请信息之后，点击“办理过程”按钮，系统将弹出查看办理过程页面。</w:t>
      </w:r>
    </w:p>
    <w:p>
      <w:pPr>
        <w:pStyle w:val="67"/>
        <w:spacing w:before="156"/>
      </w:pPr>
      <w:r>
        <w:drawing>
          <wp:inline distT="0" distB="0" distL="0" distR="0">
            <wp:extent cx="5274310" cy="1878330"/>
            <wp:effectExtent l="0" t="0" r="254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定级申请列表页面</w:t>
      </w:r>
    </w:p>
    <w:p>
      <w:pPr>
        <w:pStyle w:val="91"/>
      </w:pPr>
    </w:p>
    <w:p>
      <w:pPr>
        <w:pStyle w:val="87"/>
      </w:pPr>
      <w:r>
        <w:drawing>
          <wp:inline distT="0" distB="0" distL="0" distR="0">
            <wp:extent cx="5274310" cy="316801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办理过程查看窗口</w:t>
      </w:r>
    </w:p>
    <w:p>
      <w:pPr>
        <w:pStyle w:val="91"/>
      </w:pPr>
    </w:p>
    <w:p>
      <w:pPr>
        <w:pStyle w:val="48"/>
      </w:pPr>
      <w:bookmarkStart w:id="135" w:name="_Toc419187197"/>
      <w:bookmarkStart w:id="136" w:name="_Toc76484272"/>
      <w:bookmarkStart w:id="137" w:name="_Toc177200868"/>
      <w:bookmarkStart w:id="138" w:name="_Toc60157482"/>
      <w:r>
        <w:rPr>
          <w:rFonts w:hint="eastAsia"/>
        </w:rPr>
        <w:t>注意事项</w:t>
      </w:r>
      <w:bookmarkEnd w:id="135"/>
      <w:bookmarkEnd w:id="136"/>
      <w:bookmarkEnd w:id="137"/>
      <w:bookmarkEnd w:id="138"/>
    </w:p>
    <w:p>
      <w:pPr>
        <w:pStyle w:val="85"/>
        <w:numPr>
          <w:ilvl w:val="0"/>
          <w:numId w:val="13"/>
        </w:numPr>
      </w:pPr>
      <w:r>
        <w:rPr>
          <w:rFonts w:hint="eastAsia"/>
        </w:rPr>
        <w:t>行业/专业、申请等级、申请类型变更之后，附件需重新上传。</w:t>
      </w:r>
    </w:p>
    <w:p>
      <w:pPr>
        <w:pStyle w:val="85"/>
      </w:pPr>
      <w:r>
        <w:rPr>
          <w:rFonts w:hint="eastAsia"/>
        </w:rPr>
        <w:t>同一家企业，如果存在申请流程没有结束的申请信息，那么不能再次申请同行业专业的定级申请。</w:t>
      </w:r>
    </w:p>
    <w:p>
      <w:pPr>
        <w:pStyle w:val="91"/>
      </w:pPr>
    </w:p>
    <w:p>
      <w:pPr>
        <w:pStyle w:val="46"/>
      </w:pPr>
      <w:bookmarkStart w:id="139" w:name="_Toc177200869"/>
      <w:bookmarkStart w:id="140" w:name="_Toc60157484"/>
      <w:bookmarkStart w:id="141" w:name="_Toc76484274"/>
      <w:r>
        <w:rPr>
          <w:rFonts w:hint="eastAsia"/>
        </w:rPr>
        <w:t>【企业】企业整改反馈</w:t>
      </w:r>
      <w:bookmarkEnd w:id="139"/>
    </w:p>
    <w:p>
      <w:pPr>
        <w:pStyle w:val="48"/>
        <w:rPr>
          <w:sz w:val="28"/>
          <w:szCs w:val="28"/>
        </w:rPr>
      </w:pPr>
      <w:bookmarkStart w:id="142" w:name="_Toc177200870"/>
      <w:r>
        <w:rPr>
          <w:rFonts w:hint="eastAsia"/>
          <w:sz w:val="28"/>
          <w:szCs w:val="28"/>
        </w:rPr>
        <w:t>操作方法</w:t>
      </w:r>
      <w:bookmarkEnd w:id="142"/>
    </w:p>
    <w:p>
      <w:pPr>
        <w:pStyle w:val="48"/>
        <w:numPr>
          <w:ilvl w:val="2"/>
          <w:numId w:val="0"/>
        </w:numPr>
        <w:outlineLvl w:val="3"/>
      </w:pPr>
      <w:bookmarkStart w:id="143" w:name="_Toc177200871"/>
      <w:r>
        <w:rPr>
          <w:rFonts w:hint="eastAsia"/>
        </w:rPr>
        <w:t>2.9.1.1.上传整改报告</w:t>
      </w:r>
      <w:bookmarkEnd w:id="143"/>
    </w:p>
    <w:p>
      <w:pPr>
        <w:pStyle w:val="91"/>
        <w:ind w:firstLine="0" w:firstLineChars="0"/>
      </w:pPr>
      <w:r>
        <w:rPr>
          <w:rFonts w:hint="eastAsia"/>
        </w:rPr>
        <w:t>进入办理定级申请页面，点击“定级申请”，如下图。</w:t>
      </w:r>
    </w:p>
    <w:p>
      <w:pPr>
        <w:pStyle w:val="91"/>
        <w:ind w:firstLine="0" w:firstLineChars="0"/>
      </w:pPr>
      <w:r>
        <w:drawing>
          <wp:inline distT="0" distB="0" distL="114300" distR="114300">
            <wp:extent cx="5269865" cy="2094230"/>
            <wp:effectExtent l="0" t="0" r="3175" b="8890"/>
            <wp:docPr id="5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定级申请页面</w:t>
      </w:r>
    </w:p>
    <w:p>
      <w:pPr>
        <w:pStyle w:val="91"/>
      </w:pPr>
      <w:r>
        <w:rPr>
          <w:rFonts w:hint="eastAsia"/>
        </w:rPr>
        <w:t>选中需要处理的数据后，点击“上传整改报告”跳出操作页面，如下图。</w:t>
      </w:r>
      <w:r>
        <w:drawing>
          <wp:inline distT="0" distB="0" distL="114300" distR="114300">
            <wp:extent cx="5265420" cy="2094865"/>
            <wp:effectExtent l="0" t="0" r="7620" b="8255"/>
            <wp:docPr id="5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1"/>
        <w:ind w:firstLine="280" w:firstLineChars="100"/>
      </w:pPr>
      <w:r>
        <w:rPr>
          <w:rFonts w:hint="eastAsia"/>
        </w:rPr>
        <w:t>业务人员可进行的操作及结果描述如下表。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5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715" w:type="dxa"/>
            <w:noWrap/>
          </w:tcPr>
          <w:p>
            <w:pPr>
              <w:pStyle w:val="91"/>
              <w:ind w:firstLine="0" w:firstLineChars="0"/>
              <w:jc w:val="center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操作类型</w:t>
            </w:r>
          </w:p>
        </w:tc>
        <w:tc>
          <w:tcPr>
            <w:tcW w:w="5581" w:type="dxa"/>
            <w:noWrap/>
          </w:tcPr>
          <w:p>
            <w:pPr>
              <w:pStyle w:val="91"/>
              <w:ind w:firstLine="0" w:firstLineChars="0"/>
              <w:jc w:val="center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结果描述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15" w:type="dxa"/>
            <w:noWrap/>
            <w:vAlign w:val="center"/>
          </w:tcPr>
          <w:p>
            <w:pPr>
              <w:pStyle w:val="91"/>
              <w:ind w:firstLine="0" w:firstLineChars="0"/>
              <w:jc w:val="both"/>
              <w:rPr>
                <w:kern w:val="0"/>
              </w:rPr>
            </w:pPr>
            <w:r>
              <w:rPr>
                <w:rFonts w:hint="eastAsia"/>
                <w:kern w:val="0"/>
              </w:rPr>
              <w:t>提交</w:t>
            </w:r>
          </w:p>
        </w:tc>
        <w:tc>
          <w:tcPr>
            <w:tcW w:w="5581" w:type="dxa"/>
            <w:noWrap/>
            <w:vAlign w:val="center"/>
          </w:tcPr>
          <w:p>
            <w:pPr>
              <w:pStyle w:val="91"/>
              <w:ind w:firstLine="0" w:firstLineChars="0"/>
              <w:jc w:val="both"/>
              <w:rPr>
                <w:kern w:val="0"/>
              </w:rPr>
            </w:pPr>
            <w:r>
              <w:rPr>
                <w:rFonts w:hint="eastAsia"/>
              </w:rPr>
              <w:t>提交后推送至评审单位进行评审是否整改通过</w:t>
            </w:r>
          </w:p>
        </w:tc>
      </w:tr>
    </w:tbl>
    <w:p>
      <w:pPr>
        <w:pStyle w:val="91"/>
        <w:ind w:firstLine="0" w:firstLineChars="0"/>
        <w:rPr>
          <w:b/>
          <w:bCs/>
          <w:sz w:val="24"/>
          <w:szCs w:val="24"/>
        </w:rPr>
      </w:pPr>
    </w:p>
    <w:p>
      <w:pPr>
        <w:pStyle w:val="91"/>
        <w:ind w:firstLine="0" w:firstLineChars="0"/>
        <w:outlineLvl w:val="2"/>
        <w:rPr>
          <w:b/>
          <w:bCs/>
        </w:rPr>
      </w:pPr>
      <w:bookmarkStart w:id="144" w:name="_Toc177200872"/>
      <w:r>
        <w:rPr>
          <w:rFonts w:hint="eastAsia"/>
          <w:b/>
          <w:bCs/>
        </w:rPr>
        <w:t>2.9.2.注意事项</w:t>
      </w:r>
      <w:bookmarkEnd w:id="144"/>
    </w:p>
    <w:p>
      <w:pPr>
        <w:pStyle w:val="85"/>
        <w:numPr>
          <w:ilvl w:val="0"/>
          <w:numId w:val="0"/>
        </w:numPr>
        <w:ind w:left="21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（1）上传整改报告的时候，标红色的框框是必须填写的，不填写提交不了。</w:t>
      </w:r>
    </w:p>
    <w:p>
      <w:pPr>
        <w:pStyle w:val="55"/>
      </w:pPr>
      <w:bookmarkStart w:id="145" w:name="_Toc177200873"/>
      <w:r>
        <w:rPr>
          <w:rFonts w:hint="eastAsia"/>
        </w:rPr>
        <w:t>系统维护</w:t>
      </w:r>
      <w:bookmarkEnd w:id="140"/>
      <w:bookmarkEnd w:id="141"/>
      <w:bookmarkEnd w:id="145"/>
    </w:p>
    <w:p>
      <w:pPr>
        <w:pStyle w:val="79"/>
        <w:keepNext/>
        <w:keepLines/>
        <w:numPr>
          <w:ilvl w:val="0"/>
          <w:numId w:val="1"/>
        </w:numPr>
        <w:spacing w:before="260" w:after="260" w:line="415" w:lineRule="auto"/>
        <w:ind w:firstLineChars="0"/>
        <w:outlineLvl w:val="1"/>
        <w:rPr>
          <w:rFonts w:ascii="Arial" w:hAnsi="Arial" w:eastAsia="黑体"/>
          <w:b/>
          <w:bCs/>
          <w:vanish/>
          <w:sz w:val="32"/>
          <w:szCs w:val="32"/>
        </w:rPr>
      </w:pPr>
      <w:bookmarkStart w:id="146" w:name="_Toc177199626"/>
      <w:bookmarkEnd w:id="146"/>
      <w:bookmarkStart w:id="147" w:name="_Toc177199661"/>
      <w:bookmarkEnd w:id="147"/>
      <w:bookmarkStart w:id="148" w:name="_Toc76484275"/>
      <w:bookmarkEnd w:id="148"/>
      <w:bookmarkStart w:id="149" w:name="_Toc177199738"/>
      <w:bookmarkEnd w:id="149"/>
      <w:bookmarkStart w:id="150" w:name="_Toc177198681"/>
      <w:bookmarkEnd w:id="150"/>
      <w:bookmarkStart w:id="151" w:name="_Toc76562062"/>
      <w:bookmarkEnd w:id="151"/>
      <w:bookmarkStart w:id="152" w:name="_Toc76562140"/>
      <w:bookmarkEnd w:id="152"/>
      <w:bookmarkStart w:id="153" w:name="_Toc91168641"/>
      <w:bookmarkEnd w:id="153"/>
      <w:bookmarkStart w:id="154" w:name="_Toc177200874"/>
      <w:bookmarkEnd w:id="154"/>
      <w:bookmarkStart w:id="155" w:name="_Toc177198610"/>
      <w:bookmarkEnd w:id="155"/>
      <w:bookmarkStart w:id="156" w:name="_Toc410850247"/>
      <w:bookmarkStart w:id="157" w:name="_Toc419187183"/>
      <w:bookmarkStart w:id="158" w:name="_Toc60157485"/>
    </w:p>
    <w:p>
      <w:pPr>
        <w:pStyle w:val="46"/>
        <w:rPr>
          <w:rFonts w:ascii="Arial" w:hAnsi="Arial" w:eastAsia="黑体"/>
          <w:szCs w:val="32"/>
        </w:rPr>
      </w:pPr>
      <w:bookmarkStart w:id="159" w:name="_Toc177200875"/>
      <w:bookmarkStart w:id="160" w:name="_Toc76484276"/>
      <w:r>
        <w:rPr>
          <w:rFonts w:hint="eastAsia"/>
        </w:rPr>
        <w:t>企业基本信息维护</w:t>
      </w:r>
      <w:bookmarkEnd w:id="156"/>
      <w:bookmarkEnd w:id="157"/>
      <w:bookmarkEnd w:id="158"/>
      <w:bookmarkEnd w:id="159"/>
      <w:bookmarkEnd w:id="160"/>
    </w:p>
    <w:p>
      <w:pPr>
        <w:pStyle w:val="91"/>
      </w:pPr>
      <w:r>
        <w:rPr>
          <w:rFonts w:hint="eastAsia"/>
        </w:rPr>
        <w:t>点击“系统维护”-“企业基本信息维护”，进入企业基本信息维护页面。</w:t>
      </w:r>
    </w:p>
    <w:p>
      <w:pPr>
        <w:pStyle w:val="87"/>
      </w:pPr>
      <w:r>
        <w:drawing>
          <wp:inline distT="0" distB="0" distL="0" distR="0">
            <wp:extent cx="5274310" cy="32150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</w:pPr>
      <w:r>
        <w:rPr>
          <w:rFonts w:hint="eastAsia"/>
        </w:rPr>
        <w:t>企业基本信息维护页面</w:t>
      </w:r>
    </w:p>
    <w:p>
      <w:pPr>
        <w:pStyle w:val="91"/>
      </w:pPr>
    </w:p>
    <w:p>
      <w:pPr>
        <w:pStyle w:val="79"/>
        <w:keepNext/>
        <w:keepLines/>
        <w:numPr>
          <w:ilvl w:val="0"/>
          <w:numId w:val="8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161" w:name="_Toc177199740"/>
      <w:bookmarkEnd w:id="161"/>
      <w:bookmarkStart w:id="162" w:name="_Toc177200876"/>
      <w:bookmarkEnd w:id="162"/>
      <w:bookmarkStart w:id="163" w:name="_Toc177199628"/>
      <w:bookmarkEnd w:id="163"/>
      <w:bookmarkStart w:id="164" w:name="_Toc76562064"/>
      <w:bookmarkEnd w:id="164"/>
      <w:bookmarkStart w:id="165" w:name="_Toc91168643"/>
      <w:bookmarkEnd w:id="165"/>
      <w:bookmarkStart w:id="166" w:name="_Toc177198683"/>
      <w:bookmarkEnd w:id="166"/>
      <w:bookmarkStart w:id="167" w:name="_Toc177199663"/>
      <w:bookmarkEnd w:id="167"/>
      <w:bookmarkStart w:id="168" w:name="_Toc76484277"/>
      <w:bookmarkEnd w:id="168"/>
      <w:bookmarkStart w:id="169" w:name="_Toc177198612"/>
      <w:bookmarkEnd w:id="169"/>
      <w:bookmarkStart w:id="170" w:name="_Toc76562142"/>
      <w:bookmarkEnd w:id="170"/>
      <w:bookmarkStart w:id="171" w:name="_Toc60157486"/>
      <w:bookmarkStart w:id="172" w:name="_Toc419187184"/>
    </w:p>
    <w:p>
      <w:pPr>
        <w:pStyle w:val="79"/>
        <w:keepNext/>
        <w:keepLines/>
        <w:numPr>
          <w:ilvl w:val="1"/>
          <w:numId w:val="8"/>
        </w:numPr>
        <w:spacing w:before="260" w:after="260" w:line="415" w:lineRule="auto"/>
        <w:ind w:firstLineChars="0"/>
        <w:outlineLvl w:val="2"/>
        <w:rPr>
          <w:b/>
          <w:bCs/>
          <w:vanish/>
          <w:sz w:val="32"/>
          <w:szCs w:val="32"/>
        </w:rPr>
      </w:pPr>
      <w:bookmarkStart w:id="173" w:name="_Toc76562065"/>
      <w:bookmarkEnd w:id="173"/>
      <w:bookmarkStart w:id="174" w:name="_Toc91168644"/>
      <w:bookmarkEnd w:id="174"/>
      <w:bookmarkStart w:id="175" w:name="_Toc76484278"/>
      <w:bookmarkEnd w:id="175"/>
      <w:bookmarkStart w:id="176" w:name="_Toc177200877"/>
      <w:bookmarkEnd w:id="176"/>
      <w:bookmarkStart w:id="177" w:name="_Toc177198684"/>
      <w:bookmarkEnd w:id="177"/>
      <w:bookmarkStart w:id="178" w:name="_Toc177198613"/>
      <w:bookmarkEnd w:id="178"/>
      <w:bookmarkStart w:id="179" w:name="_Toc177199629"/>
      <w:bookmarkEnd w:id="179"/>
      <w:bookmarkStart w:id="180" w:name="_Toc177199664"/>
      <w:bookmarkEnd w:id="180"/>
      <w:bookmarkStart w:id="181" w:name="_Toc177199741"/>
      <w:bookmarkEnd w:id="181"/>
      <w:bookmarkStart w:id="182" w:name="_Toc76562143"/>
      <w:bookmarkEnd w:id="182"/>
    </w:p>
    <w:p>
      <w:pPr>
        <w:pStyle w:val="48"/>
        <w:rPr>
          <w:sz w:val="32"/>
          <w:szCs w:val="32"/>
        </w:rPr>
      </w:pPr>
      <w:bookmarkStart w:id="183" w:name="_Toc76484279"/>
      <w:bookmarkStart w:id="184" w:name="_Toc177200878"/>
      <w:r>
        <w:rPr>
          <w:rFonts w:hint="eastAsia"/>
        </w:rPr>
        <w:t>操作方法</w:t>
      </w:r>
      <w:bookmarkEnd w:id="171"/>
      <w:bookmarkEnd w:id="172"/>
      <w:bookmarkEnd w:id="183"/>
      <w:bookmarkEnd w:id="184"/>
    </w:p>
    <w:p>
      <w:pPr>
        <w:pStyle w:val="85"/>
        <w:numPr>
          <w:ilvl w:val="0"/>
          <w:numId w:val="14"/>
        </w:numPr>
      </w:pPr>
      <w:r>
        <w:rPr>
          <w:rFonts w:hint="eastAsia"/>
        </w:rPr>
        <w:t>在企业基本信息维护页面，点击页面下方的“修改”按钮进行信息修改。</w:t>
      </w:r>
    </w:p>
    <w:p>
      <w:pPr>
        <w:jc w:val="center"/>
        <w:rPr>
          <w:lang w:val="zh-CN"/>
        </w:rPr>
      </w:pPr>
      <w:r>
        <w:drawing>
          <wp:inline distT="0" distB="0" distL="0" distR="0">
            <wp:extent cx="5274310" cy="32092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9"/>
        <w:rPr>
          <w:lang w:val="zh-CN"/>
        </w:rPr>
      </w:pPr>
      <w:r>
        <w:rPr>
          <w:rFonts w:hint="eastAsia"/>
        </w:rPr>
        <w:t>企业基本信息修改页面</w:t>
      </w:r>
    </w:p>
    <w:p>
      <w:pPr>
        <w:pStyle w:val="91"/>
      </w:pPr>
      <w:r>
        <w:t xml:space="preserve"> </w:t>
      </w:r>
    </w:p>
    <w:p>
      <w:pPr>
        <w:pStyle w:val="85"/>
      </w:pPr>
      <w:r>
        <w:rPr>
          <w:rFonts w:hint="eastAsia"/>
        </w:rPr>
        <w:t>修改完成后，点击“保存”按钮，将修改后的企业基本信息保存至系统中。</w:t>
      </w:r>
    </w:p>
    <w:p>
      <w:pPr>
        <w:pStyle w:val="59"/>
        <w:spacing w:before="46" w:after="46"/>
        <w:ind w:firstLine="48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舒体">
    <w:altName w:val="方正仿宋简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18727802"/>
      <w:docPartObj>
        <w:docPartGallery w:val="autotext"/>
      </w:docPartObj>
    </w:sdtPr>
    <w:sdtContent>
      <w:p>
        <w:pPr>
          <w:pStyle w:val="1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jc w:val="right"/>
    </w:pPr>
    <w:r>
      <w:rPr>
        <w:rFonts w:hint="eastAsia"/>
      </w:rPr>
      <w:t>企业安全生产标准化信息管理系统用户操作手册</w:t>
    </w:r>
    <w:r>
      <w:t>-</w:t>
    </w:r>
    <w:r>
      <w:rPr>
        <w:rFonts w:hint="eastAsia"/>
      </w:rPr>
      <w:t>企业版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E7F5E"/>
    <w:multiLevelType w:val="multilevel"/>
    <w:tmpl w:val="065E7F5E"/>
    <w:lvl w:ilvl="0" w:tentative="0">
      <w:start w:val="1"/>
      <w:numFmt w:val="chineseCountingThousand"/>
      <w:pStyle w:val="45"/>
      <w:lvlText w:val="%1、"/>
      <w:lvlJc w:val="left"/>
      <w:pPr>
        <w:tabs>
          <w:tab w:val="left" w:pos="850"/>
        </w:tabs>
        <w:ind w:left="0" w:firstLine="0"/>
      </w:pPr>
      <w:rPr>
        <w:rFonts w:hint="eastAsia" w:ascii="宋体" w:eastAsia="宋体"/>
        <w:b w:val="0"/>
        <w:i w:val="0"/>
        <w:sz w:val="36"/>
        <w:szCs w:val="24"/>
      </w:rPr>
    </w:lvl>
    <w:lvl w:ilvl="1" w:tentative="0">
      <w:start w:val="1"/>
      <w:numFmt w:val="decimal"/>
      <w:lvlText w:val="%2"/>
      <w:lvlJc w:val="left"/>
      <w:pPr>
        <w:tabs>
          <w:tab w:val="left" w:pos="567"/>
        </w:tabs>
        <w:ind w:left="567" w:hanging="567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2.%3"/>
      <w:lvlJc w:val="left"/>
      <w:pPr>
        <w:tabs>
          <w:tab w:val="left" w:pos="709"/>
        </w:tabs>
        <w:ind w:left="709" w:hanging="709"/>
      </w:pPr>
      <w:rPr>
        <w:rFonts w:hint="default" w:ascii="Times New Roman" w:hAnsi="Times New Roman" w:cs="Times New Roman"/>
        <w:sz w:val="24"/>
        <w:szCs w:val="24"/>
      </w:rPr>
    </w:lvl>
    <w:lvl w:ilvl="3" w:tentative="0">
      <w:start w:val="1"/>
      <w:numFmt w:val="decimal"/>
      <w:lvlText w:val="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cs="Times New Roman"/>
        <w:sz w:val="24"/>
        <w:szCs w:val="24"/>
      </w:rPr>
    </w:lvl>
    <w:lvl w:ilvl="4" w:tentative="0">
      <w:start w:val="1"/>
      <w:numFmt w:val="decimal"/>
      <w:lvlText w:val="%2.%3.%4.%5"/>
      <w:lvlJc w:val="left"/>
      <w:pPr>
        <w:tabs>
          <w:tab w:val="left" w:pos="992"/>
        </w:tabs>
        <w:ind w:left="992" w:hanging="992"/>
      </w:pPr>
      <w:rPr>
        <w:rFonts w:hint="default" w:ascii="Times New Roman" w:hAnsi="Times New Roman" w:cs="Times New Roman"/>
        <w:sz w:val="24"/>
        <w:szCs w:val="24"/>
      </w:rPr>
    </w:lvl>
    <w:lvl w:ilvl="5" w:tentative="0">
      <w:start w:val="1"/>
      <w:numFmt w:val="decimal"/>
      <w:lvlText w:val="%2.%3.%4.%5.%6"/>
      <w:lvlJc w:val="left"/>
      <w:pPr>
        <w:tabs>
          <w:tab w:val="left" w:pos="1134"/>
        </w:tabs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2.%3.%4.%5.%6.%7"/>
      <w:lvlJc w:val="left"/>
      <w:pPr>
        <w:tabs>
          <w:tab w:val="left" w:pos="1276"/>
        </w:tabs>
        <w:ind w:left="1276" w:hanging="1276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12D40EC9"/>
    <w:multiLevelType w:val="multilevel"/>
    <w:tmpl w:val="12D40EC9"/>
    <w:lvl w:ilvl="0" w:tentative="0">
      <w:start w:val="1"/>
      <w:numFmt w:val="bullet"/>
      <w:pStyle w:val="71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DED2006"/>
    <w:multiLevelType w:val="multilevel"/>
    <w:tmpl w:val="2DED2006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413434A0"/>
    <w:multiLevelType w:val="multilevel"/>
    <w:tmpl w:val="413434A0"/>
    <w:lvl w:ilvl="0" w:tentative="0">
      <w:start w:val="1"/>
      <w:numFmt w:val="decimal"/>
      <w:pStyle w:val="55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6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8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pStyle w:val="50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pStyle w:val="52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54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>
    <w:nsid w:val="48EA04A8"/>
    <w:multiLevelType w:val="multilevel"/>
    <w:tmpl w:val="48EA04A8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5A291EA6"/>
    <w:multiLevelType w:val="multilevel"/>
    <w:tmpl w:val="5A291EA6"/>
    <w:lvl w:ilvl="0" w:tentative="0">
      <w:start w:val="1"/>
      <w:numFmt w:val="decimal"/>
      <w:pStyle w:val="85"/>
      <w:lvlText w:val="（%1）"/>
      <w:lvlJc w:val="left"/>
      <w:pPr>
        <w:ind w:left="930" w:hanging="720"/>
      </w:p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6">
    <w:nsid w:val="5F587E7A"/>
    <w:multiLevelType w:val="multilevel"/>
    <w:tmpl w:val="5F587E7A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 w:ascii="Times New Roman" w:hAnsi="Times New Roman" w:eastAsia="宋体" w:cs="Times New Roman"/>
        <w:b/>
        <w:i w:val="0"/>
        <w:sz w:val="24"/>
        <w:szCs w:val="24"/>
      </w:rPr>
    </w:lvl>
    <w:lvl w:ilvl="1" w:tentative="0">
      <w:start w:val="3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default"/>
        <w:b w:val="0"/>
        <w:i w:val="0"/>
        <w:sz w:val="30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sz w:val="28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Times New Roman" w:hAnsi="Times New Roman" w:eastAsia="方正舒体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726013AF"/>
    <w:multiLevelType w:val="multilevel"/>
    <w:tmpl w:val="726013AF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hideSpellingErrors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60E"/>
    <w:rsid w:val="00003027"/>
    <w:rsid w:val="00004FE9"/>
    <w:rsid w:val="00010459"/>
    <w:rsid w:val="00021C4F"/>
    <w:rsid w:val="00025B06"/>
    <w:rsid w:val="0002684E"/>
    <w:rsid w:val="00030C24"/>
    <w:rsid w:val="000341CF"/>
    <w:rsid w:val="00043419"/>
    <w:rsid w:val="00050DF7"/>
    <w:rsid w:val="0005480D"/>
    <w:rsid w:val="0005483E"/>
    <w:rsid w:val="0005795B"/>
    <w:rsid w:val="00060A77"/>
    <w:rsid w:val="000624D5"/>
    <w:rsid w:val="0006284C"/>
    <w:rsid w:val="000772B2"/>
    <w:rsid w:val="00082EE4"/>
    <w:rsid w:val="00083845"/>
    <w:rsid w:val="00086DAC"/>
    <w:rsid w:val="00090F19"/>
    <w:rsid w:val="000A0EBA"/>
    <w:rsid w:val="000A3336"/>
    <w:rsid w:val="000A6E41"/>
    <w:rsid w:val="000A701E"/>
    <w:rsid w:val="000B0D77"/>
    <w:rsid w:val="000B34ED"/>
    <w:rsid w:val="000B3685"/>
    <w:rsid w:val="000B5EEC"/>
    <w:rsid w:val="000C35C9"/>
    <w:rsid w:val="000C52BC"/>
    <w:rsid w:val="000D6925"/>
    <w:rsid w:val="000D6F30"/>
    <w:rsid w:val="000E0B0E"/>
    <w:rsid w:val="000E3E0A"/>
    <w:rsid w:val="000E5702"/>
    <w:rsid w:val="000E6D34"/>
    <w:rsid w:val="001017F4"/>
    <w:rsid w:val="00101FDA"/>
    <w:rsid w:val="00102A29"/>
    <w:rsid w:val="00102F51"/>
    <w:rsid w:val="00103194"/>
    <w:rsid w:val="00110305"/>
    <w:rsid w:val="0011158A"/>
    <w:rsid w:val="00111D2E"/>
    <w:rsid w:val="00116075"/>
    <w:rsid w:val="0011687A"/>
    <w:rsid w:val="00120543"/>
    <w:rsid w:val="0012222C"/>
    <w:rsid w:val="0012644A"/>
    <w:rsid w:val="00130EB4"/>
    <w:rsid w:val="00136EB0"/>
    <w:rsid w:val="00140015"/>
    <w:rsid w:val="00140A28"/>
    <w:rsid w:val="00140E60"/>
    <w:rsid w:val="001502E3"/>
    <w:rsid w:val="00153DFE"/>
    <w:rsid w:val="00154ED2"/>
    <w:rsid w:val="0016031A"/>
    <w:rsid w:val="001619AE"/>
    <w:rsid w:val="00180E42"/>
    <w:rsid w:val="0018183E"/>
    <w:rsid w:val="001831AA"/>
    <w:rsid w:val="00187008"/>
    <w:rsid w:val="0018788E"/>
    <w:rsid w:val="001900C7"/>
    <w:rsid w:val="001908BE"/>
    <w:rsid w:val="00195397"/>
    <w:rsid w:val="001A3539"/>
    <w:rsid w:val="001C3030"/>
    <w:rsid w:val="001C5433"/>
    <w:rsid w:val="001D3C98"/>
    <w:rsid w:val="001D3F3C"/>
    <w:rsid w:val="001F3214"/>
    <w:rsid w:val="00210A39"/>
    <w:rsid w:val="002116A4"/>
    <w:rsid w:val="002148DA"/>
    <w:rsid w:val="00214B86"/>
    <w:rsid w:val="00215A02"/>
    <w:rsid w:val="002222A3"/>
    <w:rsid w:val="00225D80"/>
    <w:rsid w:val="00230B1D"/>
    <w:rsid w:val="00232F8C"/>
    <w:rsid w:val="002334DD"/>
    <w:rsid w:val="00233F85"/>
    <w:rsid w:val="00236138"/>
    <w:rsid w:val="00243642"/>
    <w:rsid w:val="00246A1F"/>
    <w:rsid w:val="00250EA2"/>
    <w:rsid w:val="002534A2"/>
    <w:rsid w:val="0026076F"/>
    <w:rsid w:val="0026114C"/>
    <w:rsid w:val="00267824"/>
    <w:rsid w:val="00282AFB"/>
    <w:rsid w:val="00282D01"/>
    <w:rsid w:val="00287F58"/>
    <w:rsid w:val="00290E96"/>
    <w:rsid w:val="002A3CB8"/>
    <w:rsid w:val="002A5BBA"/>
    <w:rsid w:val="002B2E11"/>
    <w:rsid w:val="002B3463"/>
    <w:rsid w:val="002C0049"/>
    <w:rsid w:val="002C3B69"/>
    <w:rsid w:val="002C722B"/>
    <w:rsid w:val="002D4C1D"/>
    <w:rsid w:val="002E460E"/>
    <w:rsid w:val="002E4AA3"/>
    <w:rsid w:val="002E5590"/>
    <w:rsid w:val="002E5FE6"/>
    <w:rsid w:val="002E695F"/>
    <w:rsid w:val="002F1155"/>
    <w:rsid w:val="002F1846"/>
    <w:rsid w:val="002F2709"/>
    <w:rsid w:val="002F3399"/>
    <w:rsid w:val="002F702F"/>
    <w:rsid w:val="00312FFC"/>
    <w:rsid w:val="0031470C"/>
    <w:rsid w:val="00316ACA"/>
    <w:rsid w:val="003177B7"/>
    <w:rsid w:val="00317858"/>
    <w:rsid w:val="00326AD0"/>
    <w:rsid w:val="00331A25"/>
    <w:rsid w:val="00333CE7"/>
    <w:rsid w:val="00336D93"/>
    <w:rsid w:val="003410E3"/>
    <w:rsid w:val="0035551F"/>
    <w:rsid w:val="003576AC"/>
    <w:rsid w:val="00360B04"/>
    <w:rsid w:val="0037124E"/>
    <w:rsid w:val="00373981"/>
    <w:rsid w:val="00374E61"/>
    <w:rsid w:val="003761A8"/>
    <w:rsid w:val="00383B68"/>
    <w:rsid w:val="00385ECB"/>
    <w:rsid w:val="00387397"/>
    <w:rsid w:val="00392729"/>
    <w:rsid w:val="00395DD0"/>
    <w:rsid w:val="00397A31"/>
    <w:rsid w:val="003A3D92"/>
    <w:rsid w:val="003A495E"/>
    <w:rsid w:val="003B06DA"/>
    <w:rsid w:val="003C5207"/>
    <w:rsid w:val="003C61C8"/>
    <w:rsid w:val="003C736E"/>
    <w:rsid w:val="003D0650"/>
    <w:rsid w:val="003D0F06"/>
    <w:rsid w:val="003D3F8C"/>
    <w:rsid w:val="003D51ED"/>
    <w:rsid w:val="003D5889"/>
    <w:rsid w:val="003E6B44"/>
    <w:rsid w:val="003F7D96"/>
    <w:rsid w:val="004022C6"/>
    <w:rsid w:val="00403DFB"/>
    <w:rsid w:val="004108C7"/>
    <w:rsid w:val="004108E1"/>
    <w:rsid w:val="0041124E"/>
    <w:rsid w:val="00416B0E"/>
    <w:rsid w:val="004231A8"/>
    <w:rsid w:val="00424DB1"/>
    <w:rsid w:val="00425ACC"/>
    <w:rsid w:val="00432966"/>
    <w:rsid w:val="0044079F"/>
    <w:rsid w:val="0044279C"/>
    <w:rsid w:val="004464B3"/>
    <w:rsid w:val="004508F5"/>
    <w:rsid w:val="00452F64"/>
    <w:rsid w:val="004572A2"/>
    <w:rsid w:val="00457674"/>
    <w:rsid w:val="00465D55"/>
    <w:rsid w:val="00465E3E"/>
    <w:rsid w:val="00466153"/>
    <w:rsid w:val="0047475B"/>
    <w:rsid w:val="004835CA"/>
    <w:rsid w:val="004900AC"/>
    <w:rsid w:val="00495B19"/>
    <w:rsid w:val="004A317F"/>
    <w:rsid w:val="004B1DBC"/>
    <w:rsid w:val="004B6E1E"/>
    <w:rsid w:val="004C5582"/>
    <w:rsid w:val="004C6D3C"/>
    <w:rsid w:val="004D0218"/>
    <w:rsid w:val="004D0980"/>
    <w:rsid w:val="004D4AFA"/>
    <w:rsid w:val="004D4B58"/>
    <w:rsid w:val="004E13F4"/>
    <w:rsid w:val="004E60F4"/>
    <w:rsid w:val="004E66E8"/>
    <w:rsid w:val="004E778F"/>
    <w:rsid w:val="004F2670"/>
    <w:rsid w:val="005050A8"/>
    <w:rsid w:val="00510712"/>
    <w:rsid w:val="00512D95"/>
    <w:rsid w:val="0052012E"/>
    <w:rsid w:val="00520EB2"/>
    <w:rsid w:val="00521C47"/>
    <w:rsid w:val="00521C5C"/>
    <w:rsid w:val="005224A8"/>
    <w:rsid w:val="00526D19"/>
    <w:rsid w:val="00530F60"/>
    <w:rsid w:val="005310F6"/>
    <w:rsid w:val="005342BC"/>
    <w:rsid w:val="00535BC7"/>
    <w:rsid w:val="005361A0"/>
    <w:rsid w:val="00536377"/>
    <w:rsid w:val="00544E78"/>
    <w:rsid w:val="00551303"/>
    <w:rsid w:val="00552179"/>
    <w:rsid w:val="00555228"/>
    <w:rsid w:val="0056075B"/>
    <w:rsid w:val="0056497D"/>
    <w:rsid w:val="00570332"/>
    <w:rsid w:val="00575600"/>
    <w:rsid w:val="0058316F"/>
    <w:rsid w:val="00583EFD"/>
    <w:rsid w:val="00585977"/>
    <w:rsid w:val="0058759E"/>
    <w:rsid w:val="00587AAC"/>
    <w:rsid w:val="005B478B"/>
    <w:rsid w:val="005B7734"/>
    <w:rsid w:val="005C1C20"/>
    <w:rsid w:val="005D676D"/>
    <w:rsid w:val="005D7328"/>
    <w:rsid w:val="005D7CFF"/>
    <w:rsid w:val="005E310E"/>
    <w:rsid w:val="005F34AF"/>
    <w:rsid w:val="005F4C00"/>
    <w:rsid w:val="005F54C5"/>
    <w:rsid w:val="005F7A16"/>
    <w:rsid w:val="005F7EAB"/>
    <w:rsid w:val="00602289"/>
    <w:rsid w:val="00602AB7"/>
    <w:rsid w:val="006045E4"/>
    <w:rsid w:val="00607956"/>
    <w:rsid w:val="00616012"/>
    <w:rsid w:val="006218F0"/>
    <w:rsid w:val="006243A3"/>
    <w:rsid w:val="00624458"/>
    <w:rsid w:val="00625250"/>
    <w:rsid w:val="00625AC2"/>
    <w:rsid w:val="00633887"/>
    <w:rsid w:val="00641B08"/>
    <w:rsid w:val="006429ED"/>
    <w:rsid w:val="00646D07"/>
    <w:rsid w:val="00652E2D"/>
    <w:rsid w:val="0065428F"/>
    <w:rsid w:val="006613A8"/>
    <w:rsid w:val="00666BB9"/>
    <w:rsid w:val="006707C8"/>
    <w:rsid w:val="00670B55"/>
    <w:rsid w:val="0067196A"/>
    <w:rsid w:val="006758B8"/>
    <w:rsid w:val="00676350"/>
    <w:rsid w:val="00677411"/>
    <w:rsid w:val="00681681"/>
    <w:rsid w:val="00693903"/>
    <w:rsid w:val="00694A9B"/>
    <w:rsid w:val="00694C53"/>
    <w:rsid w:val="00697E87"/>
    <w:rsid w:val="006A0B0F"/>
    <w:rsid w:val="006A129A"/>
    <w:rsid w:val="006A27A2"/>
    <w:rsid w:val="006A6112"/>
    <w:rsid w:val="006B513E"/>
    <w:rsid w:val="006B64C4"/>
    <w:rsid w:val="006B74DB"/>
    <w:rsid w:val="006C0643"/>
    <w:rsid w:val="006C17BF"/>
    <w:rsid w:val="006C3DEE"/>
    <w:rsid w:val="006D1C4B"/>
    <w:rsid w:val="006D435A"/>
    <w:rsid w:val="006D702F"/>
    <w:rsid w:val="006E2849"/>
    <w:rsid w:val="006E389F"/>
    <w:rsid w:val="006E528B"/>
    <w:rsid w:val="006F3F73"/>
    <w:rsid w:val="006F4261"/>
    <w:rsid w:val="006F4289"/>
    <w:rsid w:val="006F4508"/>
    <w:rsid w:val="006F6011"/>
    <w:rsid w:val="006F63D2"/>
    <w:rsid w:val="006F676D"/>
    <w:rsid w:val="0072329C"/>
    <w:rsid w:val="007265EE"/>
    <w:rsid w:val="00737851"/>
    <w:rsid w:val="0074020C"/>
    <w:rsid w:val="0075119A"/>
    <w:rsid w:val="00752270"/>
    <w:rsid w:val="00752CCB"/>
    <w:rsid w:val="0076231E"/>
    <w:rsid w:val="0076618E"/>
    <w:rsid w:val="00767FBA"/>
    <w:rsid w:val="0077097A"/>
    <w:rsid w:val="00784AD9"/>
    <w:rsid w:val="00792A88"/>
    <w:rsid w:val="007A6D02"/>
    <w:rsid w:val="007C0DA2"/>
    <w:rsid w:val="007C44DD"/>
    <w:rsid w:val="007E0622"/>
    <w:rsid w:val="007E45AD"/>
    <w:rsid w:val="007E5A23"/>
    <w:rsid w:val="007E7107"/>
    <w:rsid w:val="007F03FD"/>
    <w:rsid w:val="007F3628"/>
    <w:rsid w:val="007F44B7"/>
    <w:rsid w:val="008043CD"/>
    <w:rsid w:val="0081301E"/>
    <w:rsid w:val="0081581E"/>
    <w:rsid w:val="00815D13"/>
    <w:rsid w:val="008167BE"/>
    <w:rsid w:val="00816E08"/>
    <w:rsid w:val="0082318A"/>
    <w:rsid w:val="008236D9"/>
    <w:rsid w:val="0082571E"/>
    <w:rsid w:val="00841C0C"/>
    <w:rsid w:val="00844C0C"/>
    <w:rsid w:val="00844F23"/>
    <w:rsid w:val="00846A6E"/>
    <w:rsid w:val="008474AF"/>
    <w:rsid w:val="00850FBA"/>
    <w:rsid w:val="00852C4A"/>
    <w:rsid w:val="0085324A"/>
    <w:rsid w:val="00856404"/>
    <w:rsid w:val="0086073C"/>
    <w:rsid w:val="00862609"/>
    <w:rsid w:val="00865B7C"/>
    <w:rsid w:val="00867DA7"/>
    <w:rsid w:val="00871587"/>
    <w:rsid w:val="008745FE"/>
    <w:rsid w:val="00877182"/>
    <w:rsid w:val="0088286E"/>
    <w:rsid w:val="00883E51"/>
    <w:rsid w:val="00885A44"/>
    <w:rsid w:val="00895C13"/>
    <w:rsid w:val="00895C5F"/>
    <w:rsid w:val="008A3DCC"/>
    <w:rsid w:val="008A79F1"/>
    <w:rsid w:val="008C0DD6"/>
    <w:rsid w:val="008C5E32"/>
    <w:rsid w:val="008C6FE9"/>
    <w:rsid w:val="008E05F3"/>
    <w:rsid w:val="008E3B72"/>
    <w:rsid w:val="008E45BE"/>
    <w:rsid w:val="008E74B4"/>
    <w:rsid w:val="008F1D0D"/>
    <w:rsid w:val="008F21C6"/>
    <w:rsid w:val="008F5AAD"/>
    <w:rsid w:val="008F60DA"/>
    <w:rsid w:val="0090400A"/>
    <w:rsid w:val="009067A2"/>
    <w:rsid w:val="00910FC4"/>
    <w:rsid w:val="00913854"/>
    <w:rsid w:val="00915918"/>
    <w:rsid w:val="0091611C"/>
    <w:rsid w:val="009168A5"/>
    <w:rsid w:val="009208B9"/>
    <w:rsid w:val="00921702"/>
    <w:rsid w:val="009233AD"/>
    <w:rsid w:val="00926220"/>
    <w:rsid w:val="0092790F"/>
    <w:rsid w:val="00930266"/>
    <w:rsid w:val="00941A0B"/>
    <w:rsid w:val="0095026F"/>
    <w:rsid w:val="00950EF9"/>
    <w:rsid w:val="00951A5D"/>
    <w:rsid w:val="00951F98"/>
    <w:rsid w:val="009529B6"/>
    <w:rsid w:val="00957126"/>
    <w:rsid w:val="00957E35"/>
    <w:rsid w:val="00964D22"/>
    <w:rsid w:val="00964D50"/>
    <w:rsid w:val="00973765"/>
    <w:rsid w:val="009742D6"/>
    <w:rsid w:val="00975571"/>
    <w:rsid w:val="00976667"/>
    <w:rsid w:val="00983841"/>
    <w:rsid w:val="0099078E"/>
    <w:rsid w:val="00993300"/>
    <w:rsid w:val="009956AE"/>
    <w:rsid w:val="009A1830"/>
    <w:rsid w:val="009A2931"/>
    <w:rsid w:val="009B670D"/>
    <w:rsid w:val="009B7BC1"/>
    <w:rsid w:val="009C482C"/>
    <w:rsid w:val="009C4F34"/>
    <w:rsid w:val="009D31A8"/>
    <w:rsid w:val="009D3EA1"/>
    <w:rsid w:val="009D689A"/>
    <w:rsid w:val="009E0B18"/>
    <w:rsid w:val="009F0759"/>
    <w:rsid w:val="009F08B8"/>
    <w:rsid w:val="009F3FCC"/>
    <w:rsid w:val="009F407B"/>
    <w:rsid w:val="009F7531"/>
    <w:rsid w:val="00A00D1F"/>
    <w:rsid w:val="00A0149E"/>
    <w:rsid w:val="00A01501"/>
    <w:rsid w:val="00A07D38"/>
    <w:rsid w:val="00A2118F"/>
    <w:rsid w:val="00A21D4F"/>
    <w:rsid w:val="00A22BA3"/>
    <w:rsid w:val="00A2314A"/>
    <w:rsid w:val="00A23900"/>
    <w:rsid w:val="00A23E60"/>
    <w:rsid w:val="00A242B8"/>
    <w:rsid w:val="00A25D73"/>
    <w:rsid w:val="00A32D37"/>
    <w:rsid w:val="00A332AA"/>
    <w:rsid w:val="00A34FFC"/>
    <w:rsid w:val="00A36D2E"/>
    <w:rsid w:val="00A37777"/>
    <w:rsid w:val="00A510EF"/>
    <w:rsid w:val="00A523D1"/>
    <w:rsid w:val="00A56008"/>
    <w:rsid w:val="00A64C77"/>
    <w:rsid w:val="00A73024"/>
    <w:rsid w:val="00A73CC5"/>
    <w:rsid w:val="00A8005B"/>
    <w:rsid w:val="00A835AB"/>
    <w:rsid w:val="00A8572E"/>
    <w:rsid w:val="00A85A6C"/>
    <w:rsid w:val="00A86FA9"/>
    <w:rsid w:val="00A91882"/>
    <w:rsid w:val="00A91A20"/>
    <w:rsid w:val="00A92D16"/>
    <w:rsid w:val="00A9419D"/>
    <w:rsid w:val="00AA0EE2"/>
    <w:rsid w:val="00AA3E12"/>
    <w:rsid w:val="00AA4150"/>
    <w:rsid w:val="00AA6AE2"/>
    <w:rsid w:val="00AA76D0"/>
    <w:rsid w:val="00AB11DF"/>
    <w:rsid w:val="00AB4480"/>
    <w:rsid w:val="00AD0612"/>
    <w:rsid w:val="00AD54E6"/>
    <w:rsid w:val="00AD70F7"/>
    <w:rsid w:val="00AD72A7"/>
    <w:rsid w:val="00AE311A"/>
    <w:rsid w:val="00AE5BB9"/>
    <w:rsid w:val="00AF0BD5"/>
    <w:rsid w:val="00AF3CEC"/>
    <w:rsid w:val="00AF41F9"/>
    <w:rsid w:val="00AF7379"/>
    <w:rsid w:val="00B16269"/>
    <w:rsid w:val="00B211BA"/>
    <w:rsid w:val="00B22DD7"/>
    <w:rsid w:val="00B3453D"/>
    <w:rsid w:val="00B364CC"/>
    <w:rsid w:val="00B3653C"/>
    <w:rsid w:val="00B3798F"/>
    <w:rsid w:val="00B408CA"/>
    <w:rsid w:val="00B416F7"/>
    <w:rsid w:val="00B42D93"/>
    <w:rsid w:val="00B453EC"/>
    <w:rsid w:val="00B45847"/>
    <w:rsid w:val="00B51505"/>
    <w:rsid w:val="00B51DF9"/>
    <w:rsid w:val="00B5698A"/>
    <w:rsid w:val="00B65C69"/>
    <w:rsid w:val="00B65DD6"/>
    <w:rsid w:val="00B6695C"/>
    <w:rsid w:val="00B72465"/>
    <w:rsid w:val="00B7423D"/>
    <w:rsid w:val="00B81D16"/>
    <w:rsid w:val="00B85882"/>
    <w:rsid w:val="00B9053F"/>
    <w:rsid w:val="00B91513"/>
    <w:rsid w:val="00B92D6B"/>
    <w:rsid w:val="00B9563F"/>
    <w:rsid w:val="00B966A2"/>
    <w:rsid w:val="00BA0A2B"/>
    <w:rsid w:val="00BA19A9"/>
    <w:rsid w:val="00BA20A1"/>
    <w:rsid w:val="00BA4AC2"/>
    <w:rsid w:val="00BA5551"/>
    <w:rsid w:val="00BB0E92"/>
    <w:rsid w:val="00BB3823"/>
    <w:rsid w:val="00BB68EB"/>
    <w:rsid w:val="00BC0B49"/>
    <w:rsid w:val="00BD116F"/>
    <w:rsid w:val="00BD1AE1"/>
    <w:rsid w:val="00BD277E"/>
    <w:rsid w:val="00BD3E56"/>
    <w:rsid w:val="00BD4013"/>
    <w:rsid w:val="00BD4E9D"/>
    <w:rsid w:val="00BD5BA1"/>
    <w:rsid w:val="00BD64AE"/>
    <w:rsid w:val="00BE07D5"/>
    <w:rsid w:val="00BE3AEB"/>
    <w:rsid w:val="00BF119D"/>
    <w:rsid w:val="00BF2F3C"/>
    <w:rsid w:val="00BF4656"/>
    <w:rsid w:val="00BF6979"/>
    <w:rsid w:val="00C01159"/>
    <w:rsid w:val="00C0421D"/>
    <w:rsid w:val="00C1141C"/>
    <w:rsid w:val="00C15C55"/>
    <w:rsid w:val="00C21F6E"/>
    <w:rsid w:val="00C24F9C"/>
    <w:rsid w:val="00C33E9C"/>
    <w:rsid w:val="00C40C8D"/>
    <w:rsid w:val="00C4740F"/>
    <w:rsid w:val="00C51B01"/>
    <w:rsid w:val="00C53C37"/>
    <w:rsid w:val="00C6716D"/>
    <w:rsid w:val="00C7313C"/>
    <w:rsid w:val="00C741DC"/>
    <w:rsid w:val="00C76DC6"/>
    <w:rsid w:val="00C804E4"/>
    <w:rsid w:val="00C82A71"/>
    <w:rsid w:val="00C8408A"/>
    <w:rsid w:val="00C846D5"/>
    <w:rsid w:val="00C909F2"/>
    <w:rsid w:val="00C919FA"/>
    <w:rsid w:val="00C92F8D"/>
    <w:rsid w:val="00CA4CFA"/>
    <w:rsid w:val="00CA5D55"/>
    <w:rsid w:val="00CA6521"/>
    <w:rsid w:val="00CB318D"/>
    <w:rsid w:val="00CB5455"/>
    <w:rsid w:val="00CC6F4F"/>
    <w:rsid w:val="00CD10DF"/>
    <w:rsid w:val="00CD1A99"/>
    <w:rsid w:val="00CD6192"/>
    <w:rsid w:val="00CD768E"/>
    <w:rsid w:val="00CE06E2"/>
    <w:rsid w:val="00CE0718"/>
    <w:rsid w:val="00CE3D83"/>
    <w:rsid w:val="00CE5A1C"/>
    <w:rsid w:val="00CE7248"/>
    <w:rsid w:val="00CF6AA8"/>
    <w:rsid w:val="00CF71CC"/>
    <w:rsid w:val="00D047F4"/>
    <w:rsid w:val="00D07ECF"/>
    <w:rsid w:val="00D214C2"/>
    <w:rsid w:val="00D22C87"/>
    <w:rsid w:val="00D2519F"/>
    <w:rsid w:val="00D34ABC"/>
    <w:rsid w:val="00D365E6"/>
    <w:rsid w:val="00D4119C"/>
    <w:rsid w:val="00D42E3C"/>
    <w:rsid w:val="00D45ABA"/>
    <w:rsid w:val="00D6203A"/>
    <w:rsid w:val="00D62891"/>
    <w:rsid w:val="00D6427A"/>
    <w:rsid w:val="00D6482F"/>
    <w:rsid w:val="00D7101D"/>
    <w:rsid w:val="00D73B59"/>
    <w:rsid w:val="00D841CC"/>
    <w:rsid w:val="00D92DAB"/>
    <w:rsid w:val="00D96F6D"/>
    <w:rsid w:val="00D978B6"/>
    <w:rsid w:val="00D97D7B"/>
    <w:rsid w:val="00DA7FFB"/>
    <w:rsid w:val="00DB34A4"/>
    <w:rsid w:val="00DB713B"/>
    <w:rsid w:val="00DC1BFB"/>
    <w:rsid w:val="00DD4087"/>
    <w:rsid w:val="00DD7A65"/>
    <w:rsid w:val="00DE0A90"/>
    <w:rsid w:val="00DE20D1"/>
    <w:rsid w:val="00DF20CE"/>
    <w:rsid w:val="00DF443B"/>
    <w:rsid w:val="00E011F0"/>
    <w:rsid w:val="00E01FDA"/>
    <w:rsid w:val="00E054CB"/>
    <w:rsid w:val="00E1418C"/>
    <w:rsid w:val="00E20617"/>
    <w:rsid w:val="00E24384"/>
    <w:rsid w:val="00E30195"/>
    <w:rsid w:val="00E30FBE"/>
    <w:rsid w:val="00E33077"/>
    <w:rsid w:val="00E41503"/>
    <w:rsid w:val="00E51230"/>
    <w:rsid w:val="00E532F7"/>
    <w:rsid w:val="00E54742"/>
    <w:rsid w:val="00E55B77"/>
    <w:rsid w:val="00E5696D"/>
    <w:rsid w:val="00E727B7"/>
    <w:rsid w:val="00E727E1"/>
    <w:rsid w:val="00E732B2"/>
    <w:rsid w:val="00E743A3"/>
    <w:rsid w:val="00E81373"/>
    <w:rsid w:val="00E834C5"/>
    <w:rsid w:val="00E836D4"/>
    <w:rsid w:val="00E86166"/>
    <w:rsid w:val="00E86871"/>
    <w:rsid w:val="00E937B7"/>
    <w:rsid w:val="00E944A5"/>
    <w:rsid w:val="00E97804"/>
    <w:rsid w:val="00EA1D54"/>
    <w:rsid w:val="00EA7691"/>
    <w:rsid w:val="00EC0AB4"/>
    <w:rsid w:val="00EC1688"/>
    <w:rsid w:val="00EC1FB7"/>
    <w:rsid w:val="00EC3162"/>
    <w:rsid w:val="00EC71E4"/>
    <w:rsid w:val="00EC7933"/>
    <w:rsid w:val="00ED2B12"/>
    <w:rsid w:val="00ED41B9"/>
    <w:rsid w:val="00ED4969"/>
    <w:rsid w:val="00EE0006"/>
    <w:rsid w:val="00EF22A3"/>
    <w:rsid w:val="00EF443C"/>
    <w:rsid w:val="00F017E1"/>
    <w:rsid w:val="00F02BA4"/>
    <w:rsid w:val="00F0508E"/>
    <w:rsid w:val="00F06502"/>
    <w:rsid w:val="00F11FD9"/>
    <w:rsid w:val="00F1320A"/>
    <w:rsid w:val="00F14D3C"/>
    <w:rsid w:val="00F15971"/>
    <w:rsid w:val="00F23AD6"/>
    <w:rsid w:val="00F2478C"/>
    <w:rsid w:val="00F257E8"/>
    <w:rsid w:val="00F27E90"/>
    <w:rsid w:val="00F363BE"/>
    <w:rsid w:val="00F36594"/>
    <w:rsid w:val="00F40E4B"/>
    <w:rsid w:val="00F41580"/>
    <w:rsid w:val="00F46361"/>
    <w:rsid w:val="00F63AB6"/>
    <w:rsid w:val="00F679AB"/>
    <w:rsid w:val="00F76D30"/>
    <w:rsid w:val="00F82406"/>
    <w:rsid w:val="00F86F97"/>
    <w:rsid w:val="00F8750B"/>
    <w:rsid w:val="00F956FA"/>
    <w:rsid w:val="00F96328"/>
    <w:rsid w:val="00F979C3"/>
    <w:rsid w:val="00F979F2"/>
    <w:rsid w:val="00FA051E"/>
    <w:rsid w:val="00FA1A34"/>
    <w:rsid w:val="00FA7FEA"/>
    <w:rsid w:val="00FB4CB0"/>
    <w:rsid w:val="00FB4F45"/>
    <w:rsid w:val="00FB5E85"/>
    <w:rsid w:val="00FB74FB"/>
    <w:rsid w:val="00FE3644"/>
    <w:rsid w:val="00FE50BD"/>
    <w:rsid w:val="00FE51CD"/>
    <w:rsid w:val="00FE5F4A"/>
    <w:rsid w:val="00FF1FA5"/>
    <w:rsid w:val="00FF4817"/>
    <w:rsid w:val="00FF4909"/>
    <w:rsid w:val="2F2F0F41"/>
    <w:rsid w:val="30C83768"/>
    <w:rsid w:val="6C0F34E3"/>
    <w:rsid w:val="6C1B338E"/>
    <w:rsid w:val="FBFD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nhideWhenUsed="0" w:uiPriority="99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0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6"/>
    <w:qFormat/>
    <w:uiPriority w:val="0"/>
    <w:pPr>
      <w:widowControl/>
      <w:numPr>
        <w:ilvl w:val="2"/>
        <w:numId w:val="2"/>
      </w:numPr>
      <w:spacing w:before="120" w:beforeLines="50" w:after="120" w:afterLines="50" w:line="324" w:lineRule="auto"/>
      <w:jc w:val="left"/>
      <w:outlineLvl w:val="2"/>
    </w:pPr>
    <w:rPr>
      <w:rFonts w:ascii="黑体" w:hAnsi="黑体" w:eastAsia="黑体"/>
      <w:b/>
      <w:bCs/>
      <w:kern w:val="0"/>
      <w:sz w:val="28"/>
      <w:szCs w:val="27"/>
      <w:lang w:val="zh-CN"/>
    </w:rPr>
  </w:style>
  <w:style w:type="paragraph" w:styleId="5">
    <w:name w:val="heading 4"/>
    <w:basedOn w:val="1"/>
    <w:next w:val="1"/>
    <w:link w:val="37"/>
    <w:unhideWhenUsed/>
    <w:qFormat/>
    <w:uiPriority w:val="0"/>
    <w:pPr>
      <w:keepNext/>
      <w:keepLines/>
      <w:numPr>
        <w:ilvl w:val="3"/>
        <w:numId w:val="2"/>
      </w:numPr>
      <w:spacing w:before="50" w:beforeLines="50" w:after="50" w:afterLines="50" w:line="324" w:lineRule="auto"/>
      <w:jc w:val="left"/>
      <w:outlineLvl w:val="3"/>
    </w:pPr>
    <w:rPr>
      <w:rFonts w:ascii="宋体" w:hAnsi="宋体"/>
      <w:b/>
      <w:bCs/>
      <w:sz w:val="24"/>
      <w:szCs w:val="28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numPr>
        <w:ilvl w:val="4"/>
        <w:numId w:val="2"/>
      </w:numPr>
      <w:spacing w:before="156" w:beforeLines="50" w:after="156" w:afterLines="50" w:line="360" w:lineRule="auto"/>
      <w:jc w:val="left"/>
      <w:outlineLvl w:val="4"/>
    </w:pPr>
    <w:rPr>
      <w:rFonts w:ascii="宋体" w:hAnsi="宋体"/>
      <w:b/>
      <w:bCs/>
      <w:sz w:val="24"/>
      <w:szCs w:val="28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numPr>
        <w:ilvl w:val="5"/>
        <w:numId w:val="2"/>
      </w:numPr>
      <w:spacing w:before="50" w:beforeLines="50" w:line="421" w:lineRule="exact"/>
      <w:jc w:val="left"/>
      <w:outlineLvl w:val="5"/>
    </w:pPr>
    <w:rPr>
      <w:rFonts w:ascii="宋体" w:hAnsi="宋体"/>
      <w:b/>
      <w:bCs/>
      <w:sz w:val="24"/>
      <w:szCs w:val="24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numPr>
        <w:ilvl w:val="6"/>
        <w:numId w:val="2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41"/>
    <w:qFormat/>
    <w:uiPriority w:val="99"/>
    <w:pPr>
      <w:keepNext/>
      <w:keepLines/>
      <w:numPr>
        <w:ilvl w:val="7"/>
        <w:numId w:val="2"/>
      </w:numPr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10">
    <w:name w:val="heading 9"/>
    <w:basedOn w:val="1"/>
    <w:next w:val="1"/>
    <w:link w:val="42"/>
    <w:qFormat/>
    <w:uiPriority w:val="0"/>
    <w:pPr>
      <w:keepNext/>
      <w:keepLines/>
      <w:numPr>
        <w:ilvl w:val="8"/>
        <w:numId w:val="2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260"/>
      <w:jc w:val="left"/>
    </w:pPr>
    <w:rPr>
      <w:rFonts w:asciiTheme="minorHAnsi" w:eastAsiaTheme="minorHAnsi"/>
      <w:sz w:val="18"/>
      <w:szCs w:val="18"/>
    </w:rPr>
  </w:style>
  <w:style w:type="paragraph" w:styleId="12">
    <w:name w:val="annotation text"/>
    <w:basedOn w:val="1"/>
    <w:link w:val="76"/>
    <w:semiHidden/>
    <w:unhideWhenUsed/>
    <w:qFormat/>
    <w:uiPriority w:val="99"/>
    <w:pPr>
      <w:jc w:val="left"/>
    </w:pPr>
  </w:style>
  <w:style w:type="paragraph" w:styleId="13">
    <w:name w:val="Body Text"/>
    <w:basedOn w:val="1"/>
    <w:next w:val="1"/>
    <w:link w:val="82"/>
    <w:semiHidden/>
    <w:unhideWhenUsed/>
    <w:qFormat/>
    <w:uiPriority w:val="0"/>
    <w:pPr>
      <w:jc w:val="center"/>
    </w:pPr>
    <w:rPr>
      <w:rFonts w:ascii="Times New Roman" w:hAnsi="Times New Roman"/>
      <w:sz w:val="18"/>
      <w:szCs w:val="24"/>
    </w:rPr>
  </w:style>
  <w:style w:type="paragraph" w:styleId="14">
    <w:name w:val="toc 5"/>
    <w:basedOn w:val="1"/>
    <w:next w:val="1"/>
    <w:unhideWhenUsed/>
    <w:qFormat/>
    <w:uiPriority w:val="39"/>
    <w:pPr>
      <w:ind w:left="840"/>
      <w:jc w:val="left"/>
    </w:pPr>
    <w:rPr>
      <w:rFonts w:asciiTheme="minorHAnsi" w:eastAsiaTheme="minorHAnsi"/>
      <w:sz w:val="18"/>
      <w:szCs w:val="18"/>
    </w:rPr>
  </w:style>
  <w:style w:type="paragraph" w:styleId="15">
    <w:name w:val="toc 3"/>
    <w:basedOn w:val="1"/>
    <w:next w:val="1"/>
    <w:unhideWhenUsed/>
    <w:qFormat/>
    <w:uiPriority w:val="39"/>
    <w:pPr>
      <w:spacing w:line="320" w:lineRule="exact"/>
      <w:ind w:left="420"/>
      <w:jc w:val="left"/>
    </w:pPr>
    <w:rPr>
      <w:rFonts w:eastAsia="黑体" w:asciiTheme="minorHAnsi"/>
      <w:i/>
      <w:iCs/>
      <w:szCs w:val="20"/>
    </w:rPr>
  </w:style>
  <w:style w:type="paragraph" w:styleId="16">
    <w:name w:val="toc 8"/>
    <w:basedOn w:val="1"/>
    <w:next w:val="1"/>
    <w:unhideWhenUsed/>
    <w:qFormat/>
    <w:uiPriority w:val="39"/>
    <w:pPr>
      <w:ind w:left="1470"/>
      <w:jc w:val="left"/>
    </w:pPr>
    <w:rPr>
      <w:rFonts w:asciiTheme="minorHAnsi" w:eastAsiaTheme="minorHAnsi"/>
      <w:sz w:val="18"/>
      <w:szCs w:val="18"/>
    </w:rPr>
  </w:style>
  <w:style w:type="paragraph" w:styleId="17">
    <w:name w:val="Balloon Text"/>
    <w:basedOn w:val="1"/>
    <w:link w:val="78"/>
    <w:semiHidden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4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spacing w:line="400" w:lineRule="exact"/>
      <w:jc w:val="left"/>
    </w:pPr>
    <w:rPr>
      <w:rFonts w:eastAsia="黑体" w:asciiTheme="minorHAnsi"/>
      <w:b/>
      <w:bCs/>
      <w:caps/>
      <w:sz w:val="28"/>
      <w:szCs w:val="20"/>
    </w:rPr>
  </w:style>
  <w:style w:type="paragraph" w:styleId="21">
    <w:name w:val="toc 4"/>
    <w:basedOn w:val="1"/>
    <w:next w:val="1"/>
    <w:unhideWhenUsed/>
    <w:qFormat/>
    <w:uiPriority w:val="39"/>
    <w:pPr>
      <w:ind w:left="630"/>
      <w:jc w:val="left"/>
    </w:pPr>
    <w:rPr>
      <w:rFonts w:asciiTheme="minorHAnsi" w:eastAsiaTheme="minorHAnsi"/>
      <w:sz w:val="18"/>
      <w:szCs w:val="18"/>
    </w:rPr>
  </w:style>
  <w:style w:type="paragraph" w:styleId="22">
    <w:name w:val="toc 6"/>
    <w:basedOn w:val="1"/>
    <w:next w:val="1"/>
    <w:unhideWhenUsed/>
    <w:qFormat/>
    <w:uiPriority w:val="39"/>
    <w:pPr>
      <w:ind w:left="1050"/>
      <w:jc w:val="left"/>
    </w:pPr>
    <w:rPr>
      <w:rFonts w:asciiTheme="minorHAnsi" w:eastAsiaTheme="minorHAnsi"/>
      <w:sz w:val="18"/>
      <w:szCs w:val="18"/>
    </w:rPr>
  </w:style>
  <w:style w:type="paragraph" w:styleId="23">
    <w:name w:val="toc 2"/>
    <w:basedOn w:val="1"/>
    <w:next w:val="1"/>
    <w:unhideWhenUsed/>
    <w:qFormat/>
    <w:uiPriority w:val="39"/>
    <w:pPr>
      <w:spacing w:line="360" w:lineRule="exact"/>
      <w:ind w:left="210"/>
      <w:jc w:val="left"/>
    </w:pPr>
    <w:rPr>
      <w:rFonts w:eastAsia="黑体" w:asciiTheme="minorHAnsi"/>
      <w:smallCaps/>
      <w:sz w:val="24"/>
      <w:szCs w:val="20"/>
    </w:rPr>
  </w:style>
  <w:style w:type="paragraph" w:styleId="24">
    <w:name w:val="toc 9"/>
    <w:basedOn w:val="1"/>
    <w:next w:val="1"/>
    <w:unhideWhenUsed/>
    <w:qFormat/>
    <w:uiPriority w:val="39"/>
    <w:pPr>
      <w:ind w:left="1680"/>
      <w:jc w:val="left"/>
    </w:pPr>
    <w:rPr>
      <w:rFonts w:asciiTheme="minorHAnsi" w:eastAsiaTheme="minorHAnsi"/>
      <w:sz w:val="18"/>
      <w:szCs w:val="18"/>
    </w:rPr>
  </w:style>
  <w:style w:type="paragraph" w:styleId="25">
    <w:name w:val="HTML Preformatted"/>
    <w:basedOn w:val="1"/>
    <w:link w:val="70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26">
    <w:name w:val="Title"/>
    <w:basedOn w:val="1"/>
    <w:next w:val="1"/>
    <w:link w:val="81"/>
    <w:qFormat/>
    <w:uiPriority w:val="10"/>
    <w:pPr>
      <w:spacing w:before="240" w:after="60"/>
      <w:jc w:val="center"/>
      <w:outlineLvl w:val="0"/>
    </w:pPr>
    <w:rPr>
      <w:rFonts w:ascii="宋体" w:hAnsi="宋体" w:cstheme="majorBidi"/>
      <w:b/>
      <w:bCs/>
      <w:sz w:val="52"/>
      <w:szCs w:val="32"/>
    </w:rPr>
  </w:style>
  <w:style w:type="paragraph" w:styleId="27">
    <w:name w:val="annotation subject"/>
    <w:basedOn w:val="12"/>
    <w:next w:val="12"/>
    <w:link w:val="77"/>
    <w:semiHidden/>
    <w:unhideWhenUsed/>
    <w:qFormat/>
    <w:uiPriority w:val="99"/>
    <w:rPr>
      <w:b/>
      <w:bCs/>
    </w:rPr>
  </w:style>
  <w:style w:type="table" w:styleId="29">
    <w:name w:val="Table Grid"/>
    <w:basedOn w:val="28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Strong"/>
    <w:basedOn w:val="30"/>
    <w:qFormat/>
    <w:uiPriority w:val="22"/>
    <w:rPr>
      <w:b/>
      <w:bCs/>
    </w:rPr>
  </w:style>
  <w:style w:type="character" w:styleId="32">
    <w:name w:val="Emphasis"/>
    <w:basedOn w:val="30"/>
    <w:qFormat/>
    <w:uiPriority w:val="20"/>
    <w:rPr>
      <w:i/>
      <w:iCs/>
    </w:rPr>
  </w:style>
  <w:style w:type="character" w:styleId="33">
    <w:name w:val="Hyperlink"/>
    <w:qFormat/>
    <w:uiPriority w:val="99"/>
    <w:rPr>
      <w:color w:val="0000FF"/>
      <w:u w:val="single"/>
    </w:rPr>
  </w:style>
  <w:style w:type="character" w:styleId="34">
    <w:name w:val="annotation reference"/>
    <w:basedOn w:val="30"/>
    <w:semiHidden/>
    <w:unhideWhenUsed/>
    <w:qFormat/>
    <w:uiPriority w:val="99"/>
    <w:rPr>
      <w:sz w:val="21"/>
      <w:szCs w:val="21"/>
    </w:rPr>
  </w:style>
  <w:style w:type="character" w:customStyle="1" w:styleId="35">
    <w:name w:val="标题 1 Char"/>
    <w:basedOn w:val="30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36">
    <w:name w:val="标题 3 Char"/>
    <w:basedOn w:val="30"/>
    <w:link w:val="4"/>
    <w:qFormat/>
    <w:uiPriority w:val="9"/>
    <w:rPr>
      <w:rFonts w:ascii="黑体" w:hAnsi="黑体" w:eastAsia="黑体" w:cs="Times New Roman"/>
      <w:b/>
      <w:bCs/>
      <w:kern w:val="0"/>
      <w:sz w:val="28"/>
      <w:szCs w:val="27"/>
      <w:lang w:val="zh-CN" w:eastAsia="zh-CN"/>
    </w:rPr>
  </w:style>
  <w:style w:type="character" w:customStyle="1" w:styleId="37">
    <w:name w:val="标题 4 Char"/>
    <w:basedOn w:val="30"/>
    <w:link w:val="5"/>
    <w:qFormat/>
    <w:uiPriority w:val="9"/>
    <w:rPr>
      <w:rFonts w:ascii="宋体" w:hAnsi="宋体" w:eastAsia="宋体" w:cs="Times New Roman"/>
      <w:b/>
      <w:bCs/>
      <w:sz w:val="24"/>
      <w:szCs w:val="28"/>
    </w:rPr>
  </w:style>
  <w:style w:type="character" w:customStyle="1" w:styleId="38">
    <w:name w:val="标题 5 Char"/>
    <w:basedOn w:val="30"/>
    <w:link w:val="6"/>
    <w:qFormat/>
    <w:uiPriority w:val="9"/>
    <w:rPr>
      <w:rFonts w:ascii="宋体" w:hAnsi="宋体" w:eastAsia="宋体" w:cs="Times New Roman"/>
      <w:b/>
      <w:bCs/>
      <w:sz w:val="24"/>
      <w:szCs w:val="28"/>
    </w:rPr>
  </w:style>
  <w:style w:type="character" w:customStyle="1" w:styleId="39">
    <w:name w:val="标题 6 Char"/>
    <w:basedOn w:val="30"/>
    <w:link w:val="7"/>
    <w:qFormat/>
    <w:uiPriority w:val="9"/>
    <w:rPr>
      <w:rFonts w:ascii="宋体" w:hAnsi="宋体" w:eastAsia="宋体" w:cs="Times New Roman"/>
      <w:b/>
      <w:bCs/>
      <w:sz w:val="24"/>
      <w:szCs w:val="24"/>
    </w:rPr>
  </w:style>
  <w:style w:type="character" w:customStyle="1" w:styleId="40">
    <w:name w:val="标题 7 Char"/>
    <w:basedOn w:val="30"/>
    <w:link w:val="8"/>
    <w:qFormat/>
    <w:uiPriority w:val="9"/>
    <w:rPr>
      <w:rFonts w:ascii="Calibri" w:hAnsi="Calibri" w:eastAsia="宋体" w:cs="Times New Roman"/>
      <w:b/>
      <w:bCs/>
      <w:sz w:val="24"/>
      <w:szCs w:val="24"/>
    </w:rPr>
  </w:style>
  <w:style w:type="character" w:customStyle="1" w:styleId="41">
    <w:name w:val="标题 8 Char"/>
    <w:basedOn w:val="30"/>
    <w:link w:val="9"/>
    <w:qFormat/>
    <w:uiPriority w:val="99"/>
    <w:rPr>
      <w:rFonts w:ascii="Arial" w:hAnsi="Arial" w:eastAsia="黑体" w:cs="Times New Roman"/>
      <w:sz w:val="24"/>
      <w:szCs w:val="24"/>
    </w:rPr>
  </w:style>
  <w:style w:type="character" w:customStyle="1" w:styleId="42">
    <w:name w:val="标题 9 Char"/>
    <w:basedOn w:val="30"/>
    <w:link w:val="10"/>
    <w:qFormat/>
    <w:uiPriority w:val="0"/>
    <w:rPr>
      <w:rFonts w:ascii="Arial" w:hAnsi="Arial" w:eastAsia="黑体" w:cs="Times New Roman"/>
      <w:szCs w:val="21"/>
    </w:rPr>
  </w:style>
  <w:style w:type="character" w:customStyle="1" w:styleId="43">
    <w:name w:val="页眉 Char"/>
    <w:basedOn w:val="30"/>
    <w:link w:val="19"/>
    <w:qFormat/>
    <w:uiPriority w:val="0"/>
    <w:rPr>
      <w:sz w:val="18"/>
      <w:szCs w:val="18"/>
    </w:rPr>
  </w:style>
  <w:style w:type="character" w:customStyle="1" w:styleId="44">
    <w:name w:val="页脚 Char"/>
    <w:basedOn w:val="30"/>
    <w:link w:val="18"/>
    <w:qFormat/>
    <w:uiPriority w:val="99"/>
    <w:rPr>
      <w:sz w:val="18"/>
      <w:szCs w:val="18"/>
    </w:rPr>
  </w:style>
  <w:style w:type="paragraph" w:customStyle="1" w:styleId="45">
    <w:name w:val="标题1级"/>
    <w:basedOn w:val="2"/>
    <w:qFormat/>
    <w:uiPriority w:val="0"/>
    <w:pPr>
      <w:numPr>
        <w:ilvl w:val="0"/>
        <w:numId w:val="3"/>
      </w:numPr>
      <w:spacing w:before="260" w:after="260" w:line="360" w:lineRule="auto"/>
    </w:pPr>
    <w:rPr>
      <w:rFonts w:ascii="宋体" w:hAnsi="宋体"/>
      <w:sz w:val="36"/>
      <w:szCs w:val="36"/>
    </w:rPr>
  </w:style>
  <w:style w:type="paragraph" w:customStyle="1" w:styleId="46">
    <w:name w:val="标题3级"/>
    <w:basedOn w:val="4"/>
    <w:link w:val="47"/>
    <w:qFormat/>
    <w:uiPriority w:val="0"/>
    <w:pPr>
      <w:keepNext/>
      <w:keepLines/>
      <w:widowControl w:val="0"/>
      <w:numPr>
        <w:ilvl w:val="1"/>
        <w:numId w:val="4"/>
      </w:numPr>
      <w:spacing w:before="260" w:beforeLines="0" w:after="260" w:afterLines="0" w:line="415" w:lineRule="auto"/>
      <w:jc w:val="both"/>
      <w:outlineLvl w:val="1"/>
    </w:pPr>
    <w:rPr>
      <w:rFonts w:ascii="宋体" w:hAnsi="宋体" w:eastAsia="宋体"/>
      <w:kern w:val="2"/>
      <w:sz w:val="32"/>
      <w:szCs w:val="24"/>
      <w:lang w:val="en-US"/>
    </w:rPr>
  </w:style>
  <w:style w:type="character" w:customStyle="1" w:styleId="47">
    <w:name w:val="标题3级 Char"/>
    <w:link w:val="46"/>
    <w:qFormat/>
    <w:uiPriority w:val="0"/>
    <w:rPr>
      <w:rFonts w:ascii="宋体" w:hAnsi="宋体" w:eastAsia="宋体" w:cs="Times New Roman"/>
      <w:b/>
      <w:bCs/>
      <w:sz w:val="32"/>
      <w:szCs w:val="24"/>
    </w:rPr>
  </w:style>
  <w:style w:type="paragraph" w:customStyle="1" w:styleId="48">
    <w:name w:val="标题4级"/>
    <w:basedOn w:val="5"/>
    <w:link w:val="49"/>
    <w:qFormat/>
    <w:uiPriority w:val="0"/>
    <w:pPr>
      <w:numPr>
        <w:ilvl w:val="2"/>
        <w:numId w:val="4"/>
      </w:numPr>
      <w:spacing w:before="240" w:beforeLines="0" w:after="120" w:afterLines="0" w:line="360" w:lineRule="auto"/>
      <w:jc w:val="both"/>
      <w:outlineLvl w:val="2"/>
    </w:pPr>
    <w:rPr>
      <w:szCs w:val="24"/>
    </w:rPr>
  </w:style>
  <w:style w:type="character" w:customStyle="1" w:styleId="49">
    <w:name w:val="标题4级 Char"/>
    <w:link w:val="48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paragraph" w:customStyle="1" w:styleId="50">
    <w:name w:val="标题5级"/>
    <w:basedOn w:val="6"/>
    <w:link w:val="51"/>
    <w:qFormat/>
    <w:uiPriority w:val="0"/>
    <w:pPr>
      <w:numPr>
        <w:ilvl w:val="3"/>
        <w:numId w:val="4"/>
      </w:numPr>
      <w:spacing w:before="120" w:beforeLines="0" w:after="120" w:afterLines="0"/>
      <w:jc w:val="both"/>
      <w:outlineLvl w:val="3"/>
    </w:pPr>
    <w:rPr>
      <w:szCs w:val="24"/>
    </w:rPr>
  </w:style>
  <w:style w:type="character" w:customStyle="1" w:styleId="51">
    <w:name w:val="标题5级 Char"/>
    <w:link w:val="50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paragraph" w:customStyle="1" w:styleId="52">
    <w:name w:val="标题6级"/>
    <w:basedOn w:val="7"/>
    <w:link w:val="53"/>
    <w:qFormat/>
    <w:uiPriority w:val="0"/>
    <w:pPr>
      <w:numPr>
        <w:ilvl w:val="4"/>
        <w:numId w:val="4"/>
      </w:numPr>
      <w:spacing w:before="240" w:beforeLines="0" w:after="64" w:line="320" w:lineRule="auto"/>
      <w:jc w:val="both"/>
      <w:outlineLvl w:val="4"/>
    </w:pPr>
  </w:style>
  <w:style w:type="character" w:customStyle="1" w:styleId="53">
    <w:name w:val="标题6级 Char"/>
    <w:basedOn w:val="30"/>
    <w:link w:val="52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paragraph" w:customStyle="1" w:styleId="54">
    <w:name w:val="标题7级"/>
    <w:basedOn w:val="8"/>
    <w:qFormat/>
    <w:uiPriority w:val="0"/>
    <w:pPr>
      <w:numPr>
        <w:ilvl w:val="5"/>
        <w:numId w:val="4"/>
      </w:numPr>
      <w:spacing w:before="156" w:beforeLines="50" w:after="156" w:afterLines="50" w:line="360" w:lineRule="auto"/>
      <w:outlineLvl w:val="5"/>
    </w:pPr>
    <w:rPr>
      <w:rFonts w:ascii="宋体" w:hAnsi="宋体"/>
    </w:rPr>
  </w:style>
  <w:style w:type="paragraph" w:customStyle="1" w:styleId="55">
    <w:name w:val="标题2级"/>
    <w:basedOn w:val="1"/>
    <w:link w:val="56"/>
    <w:qFormat/>
    <w:uiPriority w:val="0"/>
    <w:pPr>
      <w:keepNext/>
      <w:keepLines/>
      <w:numPr>
        <w:ilvl w:val="0"/>
        <w:numId w:val="4"/>
      </w:numPr>
      <w:spacing w:before="260" w:after="260" w:line="415" w:lineRule="auto"/>
      <w:outlineLvl w:val="0"/>
    </w:pPr>
    <w:rPr>
      <w:rFonts w:ascii="宋体" w:hAnsi="宋体"/>
      <w:b/>
      <w:bCs/>
      <w:sz w:val="36"/>
      <w:szCs w:val="24"/>
    </w:rPr>
  </w:style>
  <w:style w:type="character" w:customStyle="1" w:styleId="56">
    <w:name w:val="标题2级 Char"/>
    <w:link w:val="55"/>
    <w:qFormat/>
    <w:uiPriority w:val="0"/>
    <w:rPr>
      <w:rFonts w:ascii="宋体" w:hAnsi="宋体" w:eastAsia="宋体" w:cs="Times New Roman"/>
      <w:b/>
      <w:bCs/>
      <w:sz w:val="36"/>
      <w:szCs w:val="24"/>
    </w:rPr>
  </w:style>
  <w:style w:type="paragraph" w:customStyle="1" w:styleId="57">
    <w:name w:val="正文段落"/>
    <w:basedOn w:val="1"/>
    <w:link w:val="58"/>
    <w:qFormat/>
    <w:uiPriority w:val="0"/>
    <w:pPr>
      <w:spacing w:line="360" w:lineRule="auto"/>
      <w:ind w:firstLine="480" w:firstLineChars="200"/>
    </w:pPr>
    <w:rPr>
      <w:rFonts w:ascii="宋体" w:hAnsi="宋体"/>
      <w:sz w:val="24"/>
      <w:szCs w:val="24"/>
    </w:rPr>
  </w:style>
  <w:style w:type="character" w:customStyle="1" w:styleId="58">
    <w:name w:val="正文段落 Char"/>
    <w:link w:val="57"/>
    <w:qFormat/>
    <w:uiPriority w:val="0"/>
    <w:rPr>
      <w:rFonts w:ascii="宋体" w:hAnsi="宋体" w:eastAsia="宋体" w:cs="Times New Roman"/>
      <w:sz w:val="24"/>
      <w:szCs w:val="24"/>
    </w:rPr>
  </w:style>
  <w:style w:type="paragraph" w:customStyle="1" w:styleId="59">
    <w:name w:val="_正文段落"/>
    <w:basedOn w:val="1"/>
    <w:link w:val="60"/>
    <w:qFormat/>
    <w:uiPriority w:val="0"/>
    <w:pPr>
      <w:widowControl/>
      <w:spacing w:before="15" w:beforeLines="15" w:after="15" w:afterLines="15" w:line="360" w:lineRule="auto"/>
      <w:ind w:firstLine="200" w:firstLineChars="200"/>
      <w:jc w:val="left"/>
    </w:pPr>
    <w:rPr>
      <w:rFonts w:ascii="Times New Roman" w:hAnsi="Times New Roman"/>
      <w:kern w:val="0"/>
      <w:sz w:val="24"/>
      <w:szCs w:val="24"/>
    </w:rPr>
  </w:style>
  <w:style w:type="character" w:customStyle="1" w:styleId="60">
    <w:name w:val="_正文段落 Char"/>
    <w:link w:val="59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61">
    <w:name w:val="样式1"/>
    <w:basedOn w:val="1"/>
    <w:link w:val="62"/>
    <w:qFormat/>
    <w:uiPriority w:val="0"/>
  </w:style>
  <w:style w:type="character" w:customStyle="1" w:styleId="62">
    <w:name w:val="样式1 Char"/>
    <w:link w:val="61"/>
    <w:qFormat/>
    <w:uiPriority w:val="0"/>
    <w:rPr>
      <w:rFonts w:ascii="Calibri" w:hAnsi="Calibri" w:eastAsia="宋体" w:cs="Times New Roman"/>
    </w:rPr>
  </w:style>
  <w:style w:type="paragraph" w:customStyle="1" w:styleId="63">
    <w:name w:val="总标题"/>
    <w:basedOn w:val="1"/>
    <w:link w:val="64"/>
    <w:qFormat/>
    <w:uiPriority w:val="0"/>
    <w:pPr>
      <w:ind w:left="-4" w:leftChars="-2"/>
      <w:jc w:val="center"/>
    </w:pPr>
    <w:rPr>
      <w:rFonts w:ascii="黑体" w:eastAsia="黑体"/>
      <w:b/>
      <w:sz w:val="52"/>
      <w:szCs w:val="52"/>
    </w:rPr>
  </w:style>
  <w:style w:type="character" w:customStyle="1" w:styleId="64">
    <w:name w:val="总标题 Char"/>
    <w:basedOn w:val="30"/>
    <w:link w:val="63"/>
    <w:qFormat/>
    <w:uiPriority w:val="0"/>
    <w:rPr>
      <w:rFonts w:ascii="黑体" w:hAnsi="Calibri" w:eastAsia="黑体" w:cs="Times New Roman"/>
      <w:b/>
      <w:sz w:val="52"/>
      <w:szCs w:val="52"/>
    </w:rPr>
  </w:style>
  <w:style w:type="paragraph" w:customStyle="1" w:styleId="65">
    <w:name w:val="总副标题"/>
    <w:basedOn w:val="1"/>
    <w:link w:val="66"/>
    <w:qFormat/>
    <w:uiPriority w:val="0"/>
    <w:pPr>
      <w:jc w:val="center"/>
    </w:pPr>
    <w:rPr>
      <w:rFonts w:ascii="黑体" w:hAnsi="黑体" w:eastAsia="黑体" w:cs="黑体"/>
      <w:bCs/>
      <w:sz w:val="32"/>
      <w:szCs w:val="32"/>
    </w:rPr>
  </w:style>
  <w:style w:type="character" w:customStyle="1" w:styleId="66">
    <w:name w:val="总副标题 Char"/>
    <w:basedOn w:val="30"/>
    <w:link w:val="65"/>
    <w:qFormat/>
    <w:uiPriority w:val="0"/>
    <w:rPr>
      <w:rFonts w:ascii="黑体" w:hAnsi="黑体" w:eastAsia="黑体" w:cs="黑体"/>
      <w:bCs/>
      <w:sz w:val="32"/>
      <w:szCs w:val="32"/>
    </w:rPr>
  </w:style>
  <w:style w:type="paragraph" w:customStyle="1" w:styleId="67">
    <w:name w:val="表格标题格式"/>
    <w:basedOn w:val="1"/>
    <w:link w:val="68"/>
    <w:qFormat/>
    <w:uiPriority w:val="0"/>
    <w:pPr>
      <w:spacing w:before="50" w:beforeLines="50" w:line="360" w:lineRule="auto"/>
      <w:jc w:val="center"/>
    </w:pPr>
    <w:rPr>
      <w:rFonts w:ascii="宋体" w:hAnsi="宋体"/>
      <w:b/>
      <w:bCs/>
      <w:sz w:val="24"/>
      <w:szCs w:val="21"/>
    </w:rPr>
  </w:style>
  <w:style w:type="character" w:customStyle="1" w:styleId="68">
    <w:name w:val="表格标题格式 Char"/>
    <w:link w:val="67"/>
    <w:qFormat/>
    <w:uiPriority w:val="0"/>
    <w:rPr>
      <w:rFonts w:ascii="宋体" w:hAnsi="宋体" w:eastAsia="宋体" w:cs="Times New Roman"/>
      <w:b/>
      <w:bCs/>
      <w:sz w:val="24"/>
      <w:szCs w:val="21"/>
    </w:rPr>
  </w:style>
  <w:style w:type="paragraph" w:customStyle="1" w:styleId="69">
    <w:name w:val="TOC 标题1"/>
    <w:basedOn w:val="2"/>
    <w:next w:val="1"/>
    <w:unhideWhenUsed/>
    <w:qFormat/>
    <w:uiPriority w:val="39"/>
    <w:pPr>
      <w:outlineLvl w:val="9"/>
    </w:pPr>
  </w:style>
  <w:style w:type="character" w:customStyle="1" w:styleId="70">
    <w:name w:val="HTML 预设格式 Char"/>
    <w:basedOn w:val="30"/>
    <w:link w:val="25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71">
    <w:name w:val="箭头标题"/>
    <w:basedOn w:val="57"/>
    <w:link w:val="72"/>
    <w:qFormat/>
    <w:uiPriority w:val="0"/>
    <w:pPr>
      <w:numPr>
        <w:ilvl w:val="0"/>
        <w:numId w:val="5"/>
      </w:numPr>
      <w:spacing w:before="156" w:beforeLines="50" w:after="156" w:afterLines="50"/>
      <w:ind w:left="482" w:hanging="482" w:hangingChars="200"/>
    </w:pPr>
    <w:rPr>
      <w:b/>
    </w:rPr>
  </w:style>
  <w:style w:type="character" w:customStyle="1" w:styleId="72">
    <w:name w:val="箭头标题 Char"/>
    <w:basedOn w:val="58"/>
    <w:link w:val="71"/>
    <w:qFormat/>
    <w:uiPriority w:val="0"/>
    <w:rPr>
      <w:rFonts w:ascii="宋体" w:hAnsi="宋体" w:eastAsia="宋体" w:cs="Times New Roman"/>
      <w:b/>
      <w:sz w:val="24"/>
      <w:szCs w:val="24"/>
    </w:rPr>
  </w:style>
  <w:style w:type="paragraph" w:customStyle="1" w:styleId="73">
    <w:name w:val="（括号标题）"/>
    <w:basedOn w:val="1"/>
    <w:link w:val="74"/>
    <w:qFormat/>
    <w:uiPriority w:val="0"/>
    <w:pPr>
      <w:spacing w:before="156" w:beforeLines="50" w:after="156" w:afterLines="50" w:line="360" w:lineRule="auto"/>
      <w:jc w:val="left"/>
    </w:pPr>
    <w:rPr>
      <w:rFonts w:ascii="Times New Roman" w:hAnsi="Times New Roman"/>
      <w:b/>
      <w:sz w:val="24"/>
      <w:szCs w:val="24"/>
    </w:rPr>
  </w:style>
  <w:style w:type="character" w:customStyle="1" w:styleId="74">
    <w:name w:val="（括号标题） Char"/>
    <w:basedOn w:val="30"/>
    <w:link w:val="73"/>
    <w:qFormat/>
    <w:uiPriority w:val="0"/>
    <w:rPr>
      <w:rFonts w:ascii="Times New Roman" w:hAnsi="Times New Roman" w:eastAsia="宋体" w:cs="Times New Roman"/>
      <w:b/>
      <w:sz w:val="24"/>
      <w:szCs w:val="24"/>
    </w:rPr>
  </w:style>
  <w:style w:type="paragraph" w:styleId="7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76">
    <w:name w:val="批注文字 Char"/>
    <w:basedOn w:val="30"/>
    <w:link w:val="12"/>
    <w:semiHidden/>
    <w:qFormat/>
    <w:uiPriority w:val="99"/>
    <w:rPr>
      <w:rFonts w:ascii="Calibri" w:hAnsi="Calibri" w:eastAsia="宋体" w:cs="Times New Roman"/>
    </w:rPr>
  </w:style>
  <w:style w:type="character" w:customStyle="1" w:styleId="77">
    <w:name w:val="批注主题 Char"/>
    <w:basedOn w:val="76"/>
    <w:link w:val="2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78">
    <w:name w:val="批注框文本 Char"/>
    <w:basedOn w:val="30"/>
    <w:link w:val="1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79">
    <w:name w:val="List Paragraph"/>
    <w:basedOn w:val="1"/>
    <w:qFormat/>
    <w:uiPriority w:val="99"/>
    <w:pPr>
      <w:ind w:firstLine="420" w:firstLineChars="200"/>
    </w:pPr>
  </w:style>
  <w:style w:type="character" w:customStyle="1" w:styleId="80">
    <w:name w:val="标题 2 Char"/>
    <w:basedOn w:val="3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1">
    <w:name w:val="标题 Char"/>
    <w:basedOn w:val="30"/>
    <w:link w:val="26"/>
    <w:qFormat/>
    <w:uiPriority w:val="10"/>
    <w:rPr>
      <w:rFonts w:ascii="宋体" w:hAnsi="宋体" w:eastAsia="宋体" w:cstheme="majorBidi"/>
      <w:b/>
      <w:bCs/>
      <w:sz w:val="52"/>
      <w:szCs w:val="32"/>
    </w:rPr>
  </w:style>
  <w:style w:type="character" w:customStyle="1" w:styleId="82">
    <w:name w:val="正文文本 Char"/>
    <w:basedOn w:val="30"/>
    <w:link w:val="13"/>
    <w:semiHidden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83">
    <w:name w:val="版本号"/>
    <w:qFormat/>
    <w:locked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4">
    <w:name w:val="小标号 字符"/>
    <w:link w:val="85"/>
    <w:qFormat/>
    <w:locked/>
    <w:uiPriority w:val="0"/>
    <w:rPr>
      <w:sz w:val="28"/>
      <w:szCs w:val="28"/>
    </w:rPr>
  </w:style>
  <w:style w:type="paragraph" w:customStyle="1" w:styleId="85">
    <w:name w:val="小标号"/>
    <w:basedOn w:val="1"/>
    <w:link w:val="84"/>
    <w:qFormat/>
    <w:uiPriority w:val="0"/>
    <w:pPr>
      <w:numPr>
        <w:ilvl w:val="0"/>
        <w:numId w:val="6"/>
      </w:numPr>
    </w:pPr>
    <w:rPr>
      <w:rFonts w:asciiTheme="minorHAnsi" w:hAnsiTheme="minorHAnsi" w:eastAsiaTheme="minorEastAsia" w:cstheme="minorBidi"/>
      <w:sz w:val="28"/>
      <w:szCs w:val="28"/>
    </w:rPr>
  </w:style>
  <w:style w:type="character" w:customStyle="1" w:styleId="86">
    <w:name w:val="图片 字符"/>
    <w:link w:val="87"/>
    <w:qFormat/>
    <w:locked/>
    <w:uiPriority w:val="0"/>
    <w:rPr>
      <w:szCs w:val="24"/>
    </w:rPr>
  </w:style>
  <w:style w:type="paragraph" w:customStyle="1" w:styleId="87">
    <w:name w:val="图片"/>
    <w:basedOn w:val="1"/>
    <w:link w:val="86"/>
    <w:qFormat/>
    <w:uiPriority w:val="0"/>
    <w:rPr>
      <w:rFonts w:asciiTheme="minorHAnsi" w:hAnsiTheme="minorHAnsi" w:eastAsiaTheme="minorEastAsia" w:cstheme="minorBidi"/>
      <w:szCs w:val="24"/>
    </w:rPr>
  </w:style>
  <w:style w:type="character" w:customStyle="1" w:styleId="88">
    <w:name w:val="图片名称 字符"/>
    <w:link w:val="89"/>
    <w:qFormat/>
    <w:locked/>
    <w:uiPriority w:val="0"/>
    <w:rPr>
      <w:szCs w:val="24"/>
    </w:rPr>
  </w:style>
  <w:style w:type="paragraph" w:customStyle="1" w:styleId="89">
    <w:name w:val="图片名称"/>
    <w:basedOn w:val="1"/>
    <w:link w:val="88"/>
    <w:qFormat/>
    <w:uiPriority w:val="0"/>
    <w:pPr>
      <w:jc w:val="center"/>
    </w:pPr>
    <w:rPr>
      <w:rFonts w:asciiTheme="minorHAnsi" w:hAnsiTheme="minorHAnsi" w:eastAsiaTheme="minorEastAsia" w:cstheme="minorBidi"/>
      <w:szCs w:val="24"/>
    </w:rPr>
  </w:style>
  <w:style w:type="character" w:customStyle="1" w:styleId="90">
    <w:name w:val="正文0 字符"/>
    <w:link w:val="91"/>
    <w:qFormat/>
    <w:locked/>
    <w:uiPriority w:val="0"/>
    <w:rPr>
      <w:rFonts w:ascii="宋体" w:hAnsi="宋体" w:eastAsia="宋体" w:cs="宋体"/>
      <w:sz w:val="28"/>
      <w:szCs w:val="28"/>
    </w:rPr>
  </w:style>
  <w:style w:type="paragraph" w:customStyle="1" w:styleId="91">
    <w:name w:val="正文0"/>
    <w:basedOn w:val="1"/>
    <w:link w:val="90"/>
    <w:qFormat/>
    <w:uiPriority w:val="0"/>
    <w:pPr>
      <w:widowControl/>
      <w:ind w:firstLine="560" w:firstLineChars="200"/>
      <w:jc w:val="left"/>
    </w:pPr>
    <w:rPr>
      <w:rFonts w:ascii="宋体" w:hAns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21</Pages>
  <Words>755</Words>
  <Characters>4304</Characters>
  <Lines>35</Lines>
  <Paragraphs>10</Paragraphs>
  <TotalTime>58</TotalTime>
  <ScaleCrop>false</ScaleCrop>
  <LinksUpToDate>false</LinksUpToDate>
  <CharactersWithSpaces>5049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2017-12-25T19:50:00Z</dcterms:created>
  <dc:creator>Administrator</dc:creator>
  <cp:lastModifiedBy>greatwall</cp:lastModifiedBy>
  <dcterms:modified xsi:type="dcterms:W3CDTF">2025-05-15T14:48:59Z</dcterms:modified>
  <dc:title>附件3</dc:title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A26061BFC7D34B729EB07D1F5B4DC72B</vt:lpwstr>
  </property>
</Properties>
</file>