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DEEEB8">
      <w:pPr>
        <w:jc w:val="center"/>
        <w:rPr>
          <w:rFonts w:hint="eastAsia" w:ascii="黑体" w:hAnsi="黑体" w:eastAsia="黑体" w:cs="等线 Light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广东省重要农业文化遗产普查</w:t>
      </w:r>
      <w:r>
        <w:rPr>
          <w:rFonts w:hint="eastAsia" w:ascii="黑体" w:hAnsi="黑体" w:eastAsia="黑体" w:cs="Times New Roman"/>
          <w:sz w:val="28"/>
          <w:szCs w:val="28"/>
          <w:lang w:eastAsia="zh-CN"/>
        </w:rPr>
        <w:t>初步</w:t>
      </w:r>
      <w:r>
        <w:rPr>
          <w:rFonts w:hint="eastAsia" w:ascii="黑体" w:hAnsi="黑体" w:eastAsia="黑体" w:cs="Times New Roman"/>
          <w:sz w:val="28"/>
          <w:szCs w:val="28"/>
        </w:rPr>
        <w:t>项目名录（</w:t>
      </w:r>
      <w:r>
        <w:rPr>
          <w:rFonts w:hint="eastAsia" w:ascii="黑体" w:hAnsi="黑体" w:eastAsia="黑体" w:cs="Times New Roman"/>
          <w:sz w:val="28"/>
          <w:szCs w:val="28"/>
          <w:lang w:eastAsia="zh-CN"/>
        </w:rPr>
        <w:t>江门市部分，</w:t>
      </w:r>
      <w:r>
        <w:rPr>
          <w:rFonts w:hint="eastAsia" w:ascii="黑体" w:hAnsi="黑体" w:eastAsia="黑体" w:cs="Times New Roman"/>
          <w:sz w:val="28"/>
          <w:szCs w:val="28"/>
        </w:rPr>
        <w:t>截至202</w:t>
      </w:r>
      <w:bookmarkStart w:id="0" w:name="_GoBack"/>
      <w:bookmarkEnd w:id="0"/>
      <w:r>
        <w:rPr>
          <w:rFonts w:hint="eastAsia" w:ascii="黑体" w:hAnsi="黑体" w:eastAsia="黑体" w:cs="Times New Roman"/>
          <w:sz w:val="28"/>
          <w:szCs w:val="28"/>
        </w:rPr>
        <w:t>6年7月20日）</w:t>
      </w:r>
    </w:p>
    <w:tbl>
      <w:tblPr>
        <w:tblStyle w:val="58"/>
        <w:tblW w:w="137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809"/>
        <w:gridCol w:w="9095"/>
      </w:tblGrid>
      <w:tr w14:paraId="6B873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tblHeader/>
          <w:jc w:val="center"/>
        </w:trPr>
        <w:tc>
          <w:tcPr>
            <w:tcW w:w="846" w:type="dxa"/>
            <w:noWrap/>
            <w:vAlign w:val="center"/>
          </w:tcPr>
          <w:p w14:paraId="7C372165">
            <w:pPr>
              <w:jc w:val="center"/>
              <w:rPr>
                <w:rFonts w:hint="eastAsia" w:ascii="黑体" w:hAnsi="黑体" w:eastAsia="黑体" w:cs="Times New Roman"/>
                <w:kern w:val="0"/>
                <w:szCs w:val="24"/>
              </w:rPr>
            </w:pPr>
            <w:r>
              <w:rPr>
                <w:rFonts w:ascii="黑体" w:hAnsi="黑体" w:eastAsia="黑体" w:cs="Times New Roman"/>
                <w:kern w:val="0"/>
                <w:szCs w:val="24"/>
              </w:rPr>
              <w:t>序号</w:t>
            </w:r>
          </w:p>
        </w:tc>
        <w:tc>
          <w:tcPr>
            <w:tcW w:w="3809" w:type="dxa"/>
            <w:noWrap/>
            <w:vAlign w:val="center"/>
          </w:tcPr>
          <w:p w14:paraId="38E271EA">
            <w:pPr>
              <w:jc w:val="center"/>
              <w:rPr>
                <w:rFonts w:hint="eastAsia" w:ascii="黑体" w:hAnsi="黑体" w:eastAsia="黑体" w:cs="Times New Roman"/>
                <w:kern w:val="0"/>
                <w:szCs w:val="24"/>
              </w:rPr>
            </w:pPr>
            <w:r>
              <w:rPr>
                <w:rFonts w:ascii="黑体" w:hAnsi="黑体" w:eastAsia="黑体" w:cs="Times New Roman"/>
                <w:kern w:val="0"/>
                <w:szCs w:val="24"/>
              </w:rPr>
              <w:t>遗产名称</w:t>
            </w:r>
          </w:p>
        </w:tc>
        <w:tc>
          <w:tcPr>
            <w:tcW w:w="9095" w:type="dxa"/>
            <w:vAlign w:val="center"/>
          </w:tcPr>
          <w:p w14:paraId="6D995DA8">
            <w:pPr>
              <w:jc w:val="center"/>
              <w:rPr>
                <w:rFonts w:hint="eastAsia" w:ascii="黑体" w:hAnsi="黑体" w:eastAsia="黑体" w:cs="Times New Roman"/>
                <w:kern w:val="0"/>
                <w:szCs w:val="24"/>
              </w:rPr>
            </w:pPr>
            <w:r>
              <w:rPr>
                <w:rFonts w:ascii="黑体" w:hAnsi="黑体" w:eastAsia="黑体" w:cs="Times New Roman"/>
                <w:kern w:val="0"/>
                <w:szCs w:val="24"/>
              </w:rPr>
              <w:t>地理位置</w:t>
            </w:r>
            <w:r>
              <w:rPr>
                <w:rFonts w:hint="eastAsia" w:ascii="黑体" w:hAnsi="黑体" w:eastAsia="黑体" w:cs="Times New Roman"/>
                <w:kern w:val="0"/>
                <w:szCs w:val="24"/>
              </w:rPr>
              <w:t>（说明：以行政村为基础单位，选取代表性区域）</w:t>
            </w:r>
          </w:p>
        </w:tc>
      </w:tr>
      <w:tr w14:paraId="3A778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3750" w:type="dxa"/>
            <w:gridSpan w:val="3"/>
            <w:noWrap/>
            <w:vAlign w:val="center"/>
          </w:tcPr>
          <w:p w14:paraId="279F96EF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Cs w:val="21"/>
              </w:rPr>
              <w:t>十三、江门（14个）</w:t>
            </w:r>
          </w:p>
        </w:tc>
      </w:tr>
      <w:tr w14:paraId="3A792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5BE26D23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127</w:t>
            </w:r>
          </w:p>
        </w:tc>
        <w:tc>
          <w:tcPr>
            <w:tcW w:w="3809" w:type="dxa"/>
            <w:noWrap/>
            <w:vAlign w:val="center"/>
          </w:tcPr>
          <w:p w14:paraId="1DC0AD64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江门蓬江杜阮凉瓜种植系统</w:t>
            </w:r>
          </w:p>
        </w:tc>
        <w:tc>
          <w:tcPr>
            <w:tcW w:w="9095" w:type="dxa"/>
            <w:vAlign w:val="center"/>
          </w:tcPr>
          <w:p w14:paraId="382925D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江门市蓬江区杜阮镇上巷村、龙眠村、杜阮村、井根村、中和村、长乔村</w:t>
            </w:r>
          </w:p>
        </w:tc>
      </w:tr>
      <w:tr w14:paraId="388BA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618A28FB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128</w:t>
            </w:r>
          </w:p>
        </w:tc>
        <w:tc>
          <w:tcPr>
            <w:tcW w:w="3809" w:type="dxa"/>
            <w:noWrap/>
            <w:vAlign w:val="center"/>
          </w:tcPr>
          <w:p w14:paraId="6894A07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江门新会甜橙种植系统</w:t>
            </w:r>
          </w:p>
        </w:tc>
        <w:tc>
          <w:tcPr>
            <w:tcW w:w="9095" w:type="dxa"/>
            <w:vAlign w:val="center"/>
          </w:tcPr>
          <w:p w14:paraId="196FC2C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江门市新会区崖门镇</w:t>
            </w:r>
          </w:p>
        </w:tc>
      </w:tr>
      <w:tr w14:paraId="35DAF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47443A98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129</w:t>
            </w:r>
          </w:p>
        </w:tc>
        <w:tc>
          <w:tcPr>
            <w:tcW w:w="3809" w:type="dxa"/>
            <w:noWrap/>
            <w:vAlign w:val="center"/>
          </w:tcPr>
          <w:p w14:paraId="7A34FC99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江门新会大红柑种植系统</w:t>
            </w:r>
          </w:p>
        </w:tc>
        <w:tc>
          <w:tcPr>
            <w:tcW w:w="9095" w:type="dxa"/>
            <w:vAlign w:val="center"/>
          </w:tcPr>
          <w:p w14:paraId="11D5BCE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江门市新会区会城街道茶坑村、天马村、大洞村，圭峰山，新会（柑）陈皮种质资源保护中心</w:t>
            </w:r>
          </w:p>
        </w:tc>
      </w:tr>
      <w:tr w14:paraId="69DFA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3D05125E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130</w:t>
            </w:r>
          </w:p>
        </w:tc>
        <w:tc>
          <w:tcPr>
            <w:tcW w:w="3809" w:type="dxa"/>
            <w:noWrap/>
            <w:vAlign w:val="center"/>
          </w:tcPr>
          <w:p w14:paraId="76C2D3FB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江门新会蒲葵种植与葵扇文化系统</w:t>
            </w:r>
          </w:p>
        </w:tc>
        <w:tc>
          <w:tcPr>
            <w:tcW w:w="9095" w:type="dxa"/>
            <w:vAlign w:val="center"/>
          </w:tcPr>
          <w:p w14:paraId="7B7370C2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江门市新会区会城街道城南村、群胜村、九龙村、二宁村、南庚村</w:t>
            </w:r>
          </w:p>
        </w:tc>
      </w:tr>
      <w:tr w14:paraId="56899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6E71A276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131</w:t>
            </w:r>
          </w:p>
        </w:tc>
        <w:tc>
          <w:tcPr>
            <w:tcW w:w="3809" w:type="dxa"/>
            <w:noWrap/>
            <w:vAlign w:val="center"/>
          </w:tcPr>
          <w:p w14:paraId="00DEE4D4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江门台山青蟹养殖系统</w:t>
            </w:r>
          </w:p>
        </w:tc>
        <w:tc>
          <w:tcPr>
            <w:tcW w:w="9095" w:type="dxa"/>
            <w:vAlign w:val="center"/>
          </w:tcPr>
          <w:p w14:paraId="57F10464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台山市都斛镇下莘村、白石村，海宴镇南丰村，赤溪镇护岭村，广海镇鲲鹏村</w:t>
            </w:r>
          </w:p>
        </w:tc>
      </w:tr>
      <w:tr w14:paraId="6F02A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4A551711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132</w:t>
            </w:r>
          </w:p>
        </w:tc>
        <w:tc>
          <w:tcPr>
            <w:tcW w:w="3809" w:type="dxa"/>
            <w:noWrap/>
            <w:vAlign w:val="center"/>
          </w:tcPr>
          <w:p w14:paraId="438ACEB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江门台山蚝养殖系统</w:t>
            </w:r>
          </w:p>
        </w:tc>
        <w:tc>
          <w:tcPr>
            <w:tcW w:w="9095" w:type="dxa"/>
            <w:vAlign w:val="center"/>
          </w:tcPr>
          <w:p w14:paraId="351957CF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台山市深井镇、汶村镇、北陡镇、海宴镇、川岛镇、广海镇、都斛镇、赤溪镇</w:t>
            </w:r>
          </w:p>
        </w:tc>
      </w:tr>
      <w:tr w14:paraId="28BA1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6967EA1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133</w:t>
            </w:r>
          </w:p>
        </w:tc>
        <w:tc>
          <w:tcPr>
            <w:tcW w:w="3809" w:type="dxa"/>
            <w:noWrap/>
            <w:vAlign w:val="center"/>
          </w:tcPr>
          <w:p w14:paraId="2EEF7AA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江门台山稻作文化系统</w:t>
            </w:r>
          </w:p>
        </w:tc>
        <w:tc>
          <w:tcPr>
            <w:tcW w:w="9095" w:type="dxa"/>
            <w:vAlign w:val="center"/>
          </w:tcPr>
          <w:p w14:paraId="6749BB03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台山市都斛镇莘村、下莘村、坦塘村、园美村、古逻村</w:t>
            </w:r>
          </w:p>
        </w:tc>
      </w:tr>
      <w:tr w14:paraId="6D623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07759B65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134</w:t>
            </w:r>
          </w:p>
        </w:tc>
        <w:tc>
          <w:tcPr>
            <w:tcW w:w="3809" w:type="dxa"/>
            <w:noWrap/>
            <w:vAlign w:val="center"/>
          </w:tcPr>
          <w:p w14:paraId="4246F3B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江门开平马冈鹅养殖系统</w:t>
            </w:r>
          </w:p>
        </w:tc>
        <w:tc>
          <w:tcPr>
            <w:tcW w:w="9095" w:type="dxa"/>
            <w:vAlign w:val="center"/>
          </w:tcPr>
          <w:p w14:paraId="4E2179AD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开平市马冈镇红丰村、虎山村、龙冈村</w:t>
            </w:r>
          </w:p>
        </w:tc>
      </w:tr>
      <w:tr w14:paraId="7B16E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65070A0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135</w:t>
            </w:r>
          </w:p>
        </w:tc>
        <w:tc>
          <w:tcPr>
            <w:tcW w:w="3809" w:type="dxa"/>
            <w:noWrap/>
            <w:vAlign w:val="center"/>
          </w:tcPr>
          <w:p w14:paraId="516CFF0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江门开平火蒜文化系统</w:t>
            </w:r>
          </w:p>
        </w:tc>
        <w:tc>
          <w:tcPr>
            <w:tcW w:w="9095" w:type="dxa"/>
            <w:vAlign w:val="center"/>
          </w:tcPr>
          <w:p w14:paraId="1A19FEB7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开平市水口镇金山村</w:t>
            </w:r>
          </w:p>
        </w:tc>
      </w:tr>
      <w:tr w14:paraId="6BA8F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707A8B9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136</w:t>
            </w:r>
          </w:p>
        </w:tc>
        <w:tc>
          <w:tcPr>
            <w:tcW w:w="3809" w:type="dxa"/>
            <w:noWrap/>
            <w:vAlign w:val="center"/>
          </w:tcPr>
          <w:p w14:paraId="2EAE19EE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江门开平大沙茶文化系统</w:t>
            </w:r>
          </w:p>
        </w:tc>
        <w:tc>
          <w:tcPr>
            <w:tcW w:w="9095" w:type="dxa"/>
            <w:vAlign w:val="center"/>
          </w:tcPr>
          <w:p w14:paraId="60C08F99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开平市大沙镇</w:t>
            </w:r>
          </w:p>
        </w:tc>
      </w:tr>
      <w:tr w14:paraId="5AA6E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6" w:type="dxa"/>
            <w:noWrap/>
            <w:vAlign w:val="center"/>
          </w:tcPr>
          <w:p w14:paraId="59DE32EB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137</w:t>
            </w:r>
          </w:p>
        </w:tc>
        <w:tc>
          <w:tcPr>
            <w:tcW w:w="3809" w:type="dxa"/>
            <w:noWrap/>
            <w:vAlign w:val="center"/>
          </w:tcPr>
          <w:p w14:paraId="39D94AF6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江门鹤山粉葛种植系统</w:t>
            </w:r>
          </w:p>
        </w:tc>
        <w:tc>
          <w:tcPr>
            <w:tcW w:w="9095" w:type="dxa"/>
            <w:vAlign w:val="center"/>
          </w:tcPr>
          <w:p w14:paraId="44F32707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鹤山市双合镇</w:t>
            </w:r>
          </w:p>
        </w:tc>
      </w:tr>
      <w:tr w14:paraId="2AE83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0CAD3AC7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138</w:t>
            </w:r>
          </w:p>
        </w:tc>
        <w:tc>
          <w:tcPr>
            <w:tcW w:w="3809" w:type="dxa"/>
            <w:noWrap/>
            <w:vAlign w:val="center"/>
          </w:tcPr>
          <w:p w14:paraId="26F165F3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江门鹤山古劳茶文化系统</w:t>
            </w:r>
          </w:p>
        </w:tc>
        <w:tc>
          <w:tcPr>
            <w:tcW w:w="9095" w:type="dxa"/>
            <w:vAlign w:val="center"/>
          </w:tcPr>
          <w:p w14:paraId="6FBD90B6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鹤山市古劳镇</w:t>
            </w:r>
          </w:p>
        </w:tc>
      </w:tr>
      <w:tr w14:paraId="5DDF3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56FA487E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139</w:t>
            </w:r>
          </w:p>
        </w:tc>
        <w:tc>
          <w:tcPr>
            <w:tcW w:w="3809" w:type="dxa"/>
            <w:noWrap/>
            <w:vAlign w:val="center"/>
          </w:tcPr>
          <w:p w14:paraId="14E61FCC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江门鹤山基塘农业系统</w:t>
            </w:r>
          </w:p>
        </w:tc>
        <w:tc>
          <w:tcPr>
            <w:tcW w:w="9095" w:type="dxa"/>
            <w:vAlign w:val="center"/>
          </w:tcPr>
          <w:p w14:paraId="76B240E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鹤山市古劳镇双桥村、上升村、新星村、古劳村、坡山村</w:t>
            </w:r>
          </w:p>
        </w:tc>
      </w:tr>
      <w:tr w14:paraId="457A2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6E423EB8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140</w:t>
            </w:r>
          </w:p>
        </w:tc>
        <w:tc>
          <w:tcPr>
            <w:tcW w:w="3809" w:type="dxa"/>
            <w:noWrap/>
            <w:vAlign w:val="center"/>
          </w:tcPr>
          <w:p w14:paraId="64DACD04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江门恩平簕菜采集与利用系统</w:t>
            </w:r>
          </w:p>
        </w:tc>
        <w:tc>
          <w:tcPr>
            <w:tcW w:w="9095" w:type="dxa"/>
            <w:vAlign w:val="center"/>
          </w:tcPr>
          <w:p w14:paraId="48B91916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恩平市恩平街道米仓村、石联村，那吉镇那西村，大槐镇河湾村、良洞村</w:t>
            </w:r>
          </w:p>
        </w:tc>
      </w:tr>
    </w:tbl>
    <w:p w14:paraId="3C70E372"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revisionView w:markup="0"/>
  <w:documentProtection w:enforcement="0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4E5"/>
    <w:rsid w:val="000B66B3"/>
    <w:rsid w:val="000D768D"/>
    <w:rsid w:val="00104345"/>
    <w:rsid w:val="00130330"/>
    <w:rsid w:val="001539B7"/>
    <w:rsid w:val="00165FBA"/>
    <w:rsid w:val="0017306C"/>
    <w:rsid w:val="001B3EC7"/>
    <w:rsid w:val="001D2F07"/>
    <w:rsid w:val="001E5133"/>
    <w:rsid w:val="001F3B2E"/>
    <w:rsid w:val="00215A7B"/>
    <w:rsid w:val="002242B7"/>
    <w:rsid w:val="002D4A63"/>
    <w:rsid w:val="002E48FC"/>
    <w:rsid w:val="002E5876"/>
    <w:rsid w:val="002E794A"/>
    <w:rsid w:val="002F171E"/>
    <w:rsid w:val="00316F9A"/>
    <w:rsid w:val="00336A05"/>
    <w:rsid w:val="00346564"/>
    <w:rsid w:val="003547B0"/>
    <w:rsid w:val="00384DC3"/>
    <w:rsid w:val="00466692"/>
    <w:rsid w:val="004815D9"/>
    <w:rsid w:val="004944E5"/>
    <w:rsid w:val="004E0C18"/>
    <w:rsid w:val="00527347"/>
    <w:rsid w:val="00586A36"/>
    <w:rsid w:val="005A1BD1"/>
    <w:rsid w:val="005B642D"/>
    <w:rsid w:val="005E3074"/>
    <w:rsid w:val="005E4665"/>
    <w:rsid w:val="00615E31"/>
    <w:rsid w:val="00633159"/>
    <w:rsid w:val="00697A79"/>
    <w:rsid w:val="006A5A3C"/>
    <w:rsid w:val="006B253C"/>
    <w:rsid w:val="00701F2A"/>
    <w:rsid w:val="00762AED"/>
    <w:rsid w:val="007E3194"/>
    <w:rsid w:val="008347C1"/>
    <w:rsid w:val="00845B11"/>
    <w:rsid w:val="00891B75"/>
    <w:rsid w:val="008A2EE7"/>
    <w:rsid w:val="008B1595"/>
    <w:rsid w:val="008B2DAA"/>
    <w:rsid w:val="008D058E"/>
    <w:rsid w:val="008E6BFD"/>
    <w:rsid w:val="008E7238"/>
    <w:rsid w:val="009850B2"/>
    <w:rsid w:val="00990E92"/>
    <w:rsid w:val="009A1699"/>
    <w:rsid w:val="009B6597"/>
    <w:rsid w:val="009C799B"/>
    <w:rsid w:val="009D1925"/>
    <w:rsid w:val="009E2D04"/>
    <w:rsid w:val="009F62B9"/>
    <w:rsid w:val="00A069A0"/>
    <w:rsid w:val="00A420BC"/>
    <w:rsid w:val="00B87045"/>
    <w:rsid w:val="00C37E2F"/>
    <w:rsid w:val="00C41E77"/>
    <w:rsid w:val="00C750BF"/>
    <w:rsid w:val="00C821E3"/>
    <w:rsid w:val="00CD0DF0"/>
    <w:rsid w:val="00CF0A0C"/>
    <w:rsid w:val="00D33C4A"/>
    <w:rsid w:val="00D41407"/>
    <w:rsid w:val="00D94F7C"/>
    <w:rsid w:val="00DC5B26"/>
    <w:rsid w:val="00E12202"/>
    <w:rsid w:val="00E16F88"/>
    <w:rsid w:val="00E763FB"/>
    <w:rsid w:val="00E81748"/>
    <w:rsid w:val="00EB65DB"/>
    <w:rsid w:val="00ED5B37"/>
    <w:rsid w:val="00F317F6"/>
    <w:rsid w:val="00F644DE"/>
    <w:rsid w:val="00FB22A6"/>
    <w:rsid w:val="00FC1F0B"/>
    <w:rsid w:val="00FE5509"/>
    <w:rsid w:val="00FF206E"/>
    <w:rsid w:val="00FF25C7"/>
    <w:rsid w:val="00FF3842"/>
    <w:rsid w:val="2558537C"/>
    <w:rsid w:val="3E4B3603"/>
    <w:rsid w:val="63A633B4"/>
    <w:rsid w:val="9E74A240"/>
    <w:rsid w:val="BFBA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38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39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40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41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42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9">
    <w:name w:val="Default Paragraph Font"/>
    <w:semiHidden/>
    <w:unhideWhenUsed/>
    <w:qFormat/>
    <w:uiPriority w:val="1"/>
  </w:style>
  <w:style w:type="table" w:default="1" w:styleId="2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160" w:line="278" w:lineRule="auto"/>
      <w:ind w:left="2520" w:leftChars="1200"/>
      <w:jc w:val="left"/>
    </w:pPr>
    <w:rPr>
      <w:sz w:val="22"/>
      <w:szCs w:val="24"/>
      <w14:ligatures w14:val="standardContextual"/>
    </w:rPr>
  </w:style>
  <w:style w:type="paragraph" w:styleId="12">
    <w:name w:val="toc 5"/>
    <w:basedOn w:val="1"/>
    <w:next w:val="1"/>
    <w:unhideWhenUsed/>
    <w:qFormat/>
    <w:uiPriority w:val="39"/>
    <w:pPr>
      <w:spacing w:after="160" w:line="278" w:lineRule="auto"/>
      <w:ind w:left="1680" w:leftChars="800"/>
      <w:jc w:val="left"/>
    </w:pPr>
    <w:rPr>
      <w:sz w:val="22"/>
      <w:szCs w:val="24"/>
      <w14:ligatures w14:val="standardContextual"/>
    </w:rPr>
  </w:style>
  <w:style w:type="paragraph" w:styleId="13">
    <w:name w:val="toc 3"/>
    <w:basedOn w:val="1"/>
    <w:next w:val="1"/>
    <w:unhideWhenUsed/>
    <w:qFormat/>
    <w:uiPriority w:val="39"/>
    <w:pPr>
      <w:spacing w:after="160" w:line="278" w:lineRule="auto"/>
      <w:ind w:left="840" w:leftChars="400"/>
      <w:jc w:val="left"/>
    </w:pPr>
    <w:rPr>
      <w:sz w:val="22"/>
      <w:szCs w:val="24"/>
      <w14:ligatures w14:val="standardContextual"/>
    </w:rPr>
  </w:style>
  <w:style w:type="paragraph" w:styleId="14">
    <w:name w:val="toc 8"/>
    <w:basedOn w:val="1"/>
    <w:next w:val="1"/>
    <w:unhideWhenUsed/>
    <w:qFormat/>
    <w:uiPriority w:val="39"/>
    <w:pPr>
      <w:spacing w:after="160" w:line="278" w:lineRule="auto"/>
      <w:ind w:left="2940" w:leftChars="1400"/>
      <w:jc w:val="left"/>
    </w:pPr>
    <w:rPr>
      <w:sz w:val="22"/>
      <w:szCs w:val="24"/>
      <w14:ligatures w14:val="standardContextual"/>
    </w:rPr>
  </w:style>
  <w:style w:type="paragraph" w:styleId="15">
    <w:name w:val="Balloon Text"/>
    <w:basedOn w:val="1"/>
    <w:link w:val="72"/>
    <w:semiHidden/>
    <w:unhideWhenUsed/>
    <w:qFormat/>
    <w:uiPriority w:val="99"/>
    <w:rPr>
      <w:sz w:val="18"/>
      <w:szCs w:val="18"/>
    </w:rPr>
  </w:style>
  <w:style w:type="paragraph" w:styleId="16">
    <w:name w:val="footer"/>
    <w:basedOn w:val="17"/>
    <w:link w:val="52"/>
    <w:unhideWhenUsed/>
    <w:qFormat/>
    <w:uiPriority w:val="99"/>
    <w:pPr>
      <w:tabs>
        <w:tab w:val="center" w:pos="4153"/>
        <w:tab w:val="right" w:pos="8306"/>
      </w:tabs>
    </w:pPr>
  </w:style>
  <w:style w:type="paragraph" w:styleId="17">
    <w:name w:val="footnote text"/>
    <w:basedOn w:val="1"/>
    <w:link w:val="55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  <w:lang w:val="zh-CN"/>
    </w:rPr>
  </w:style>
  <w:style w:type="paragraph" w:styleId="18">
    <w:name w:val="header"/>
    <w:basedOn w:val="1"/>
    <w:link w:val="5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</w:style>
  <w:style w:type="paragraph" w:styleId="20">
    <w:name w:val="toc 4"/>
    <w:basedOn w:val="1"/>
    <w:next w:val="1"/>
    <w:unhideWhenUsed/>
    <w:qFormat/>
    <w:uiPriority w:val="39"/>
    <w:pPr>
      <w:spacing w:after="160" w:line="278" w:lineRule="auto"/>
      <w:ind w:left="1260" w:leftChars="600"/>
      <w:jc w:val="left"/>
    </w:pPr>
    <w:rPr>
      <w:sz w:val="22"/>
      <w:szCs w:val="24"/>
      <w14:ligatures w14:val="standardContextual"/>
    </w:rPr>
  </w:style>
  <w:style w:type="paragraph" w:styleId="21">
    <w:name w:val="Subtitle"/>
    <w:basedOn w:val="1"/>
    <w:next w:val="1"/>
    <w:link w:val="44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2">
    <w:name w:val="toc 6"/>
    <w:basedOn w:val="1"/>
    <w:next w:val="1"/>
    <w:unhideWhenUsed/>
    <w:qFormat/>
    <w:uiPriority w:val="39"/>
    <w:pPr>
      <w:spacing w:after="160" w:line="278" w:lineRule="auto"/>
      <w:ind w:left="2100" w:leftChars="1000"/>
      <w:jc w:val="left"/>
    </w:pPr>
    <w:rPr>
      <w:sz w:val="22"/>
      <w:szCs w:val="24"/>
      <w14:ligatures w14:val="standardContextual"/>
    </w:rPr>
  </w:style>
  <w:style w:type="paragraph" w:styleId="23">
    <w:name w:val="toc 2"/>
    <w:basedOn w:val="1"/>
    <w:next w:val="1"/>
    <w:unhideWhenUsed/>
    <w:qFormat/>
    <w:uiPriority w:val="39"/>
    <w:pPr>
      <w:tabs>
        <w:tab w:val="right" w:leader="dot" w:pos="8296"/>
      </w:tabs>
      <w:jc w:val="center"/>
    </w:pPr>
  </w:style>
  <w:style w:type="paragraph" w:styleId="24">
    <w:name w:val="toc 9"/>
    <w:basedOn w:val="1"/>
    <w:next w:val="1"/>
    <w:unhideWhenUsed/>
    <w:qFormat/>
    <w:uiPriority w:val="39"/>
    <w:pPr>
      <w:spacing w:after="160" w:line="278" w:lineRule="auto"/>
      <w:ind w:left="3360" w:leftChars="1600"/>
      <w:jc w:val="left"/>
    </w:pPr>
    <w:rPr>
      <w:sz w:val="22"/>
      <w:szCs w:val="24"/>
      <w14:ligatures w14:val="standardContextual"/>
    </w:rPr>
  </w:style>
  <w:style w:type="paragraph" w:styleId="2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26">
    <w:name w:val="Title"/>
    <w:basedOn w:val="1"/>
    <w:next w:val="1"/>
    <w:link w:val="43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28">
    <w:name w:val="Table Grid"/>
    <w:basedOn w:val="2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0">
    <w:name w:val="Strong"/>
    <w:qFormat/>
    <w:uiPriority w:val="0"/>
    <w:rPr>
      <w:b/>
      <w:bCs/>
    </w:rPr>
  </w:style>
  <w:style w:type="character" w:styleId="31">
    <w:name w:val="Emphasis"/>
    <w:qFormat/>
    <w:uiPriority w:val="20"/>
    <w:rPr>
      <w:i/>
      <w:iCs/>
    </w:rPr>
  </w:style>
  <w:style w:type="character" w:styleId="32">
    <w:name w:val="Hyperlink"/>
    <w:basedOn w:val="2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29"/>
    <w:qFormat/>
    <w:uiPriority w:val="99"/>
    <w:rPr>
      <w:vertAlign w:val="superscript"/>
    </w:rPr>
  </w:style>
  <w:style w:type="character" w:customStyle="1" w:styleId="34">
    <w:name w:val="标题 1 字符"/>
    <w:basedOn w:val="29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35">
    <w:name w:val="标题 2 字符"/>
    <w:basedOn w:val="29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36">
    <w:name w:val="标题 3 字符"/>
    <w:basedOn w:val="29"/>
    <w:link w:val="4"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37">
    <w:name w:val="标题 4 字符"/>
    <w:basedOn w:val="29"/>
    <w:link w:val="5"/>
    <w:qFormat/>
    <w:uiPriority w:val="9"/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character" w:customStyle="1" w:styleId="38">
    <w:name w:val="标题 5 字符"/>
    <w:basedOn w:val="29"/>
    <w:link w:val="6"/>
    <w:semiHidden/>
    <w:qFormat/>
    <w:uiPriority w:val="9"/>
    <w:rPr>
      <w:rFonts w:asciiTheme="minorHAnsi" w:hAnsiTheme="minorHAnsi" w:eastAsiaTheme="minorEastAsia" w:cstheme="majorBidi"/>
      <w:color w:val="2F5597" w:themeColor="accent1" w:themeShade="BF"/>
      <w:sz w:val="24"/>
      <w:szCs w:val="24"/>
    </w:rPr>
  </w:style>
  <w:style w:type="character" w:customStyle="1" w:styleId="39">
    <w:name w:val="标题 6 字符"/>
    <w:basedOn w:val="29"/>
    <w:link w:val="7"/>
    <w:semiHidden/>
    <w:qFormat/>
    <w:uiPriority w:val="9"/>
    <w:rPr>
      <w:rFonts w:asciiTheme="minorHAnsi" w:hAnsiTheme="minorHAnsi" w:eastAsiaTheme="minorEastAsia" w:cstheme="majorBidi"/>
      <w:b/>
      <w:bCs/>
      <w:color w:val="2F5597" w:themeColor="accent1" w:themeShade="BF"/>
    </w:rPr>
  </w:style>
  <w:style w:type="character" w:customStyle="1" w:styleId="40">
    <w:name w:val="标题 7 字符"/>
    <w:basedOn w:val="29"/>
    <w:link w:val="8"/>
    <w:semiHidden/>
    <w:qFormat/>
    <w:uiPriority w:val="9"/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1">
    <w:name w:val="标题 8 字符"/>
    <w:basedOn w:val="29"/>
    <w:link w:val="9"/>
    <w:semiHidden/>
    <w:qFormat/>
    <w:uiPriority w:val="9"/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2">
    <w:name w:val="标题 9 字符"/>
    <w:basedOn w:val="29"/>
    <w:link w:val="10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3">
    <w:name w:val="标题 字符"/>
    <w:basedOn w:val="29"/>
    <w:link w:val="2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44">
    <w:name w:val="副标题 字符"/>
    <w:basedOn w:val="29"/>
    <w:link w:val="2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45">
    <w:name w:val="Quote"/>
    <w:basedOn w:val="1"/>
    <w:next w:val="1"/>
    <w:link w:val="46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6">
    <w:name w:val="引用 字符"/>
    <w:basedOn w:val="29"/>
    <w:link w:val="45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47">
    <w:name w:val="List Paragraph"/>
    <w:basedOn w:val="1"/>
    <w:qFormat/>
    <w:uiPriority w:val="34"/>
    <w:pPr>
      <w:ind w:left="720"/>
      <w:contextualSpacing/>
    </w:pPr>
  </w:style>
  <w:style w:type="character" w:customStyle="1" w:styleId="48">
    <w:name w:val="明显强调1"/>
    <w:basedOn w:val="29"/>
    <w:qFormat/>
    <w:uiPriority w:val="21"/>
    <w:rPr>
      <w:i/>
      <w:iCs/>
      <w:color w:val="2F5597" w:themeColor="accent1" w:themeShade="BF"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50">
    <w:name w:val="明显引用 字符"/>
    <w:basedOn w:val="29"/>
    <w:link w:val="49"/>
    <w:qFormat/>
    <w:uiPriority w:val="30"/>
    <w:rPr>
      <w:i/>
      <w:iCs/>
      <w:color w:val="2F5597" w:themeColor="accent1" w:themeShade="BF"/>
    </w:rPr>
  </w:style>
  <w:style w:type="character" w:customStyle="1" w:styleId="51">
    <w:name w:val="明显参考1"/>
    <w:basedOn w:val="29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52">
    <w:name w:val="页脚 字符"/>
    <w:basedOn w:val="29"/>
    <w:link w:val="16"/>
    <w:qFormat/>
    <w:uiPriority w:val="99"/>
    <w:rPr>
      <w:rFonts w:ascii="Calibri" w:hAnsi="Calibri"/>
      <w:sz w:val="18"/>
      <w:szCs w:val="18"/>
      <w:lang w:val="zh-CN"/>
      <w14:ligatures w14:val="none"/>
    </w:rPr>
  </w:style>
  <w:style w:type="character" w:customStyle="1" w:styleId="53">
    <w:name w:val="脚注文本 字符"/>
    <w:basedOn w:val="29"/>
    <w:qFormat/>
    <w:uiPriority w:val="0"/>
    <w:rPr>
      <w:rFonts w:asciiTheme="minorHAnsi" w:hAnsiTheme="minorHAnsi" w:eastAsiaTheme="minorEastAsia" w:cstheme="minorBidi"/>
      <w:sz w:val="18"/>
      <w:szCs w:val="18"/>
      <w14:ligatures w14:val="none"/>
    </w:rPr>
  </w:style>
  <w:style w:type="character" w:customStyle="1" w:styleId="54">
    <w:name w:val="页眉 字符"/>
    <w:basedOn w:val="29"/>
    <w:link w:val="18"/>
    <w:qFormat/>
    <w:uiPriority w:val="99"/>
    <w:rPr>
      <w:rFonts w:asciiTheme="minorHAnsi" w:hAnsiTheme="minorHAnsi" w:eastAsiaTheme="minorEastAsia" w:cstheme="minorBidi"/>
      <w:sz w:val="18"/>
      <w:szCs w:val="18"/>
      <w14:ligatures w14:val="none"/>
    </w:rPr>
  </w:style>
  <w:style w:type="character" w:customStyle="1" w:styleId="55">
    <w:name w:val="脚注文本 字符1"/>
    <w:link w:val="17"/>
    <w:qFormat/>
    <w:uiPriority w:val="0"/>
    <w:rPr>
      <w:rFonts w:ascii="Calibri" w:hAnsi="Calibri"/>
      <w:sz w:val="18"/>
      <w:szCs w:val="18"/>
      <w:lang w:val="zh-CN"/>
      <w14:ligatures w14:val="none"/>
    </w:rPr>
  </w:style>
  <w:style w:type="paragraph" w:customStyle="1" w:styleId="56">
    <w:name w:val="修订1"/>
    <w: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57">
    <w:name w:val="未处理的提及1"/>
    <w:basedOn w:val="29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58">
    <w:name w:val="网格型1"/>
    <w:basedOn w:val="27"/>
    <w:qFormat/>
    <w:uiPriority w:val="3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9">
    <w:name w:val="NormalCharacter"/>
    <w:semiHidden/>
    <w:qFormat/>
    <w:uiPriority w:val="0"/>
  </w:style>
  <w:style w:type="paragraph" w:customStyle="1" w:styleId="60">
    <w:name w:val="修订2"/>
    <w:hidden/>
    <w:unhideWhenUsed/>
    <w:qFormat/>
    <w:uiPriority w:val="99"/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table" w:customStyle="1" w:styleId="61">
    <w:name w:val="网格型2"/>
    <w:basedOn w:val="2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2">
    <w:name w:val="No Spacing"/>
    <w:qFormat/>
    <w:uiPriority w:val="1"/>
    <w:rPr>
      <w:rFonts w:eastAsia="宋体" w:asciiTheme="majorHAnsi" w:hAnsiTheme="majorHAnsi" w:cstheme="majorBidi"/>
      <w:color w:val="000000"/>
      <w:sz w:val="24"/>
      <w:szCs w:val="18"/>
      <w:lang w:val="en-US" w:eastAsia="zh-CN" w:bidi="ar-SA"/>
    </w:rPr>
  </w:style>
  <w:style w:type="character" w:customStyle="1" w:styleId="63">
    <w:name w:val="标题 3 字符1"/>
    <w:qFormat/>
    <w:uiPriority w:val="0"/>
    <w:rPr>
      <w:rFonts w:ascii="Times New Roman" w:hAnsi="Times New Roman" w:eastAsia="黑体"/>
      <w:sz w:val="24"/>
    </w:rPr>
  </w:style>
  <w:style w:type="paragraph" w:customStyle="1" w:styleId="64">
    <w:name w:val="acbfdd8b-e11b-4d36-88ff-6049b138f862"/>
    <w:basedOn w:val="1"/>
    <w:qFormat/>
    <w:uiPriority w:val="0"/>
    <w:pPr>
      <w:adjustRightInd w:val="0"/>
      <w:spacing w:line="288" w:lineRule="auto"/>
      <w:ind w:firstLine="200" w:firstLineChars="200"/>
      <w:jc w:val="left"/>
    </w:pPr>
    <w:rPr>
      <w:rFonts w:ascii="微软雅黑" w:hAnsi="微软雅黑" w:eastAsia="微软雅黑"/>
      <w:color w:val="000000"/>
      <w:kern w:val="0"/>
      <w:sz w:val="22"/>
    </w:rPr>
  </w:style>
  <w:style w:type="paragraph" w:customStyle="1" w:styleId="65">
    <w:name w:val="Table Paragraph"/>
    <w:basedOn w:val="1"/>
    <w:qFormat/>
    <w:uiPriority w:val="1"/>
    <w:rPr>
      <w:rFonts w:ascii="宋体" w:hAnsi="宋体" w:eastAsia="宋体" w:cs="宋体"/>
    </w:rPr>
  </w:style>
  <w:style w:type="character" w:customStyle="1" w:styleId="66">
    <w:name w:val="超链接1"/>
    <w:basedOn w:val="29"/>
    <w:unhideWhenUsed/>
    <w:qFormat/>
    <w:uiPriority w:val="99"/>
    <w:rPr>
      <w:color w:val="0563C1"/>
      <w:u w:val="single"/>
    </w:rPr>
  </w:style>
  <w:style w:type="paragraph" w:customStyle="1" w:styleId="67">
    <w:name w:val="段"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68">
    <w:name w:val="脚注"/>
    <w:basedOn w:val="17"/>
    <w:link w:val="69"/>
    <w:qFormat/>
    <w:uiPriority w:val="0"/>
    <w:pPr>
      <w:spacing w:line="360" w:lineRule="auto"/>
      <w:ind w:left="270" w:hanging="270" w:hangingChars="150"/>
    </w:pPr>
    <w:rPr>
      <w:rFonts w:ascii="宋体" w:hAnsi="宋体" w:eastAsiaTheme="minorEastAsia" w:cstheme="minorBidi"/>
      <w:lang w:val="en-US"/>
    </w:rPr>
  </w:style>
  <w:style w:type="character" w:customStyle="1" w:styleId="69">
    <w:name w:val="脚注 字符"/>
    <w:basedOn w:val="53"/>
    <w:link w:val="68"/>
    <w:qFormat/>
    <w:uiPriority w:val="0"/>
    <w:rPr>
      <w:rFonts w:ascii="宋体" w:hAnsi="宋体" w:eastAsiaTheme="minorEastAsia" w:cstheme="minorBidi"/>
      <w:sz w:val="18"/>
      <w:szCs w:val="18"/>
      <w14:ligatures w14:val="none"/>
    </w:rPr>
  </w:style>
  <w:style w:type="character" w:customStyle="1" w:styleId="70">
    <w:name w:val="未处理的提及2"/>
    <w:basedOn w:val="2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71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72">
    <w:name w:val="批注框文本 字符"/>
    <w:basedOn w:val="29"/>
    <w:link w:val="15"/>
    <w:semiHidden/>
    <w:qFormat/>
    <w:uiPriority w:val="99"/>
    <w:rPr>
      <w:rFonts w:asciiTheme="minorHAnsi" w:hAnsiTheme="minorHAnsi" w:eastAsiaTheme="minorEastAsia" w:cstheme="minorBidi"/>
      <w:sz w:val="18"/>
      <w:szCs w:val="18"/>
      <w14:ligatures w14:val="none"/>
    </w:rPr>
  </w:style>
  <w:style w:type="paragraph" w:customStyle="1" w:styleId="73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4146</Words>
  <Characters>4401</Characters>
  <Lines>68</Lines>
  <Paragraphs>19</Paragraphs>
  <TotalTime>52</TotalTime>
  <ScaleCrop>false</ScaleCrop>
  <LinksUpToDate>false</LinksUpToDate>
  <CharactersWithSpaces>4401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2026-07-28T02:03:00Z</dcterms:created>
  <dc:creator>fei zhao</dc:creator>
  <cp:lastModifiedBy>Administrator</cp:lastModifiedBy>
  <dcterms:modified xsi:type="dcterms:W3CDTF">2026-08-07T09:34:31Z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eyJoZGlkIjoiZGVmNTY4NTA5ZWFhM2RlNjBlZGY0NjkyMTk4ZGNjZWIiLCJ1c2VySWQiOiIxNjU0MTQ3Njc3In0=</vt:lpwstr>
  </property>
  <property fmtid="{D5CDD505-2E9C-101B-9397-08002B2CF9AE}" pid="3" name="KSOProductBuildVer">
    <vt:lpwstr>2052-12.1.0.25835</vt:lpwstr>
  </property>
  <property fmtid="{D5CDD505-2E9C-101B-9397-08002B2CF9AE}" pid="4" name="ICV">
    <vt:lpwstr>B5A928C542986DE21D84756A74729F45</vt:lpwstr>
  </property>
  <property fmtid="{D5CDD505-2E9C-101B-9397-08002B2CF9AE}" pid="5" name="showFlag">
    <vt:bool>true</vt:bool>
  </property>
</Properties>
</file>