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D4CFB8">
      <w:pPr>
        <w:jc w:val="left"/>
        <w:rPr>
          <w:rFonts w:hint="default" w:ascii="Times New Roman" w:hAnsi="Times New Roman" w:eastAsia="黑体" w:cs="Times New Roman"/>
          <w:b/>
          <w:color w:val="000000"/>
          <w:sz w:val="28"/>
          <w:szCs w:val="28"/>
        </w:rPr>
      </w:pPr>
      <w:r>
        <w:rPr>
          <w:rFonts w:hint="default" w:ascii="Times New Roman" w:hAnsi="Times New Roman" w:eastAsia="黑体" w:cs="Times New Roman"/>
          <w:b/>
          <w:color w:val="000000"/>
          <w:sz w:val="28"/>
          <w:szCs w:val="28"/>
        </w:rPr>
        <w:t>附件2：</w:t>
      </w:r>
    </w:p>
    <w:p w14:paraId="05AF6091">
      <w:pPr>
        <w:ind w:firstLine="803" w:firstLineChars="200"/>
        <w:jc w:val="center"/>
        <w:rPr>
          <w:rFonts w:hint="default" w:ascii="Times New Roman" w:hAnsi="Times New Roman" w:cs="Times New Roman"/>
          <w:b/>
          <w:bCs/>
          <w:sz w:val="40"/>
          <w:szCs w:val="40"/>
        </w:rPr>
      </w:pPr>
      <w:r>
        <w:rPr>
          <w:rFonts w:hint="default" w:ascii="Times New Roman" w:hAnsi="Times New Roman" w:cs="Times New Roman"/>
          <w:b/>
          <w:bCs/>
          <w:sz w:val="40"/>
          <w:szCs w:val="40"/>
        </w:rPr>
        <w:t>江门市现代农业综合示范基地温室大棚商业性  自然灾害保险服务采购项目评审办法</w:t>
      </w:r>
    </w:p>
    <w:p w14:paraId="6FC4AD36">
      <w:pPr>
        <w:ind w:firstLine="482" w:firstLineChars="200"/>
        <w:jc w:val="center"/>
        <w:rPr>
          <w:rFonts w:hint="default" w:ascii="Times New Roman" w:hAnsi="Times New Roman" w:cs="Times New Roman"/>
          <w:b/>
          <w:bCs/>
          <w:sz w:val="24"/>
          <w:szCs w:val="24"/>
        </w:rPr>
      </w:pPr>
    </w:p>
    <w:p w14:paraId="6F48B62E">
      <w:pPr>
        <w:ind w:firstLine="1280" w:firstLineChars="4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一、项目基本情况和评审要求</w:t>
      </w:r>
    </w:p>
    <w:p w14:paraId="4FBBF8FE">
      <w:pPr>
        <w:ind w:left="630"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竞争性磋商采购评审小组由5人组成（我中心</w:t>
      </w:r>
      <w:r>
        <w:rPr>
          <w:rFonts w:hint="eastAsia" w:eastAsia="仿宋" w:cs="Times New Roman"/>
          <w:sz w:val="32"/>
          <w:szCs w:val="32"/>
          <w:lang w:eastAsia="zh-CN"/>
        </w:rPr>
        <w:t>工作人员</w:t>
      </w:r>
      <w:r>
        <w:rPr>
          <w:rFonts w:hint="default" w:ascii="Times New Roman" w:hAnsi="Times New Roman" w:eastAsia="仿宋" w:cs="Times New Roman"/>
          <w:sz w:val="32"/>
          <w:szCs w:val="32"/>
        </w:rPr>
        <w:t>1人</w:t>
      </w:r>
      <w:r>
        <w:rPr>
          <w:rFonts w:hint="eastAsia" w:eastAsia="仿宋" w:cs="Times New Roman"/>
          <w:sz w:val="32"/>
          <w:szCs w:val="32"/>
          <w:lang w:eastAsia="zh-CN"/>
        </w:rPr>
        <w:t>，</w:t>
      </w:r>
      <w:r>
        <w:rPr>
          <w:rFonts w:hint="default" w:ascii="Times New Roman" w:hAnsi="Times New Roman" w:eastAsia="仿宋" w:cs="Times New Roman"/>
          <w:sz w:val="32"/>
          <w:szCs w:val="32"/>
        </w:rPr>
        <w:t>邀请律师、保险行业人员各1人，</w:t>
      </w:r>
      <w:r>
        <w:rPr>
          <w:rFonts w:hint="eastAsia" w:eastAsia="仿宋" w:cs="Times New Roman"/>
          <w:sz w:val="32"/>
          <w:szCs w:val="32"/>
          <w:lang w:eastAsia="zh-CN"/>
        </w:rPr>
        <w:t>局</w:t>
      </w:r>
      <w:r>
        <w:rPr>
          <w:rFonts w:hint="default" w:ascii="Times New Roman" w:hAnsi="Times New Roman" w:eastAsia="仿宋" w:cs="Times New Roman"/>
          <w:sz w:val="32"/>
          <w:szCs w:val="32"/>
        </w:rPr>
        <w:t>专家库抽选会计、农业专家各1人）。</w:t>
      </w:r>
    </w:p>
    <w:p w14:paraId="7C24A0EE">
      <w:pPr>
        <w:ind w:left="630"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本次采购提交响应文件并符合资格条件的供应商须不少于三家，否则需重新挂网和重新邀请。评审小组对供应商提交的响应文件进行公开唱标(评审过程中只有两家符合资格条件的可以继续进行)，给予不少二次的报价，通过综合评分标准评审，综合评分最高的成为成交供应商，由我中心书面通知供应商。</w:t>
      </w:r>
    </w:p>
    <w:p w14:paraId="477FF7DB">
      <w:pPr>
        <w:ind w:left="630"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(一)采购项目名称：江门市现代农业综合示范基地温室大棚商业性自然灾害保险服务</w:t>
      </w:r>
    </w:p>
    <w:p w14:paraId="469D4704">
      <w:pPr>
        <w:ind w:left="630"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(二)保险标的：</w:t>
      </w:r>
      <w:r>
        <w:rPr>
          <w:rFonts w:hint="default" w:ascii="Times New Roman" w:hAnsi="Times New Roman" w:eastAsia="仿宋" w:cs="Times New Roman"/>
          <w:sz w:val="32"/>
          <w:szCs w:val="32"/>
          <w:lang w:val="zh-CN"/>
        </w:rPr>
        <w:t>温室大棚</w:t>
      </w:r>
      <w:r>
        <w:rPr>
          <w:rFonts w:hint="default" w:ascii="Times New Roman" w:hAnsi="Times New Roman" w:eastAsia="仿宋" w:cs="Times New Roman"/>
          <w:sz w:val="32"/>
          <w:szCs w:val="32"/>
        </w:rPr>
        <w:t>共</w:t>
      </w:r>
      <w:r>
        <w:rPr>
          <w:rFonts w:hint="default" w:ascii="Times New Roman" w:hAnsi="Times New Roman" w:eastAsia="仿宋" w:cs="Times New Roman"/>
          <w:sz w:val="32"/>
          <w:szCs w:val="32"/>
          <w:lang w:val="en-US" w:eastAsia="zh-CN"/>
        </w:rPr>
        <w:t>28</w:t>
      </w:r>
      <w:r>
        <w:rPr>
          <w:rFonts w:hint="eastAsia" w:eastAsia="仿宋" w:cs="Times New Roman"/>
          <w:sz w:val="32"/>
          <w:szCs w:val="32"/>
          <w:lang w:val="en-US" w:eastAsia="zh-CN"/>
        </w:rPr>
        <w:t>座</w:t>
      </w:r>
      <w:r>
        <w:rPr>
          <w:rFonts w:hint="eastAsia" w:eastAsia="仿宋" w:cs="Times New Roman"/>
          <w:sz w:val="32"/>
          <w:szCs w:val="32"/>
          <w:lang w:val="zh-CN" w:eastAsia="zh-CN"/>
        </w:rPr>
        <w:t>（含</w:t>
      </w:r>
      <w:r>
        <w:rPr>
          <w:rFonts w:hint="eastAsia" w:eastAsia="仿宋" w:cs="Times New Roman"/>
          <w:sz w:val="32"/>
          <w:szCs w:val="32"/>
          <w:lang w:val="en-US" w:eastAsia="zh-CN"/>
        </w:rPr>
        <w:t>2座在建大棚</w:t>
      </w:r>
      <w:r>
        <w:rPr>
          <w:rFonts w:hint="eastAsia" w:eastAsia="仿宋" w:cs="Times New Roman"/>
          <w:sz w:val="32"/>
          <w:szCs w:val="32"/>
          <w:lang w:val="zh-CN" w:eastAsia="zh-CN"/>
        </w:rPr>
        <w:t>）</w:t>
      </w:r>
      <w:r>
        <w:rPr>
          <w:rFonts w:hint="default" w:ascii="Times New Roman" w:hAnsi="Times New Roman" w:eastAsia="仿宋" w:cs="Times New Roman"/>
          <w:sz w:val="32"/>
          <w:szCs w:val="32"/>
          <w:lang w:val="zh-CN"/>
        </w:rPr>
        <w:t>，面积共计</w:t>
      </w:r>
      <w:r>
        <w:rPr>
          <w:rFonts w:hint="eastAsia" w:eastAsia="仿宋" w:cs="Times New Roman"/>
          <w:snapToGrid/>
          <w:kern w:val="2"/>
          <w:sz w:val="32"/>
          <w:szCs w:val="32"/>
          <w:lang w:val="en-US" w:eastAsia="zh-CN"/>
        </w:rPr>
        <w:t>62870.4</w:t>
      </w:r>
      <w:r>
        <w:rPr>
          <w:rFonts w:hint="default" w:ascii="Times New Roman" w:hAnsi="Times New Roman" w:eastAsia="仿宋" w:cs="Times New Roman"/>
          <w:sz w:val="32"/>
          <w:szCs w:val="32"/>
          <w:lang w:val="zh-CN"/>
        </w:rPr>
        <w:t>平方米，</w:t>
      </w:r>
      <w:r>
        <w:rPr>
          <w:rFonts w:hint="default" w:ascii="Times New Roman" w:hAnsi="Times New Roman" w:eastAsia="仿宋" w:cs="Times New Roman"/>
          <w:sz w:val="32"/>
          <w:szCs w:val="32"/>
        </w:rPr>
        <w:t>包括</w:t>
      </w:r>
      <w:r>
        <w:rPr>
          <w:rFonts w:hint="default" w:ascii="Times New Roman" w:hAnsi="Times New Roman" w:eastAsia="仿宋" w:cs="Times New Roman"/>
          <w:sz w:val="32"/>
          <w:szCs w:val="32"/>
          <w:lang w:val="zh-CN"/>
        </w:rPr>
        <w:t>大棚钢架结构、大棚</w:t>
      </w:r>
      <w:r>
        <w:rPr>
          <w:rFonts w:hint="default" w:ascii="Times New Roman" w:hAnsi="Times New Roman" w:eastAsia="仿宋" w:cs="Times New Roman"/>
          <w:sz w:val="32"/>
          <w:szCs w:val="32"/>
        </w:rPr>
        <w:t>覆盖材料和</w:t>
      </w:r>
      <w:r>
        <w:rPr>
          <w:rFonts w:hint="default" w:ascii="Times New Roman" w:hAnsi="Times New Roman" w:eastAsia="仿宋" w:cs="Times New Roman"/>
          <w:sz w:val="32"/>
          <w:szCs w:val="32"/>
          <w:lang w:val="zh-CN"/>
        </w:rPr>
        <w:t>棚内设备</w:t>
      </w:r>
      <w:r>
        <w:rPr>
          <w:rFonts w:hint="default" w:ascii="Times New Roman" w:hAnsi="Times New Roman" w:eastAsia="仿宋" w:cs="Times New Roman"/>
          <w:sz w:val="32"/>
          <w:szCs w:val="32"/>
        </w:rPr>
        <w:t>设施。</w:t>
      </w:r>
    </w:p>
    <w:p w14:paraId="6CA9AFBC">
      <w:pPr>
        <w:ind w:left="630"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(三)采购方式：自行采购中的“竞争性磋商”方式。</w:t>
      </w:r>
    </w:p>
    <w:p w14:paraId="5E4C8AA0">
      <w:pPr>
        <w:ind w:left="630"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(四)最高预算限额为</w:t>
      </w:r>
      <w:r>
        <w:rPr>
          <w:rFonts w:hint="default" w:ascii="Times New Roman" w:hAnsi="Times New Roman" w:eastAsia="仿宋" w:cs="Times New Roman"/>
          <w:sz w:val="32"/>
          <w:szCs w:val="32"/>
          <w:lang w:val="en-US" w:eastAsia="zh-CN"/>
        </w:rPr>
        <w:t>37</w:t>
      </w:r>
      <w:r>
        <w:rPr>
          <w:rFonts w:hint="default" w:ascii="Times New Roman" w:hAnsi="Times New Roman" w:eastAsia="仿宋" w:cs="Times New Roman"/>
          <w:sz w:val="32"/>
          <w:szCs w:val="32"/>
        </w:rPr>
        <w:t>万元。</w:t>
      </w:r>
    </w:p>
    <w:p w14:paraId="18CA8B0E">
      <w:pPr>
        <w:ind w:left="630"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(五)合同履约期限为</w:t>
      </w:r>
      <w:r>
        <w:rPr>
          <w:rFonts w:hint="default" w:ascii="Times New Roman" w:hAnsi="Times New Roman" w:eastAsia="仿宋" w:cs="Times New Roman"/>
          <w:sz w:val="32"/>
          <w:szCs w:val="32"/>
          <w:lang w:val="en-US" w:eastAsia="zh-CN"/>
        </w:rPr>
        <w:t>1</w:t>
      </w:r>
      <w:r>
        <w:rPr>
          <w:rFonts w:hint="default" w:ascii="Times New Roman" w:hAnsi="Times New Roman" w:eastAsia="仿宋" w:cs="Times New Roman"/>
          <w:sz w:val="32"/>
          <w:szCs w:val="32"/>
        </w:rPr>
        <w:t>年，自202</w:t>
      </w:r>
      <w:r>
        <w:rPr>
          <w:rFonts w:hint="default" w:ascii="Times New Roman" w:hAnsi="Times New Roman" w:eastAsia="仿宋" w:cs="Times New Roman"/>
          <w:sz w:val="32"/>
          <w:szCs w:val="32"/>
          <w:lang w:val="en-US" w:eastAsia="zh-CN"/>
        </w:rPr>
        <w:t>6</w:t>
      </w:r>
      <w:r>
        <w:rPr>
          <w:rFonts w:hint="default" w:ascii="Times New Roman" w:hAnsi="Times New Roman" w:eastAsia="仿宋" w:cs="Times New Roman"/>
          <w:sz w:val="32"/>
          <w:szCs w:val="32"/>
        </w:rPr>
        <w:t>年</w:t>
      </w:r>
      <w:r>
        <w:rPr>
          <w:rFonts w:hint="default" w:ascii="Times New Roman" w:hAnsi="Times New Roman" w:eastAsia="仿宋" w:cs="Times New Roman"/>
          <w:sz w:val="32"/>
          <w:szCs w:val="32"/>
          <w:lang w:val="en-US" w:eastAsia="zh-CN"/>
        </w:rPr>
        <w:t>9</w:t>
      </w:r>
      <w:r>
        <w:rPr>
          <w:rFonts w:hint="default" w:ascii="Times New Roman" w:hAnsi="Times New Roman" w:eastAsia="仿宋" w:cs="Times New Roman"/>
          <w:sz w:val="32"/>
          <w:szCs w:val="32"/>
        </w:rPr>
        <w:t>月</w:t>
      </w:r>
      <w:r>
        <w:rPr>
          <w:rFonts w:hint="default" w:ascii="Times New Roman" w:hAnsi="Times New Roman" w:eastAsia="仿宋" w:cs="Times New Roman"/>
          <w:sz w:val="32"/>
          <w:szCs w:val="32"/>
          <w:lang w:val="en-US" w:eastAsia="zh-CN"/>
        </w:rPr>
        <w:t>1</w:t>
      </w:r>
      <w:r>
        <w:rPr>
          <w:rFonts w:hint="default" w:ascii="Times New Roman" w:hAnsi="Times New Roman" w:eastAsia="仿宋" w:cs="Times New Roman"/>
          <w:sz w:val="32"/>
          <w:szCs w:val="32"/>
        </w:rPr>
        <w:t>3日至</w:t>
      </w:r>
      <w:r>
        <w:rPr>
          <w:rFonts w:hint="default" w:ascii="Times New Roman" w:hAnsi="Times New Roman" w:eastAsia="仿宋" w:cs="Times New Roman"/>
          <w:sz w:val="32"/>
          <w:szCs w:val="32"/>
          <w:highlight w:val="none"/>
        </w:rPr>
        <w:t>202</w:t>
      </w:r>
      <w:r>
        <w:rPr>
          <w:rFonts w:hint="default" w:ascii="Times New Roman" w:hAnsi="Times New Roman" w:eastAsia="仿宋" w:cs="Times New Roman"/>
          <w:sz w:val="32"/>
          <w:szCs w:val="32"/>
          <w:highlight w:val="none"/>
          <w:lang w:val="en-US" w:eastAsia="zh-CN"/>
        </w:rPr>
        <w:t>7</w:t>
      </w:r>
      <w:r>
        <w:rPr>
          <w:rFonts w:hint="default" w:ascii="Times New Roman" w:hAnsi="Times New Roman" w:eastAsia="仿宋" w:cs="Times New Roman"/>
          <w:sz w:val="32"/>
          <w:szCs w:val="32"/>
        </w:rPr>
        <w:t>年9月</w:t>
      </w:r>
      <w:r>
        <w:rPr>
          <w:rFonts w:hint="default" w:ascii="Times New Roman" w:hAnsi="Times New Roman" w:eastAsia="仿宋" w:cs="Times New Roman"/>
          <w:sz w:val="32"/>
          <w:szCs w:val="32"/>
          <w:lang w:val="en-US" w:eastAsia="zh-CN"/>
        </w:rPr>
        <w:t>1</w:t>
      </w:r>
      <w:r>
        <w:rPr>
          <w:rFonts w:hint="default" w:ascii="Times New Roman" w:hAnsi="Times New Roman" w:eastAsia="仿宋" w:cs="Times New Roman"/>
          <w:sz w:val="32"/>
          <w:szCs w:val="32"/>
        </w:rPr>
        <w:t>2日。</w:t>
      </w:r>
    </w:p>
    <w:p w14:paraId="1C4054F1">
      <w:pPr>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二、发布采购公告</w:t>
      </w:r>
    </w:p>
    <w:p w14:paraId="2F9A2865">
      <w:pPr>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竞争性磋商采购公告需在江门市人民政府门户网站江门市农业农村局</w:t>
      </w:r>
      <w:r>
        <w:rPr>
          <w:rFonts w:hint="eastAsia" w:eastAsia="仿宋" w:cs="Times New Roman"/>
          <w:sz w:val="32"/>
          <w:szCs w:val="32"/>
          <w:lang w:val="en-US" w:eastAsia="zh-CN"/>
        </w:rPr>
        <w:t>频道</w:t>
      </w:r>
      <w:r>
        <w:rPr>
          <w:rFonts w:hint="default" w:ascii="Times New Roman" w:hAnsi="Times New Roman" w:eastAsia="仿宋" w:cs="Times New Roman"/>
          <w:sz w:val="32"/>
          <w:szCs w:val="32"/>
        </w:rPr>
        <w:t>公布不少于</w:t>
      </w:r>
      <w:r>
        <w:rPr>
          <w:rFonts w:hint="default" w:ascii="Times New Roman" w:hAnsi="Times New Roman" w:eastAsia="仿宋" w:cs="Times New Roman"/>
          <w:sz w:val="32"/>
          <w:szCs w:val="32"/>
          <w:lang w:val="en-US" w:eastAsia="zh-CN"/>
        </w:rPr>
        <w:t>5</w:t>
      </w:r>
      <w:r>
        <w:rPr>
          <w:rFonts w:hint="default" w:ascii="Times New Roman" w:hAnsi="Times New Roman" w:eastAsia="仿宋" w:cs="Times New Roman"/>
          <w:sz w:val="32"/>
          <w:szCs w:val="32"/>
        </w:rPr>
        <w:t>个工作日。</w:t>
      </w:r>
    </w:p>
    <w:p w14:paraId="3AF5BD95">
      <w:pPr>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三、评审程序及标准</w:t>
      </w:r>
    </w:p>
    <w:p w14:paraId="3D1E0B99">
      <w:pPr>
        <w:spacing w:line="360" w:lineRule="auto"/>
        <w:ind w:firstLine="640" w:firstLineChars="200"/>
        <w:outlineLvl w:val="2"/>
        <w:rPr>
          <w:rFonts w:hint="default" w:ascii="Times New Roman" w:hAnsi="Times New Roman" w:eastAsia="仿宋" w:cs="Times New Roman"/>
          <w:color w:val="auto"/>
          <w:sz w:val="32"/>
          <w:szCs w:val="32"/>
        </w:rPr>
      </w:pPr>
      <w:r>
        <w:rPr>
          <w:rFonts w:hint="default" w:ascii="Times New Roman" w:hAnsi="Times New Roman" w:eastAsia="仿宋" w:cs="Times New Roman"/>
          <w:sz w:val="32"/>
          <w:szCs w:val="32"/>
        </w:rPr>
        <w:t>评审小组按“资</w:t>
      </w:r>
      <w:r>
        <w:rPr>
          <w:rFonts w:hint="default" w:ascii="Times New Roman" w:hAnsi="Times New Roman" w:eastAsia="仿宋" w:cs="Times New Roman"/>
          <w:color w:val="auto"/>
          <w:sz w:val="32"/>
          <w:szCs w:val="32"/>
        </w:rPr>
        <w:t>质性评审”“</w:t>
      </w:r>
      <w:r>
        <w:rPr>
          <w:rFonts w:hint="default" w:ascii="Times New Roman" w:hAnsi="Times New Roman" w:eastAsia="仿宋" w:cs="Times New Roman"/>
          <w:color w:val="auto"/>
          <w:sz w:val="32"/>
          <w:szCs w:val="32"/>
          <w:lang w:eastAsia="zh-CN"/>
        </w:rPr>
        <w:t>符合性</w:t>
      </w:r>
      <w:r>
        <w:rPr>
          <w:rFonts w:hint="default" w:ascii="Times New Roman" w:hAnsi="Times New Roman" w:eastAsia="仿宋" w:cs="Times New Roman"/>
          <w:color w:val="auto"/>
          <w:sz w:val="32"/>
          <w:szCs w:val="32"/>
        </w:rPr>
        <w:t>评审”</w:t>
      </w:r>
      <w:r>
        <w:rPr>
          <w:rFonts w:hint="default" w:ascii="Times New Roman" w:hAnsi="Times New Roman" w:eastAsia="仿宋" w:cs="Times New Roman"/>
          <w:color w:val="auto"/>
          <w:sz w:val="32"/>
          <w:szCs w:val="32"/>
          <w:lang w:eastAsia="zh-CN"/>
        </w:rPr>
        <w:t>和</w:t>
      </w:r>
      <w:r>
        <w:rPr>
          <w:rFonts w:hint="default" w:ascii="Times New Roman" w:hAnsi="Times New Roman" w:eastAsia="仿宋" w:cs="Times New Roman"/>
          <w:color w:val="auto"/>
          <w:sz w:val="32"/>
          <w:szCs w:val="32"/>
        </w:rPr>
        <w:t>“</w:t>
      </w:r>
      <w:r>
        <w:rPr>
          <w:rFonts w:hint="default" w:ascii="Times New Roman" w:hAnsi="Times New Roman" w:eastAsia="仿宋" w:cs="Times New Roman"/>
          <w:color w:val="auto"/>
          <w:sz w:val="32"/>
          <w:szCs w:val="32"/>
          <w:lang w:eastAsia="zh-CN"/>
        </w:rPr>
        <w:t>综合评审</w:t>
      </w:r>
      <w:r>
        <w:rPr>
          <w:rFonts w:hint="default" w:ascii="Times New Roman" w:hAnsi="Times New Roman" w:eastAsia="仿宋" w:cs="Times New Roman"/>
          <w:color w:val="auto"/>
          <w:sz w:val="32"/>
          <w:szCs w:val="32"/>
        </w:rPr>
        <w:t>”进行项目评审。</w:t>
      </w:r>
    </w:p>
    <w:p w14:paraId="1CE0D3FA">
      <w:pPr>
        <w:pStyle w:val="6"/>
        <w:widowControl/>
        <w:spacing w:beforeAutospacing="0" w:afterAutospacing="0" w:line="600" w:lineRule="atLeast"/>
        <w:ind w:left="640"/>
        <w:jc w:val="both"/>
        <w:rPr>
          <w:rFonts w:hint="default" w:ascii="Times New Roman" w:hAnsi="Times New Roman" w:eastAsia="楷体" w:cs="Times New Roman"/>
          <w:b/>
          <w:bCs/>
          <w:kern w:val="2"/>
          <w:sz w:val="32"/>
          <w:szCs w:val="32"/>
        </w:rPr>
      </w:pPr>
      <w:r>
        <w:rPr>
          <w:rFonts w:hint="default" w:ascii="Times New Roman" w:hAnsi="Times New Roman" w:eastAsia="楷体" w:cs="Times New Roman"/>
          <w:b/>
          <w:bCs/>
          <w:kern w:val="2"/>
          <w:sz w:val="32"/>
          <w:szCs w:val="32"/>
        </w:rPr>
        <w:t>（一）资质性评审</w:t>
      </w:r>
    </w:p>
    <w:p w14:paraId="725CCD36">
      <w:pPr>
        <w:spacing w:line="360" w:lineRule="auto"/>
        <w:ind w:firstLine="640" w:firstLineChars="200"/>
        <w:outlineLvl w:val="2"/>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单项响应标志为“√”，不响应标志为“×”。有一个单项不响应，不能进入特定承保要求评审阶段。</w:t>
      </w:r>
    </w:p>
    <w:p w14:paraId="315AB4AC">
      <w:pPr>
        <w:ind w:firstLine="640" w:firstLineChars="200"/>
        <w:rPr>
          <w:rFonts w:hint="default" w:ascii="Times New Roman" w:hAnsi="Times New Roman" w:eastAsia="仿宋" w:cs="Times New Roman"/>
          <w:b/>
          <w:bCs/>
          <w:kern w:val="0"/>
          <w:sz w:val="32"/>
          <w:szCs w:val="32"/>
        </w:rPr>
      </w:pPr>
      <w:r>
        <w:rPr>
          <w:rFonts w:hint="default" w:ascii="Times New Roman" w:hAnsi="Times New Roman" w:eastAsia="仿宋" w:cs="Times New Roman"/>
          <w:sz w:val="32"/>
          <w:szCs w:val="32"/>
        </w:rPr>
        <w:t>1</w:t>
      </w:r>
      <w:r>
        <w:rPr>
          <w:rFonts w:hint="eastAsia" w:eastAsia="仿宋" w:cs="Times New Roman"/>
          <w:sz w:val="32"/>
          <w:szCs w:val="32"/>
          <w:lang w:val="en-US" w:eastAsia="zh-CN"/>
        </w:rPr>
        <w:t>.</w:t>
      </w:r>
      <w:r>
        <w:rPr>
          <w:rFonts w:hint="eastAsia" w:ascii="仿宋" w:hAnsi="仿宋" w:eastAsia="仿宋" w:cs="仿宋"/>
          <w:sz w:val="32"/>
          <w:szCs w:val="32"/>
          <w:highlight w:val="none"/>
        </w:rPr>
        <w:t>供应商具有有效的营业执照，在中华人民共和国境内依法注册、经过中国保险监督管理委员会批准，具有保监会核发的中华人民共和国经营保险业务许可证的市级及以上保险公司（分公司等）</w:t>
      </w:r>
      <w:r>
        <w:rPr>
          <w:rFonts w:hint="default" w:ascii="Times New Roman" w:hAnsi="Times New Roman" w:eastAsia="仿宋" w:cs="Times New Roman"/>
          <w:sz w:val="32"/>
          <w:szCs w:val="32"/>
        </w:rPr>
        <w:t>。</w:t>
      </w:r>
      <w:r>
        <w:rPr>
          <w:rFonts w:hint="default" w:ascii="Times New Roman" w:hAnsi="Times New Roman" w:eastAsia="楷体" w:cs="Times New Roman"/>
          <w:b/>
          <w:bCs/>
          <w:sz w:val="32"/>
          <w:szCs w:val="32"/>
        </w:rPr>
        <w:t>（ ）</w:t>
      </w:r>
    </w:p>
    <w:p w14:paraId="6C553CFA">
      <w:pPr>
        <w:ind w:firstLine="640" w:firstLineChars="200"/>
        <w:rPr>
          <w:rFonts w:hint="default" w:ascii="Times New Roman" w:hAnsi="Times New Roman" w:eastAsia="仿宋" w:cs="Times New Roman"/>
          <w:b/>
          <w:bCs/>
          <w:kern w:val="0"/>
          <w:sz w:val="32"/>
          <w:szCs w:val="32"/>
        </w:rPr>
      </w:pPr>
      <w:r>
        <w:rPr>
          <w:rFonts w:hint="default" w:ascii="Times New Roman" w:hAnsi="Times New Roman" w:eastAsia="仿宋" w:cs="Times New Roman"/>
          <w:sz w:val="32"/>
          <w:szCs w:val="32"/>
        </w:rPr>
        <w:t>2</w:t>
      </w:r>
      <w:r>
        <w:rPr>
          <w:rFonts w:hint="eastAsia" w:eastAsia="仿宋" w:cs="Times New Roman"/>
          <w:sz w:val="32"/>
          <w:szCs w:val="32"/>
          <w:lang w:val="en-US" w:eastAsia="zh-CN"/>
        </w:rPr>
        <w:t>.</w:t>
      </w:r>
      <w:r>
        <w:rPr>
          <w:rFonts w:hint="default" w:ascii="Times New Roman" w:hAnsi="Times New Roman" w:eastAsia="仿宋" w:cs="Times New Roman"/>
          <w:sz w:val="32"/>
          <w:szCs w:val="32"/>
        </w:rPr>
        <w:t>参加政府采购活动前三年内，在经营活动中没有重大违法记录。</w:t>
      </w:r>
      <w:r>
        <w:rPr>
          <w:rFonts w:hint="default" w:ascii="Times New Roman" w:hAnsi="Times New Roman" w:eastAsia="楷体" w:cs="Times New Roman"/>
          <w:b/>
          <w:bCs/>
          <w:sz w:val="32"/>
          <w:szCs w:val="32"/>
        </w:rPr>
        <w:t>（ ）</w:t>
      </w:r>
    </w:p>
    <w:p w14:paraId="23DC26AA">
      <w:pPr>
        <w:ind w:firstLine="640" w:firstLineChars="200"/>
        <w:rPr>
          <w:rFonts w:hint="default" w:ascii="Times New Roman" w:hAnsi="Times New Roman" w:eastAsia="仿宋" w:cs="Times New Roman"/>
          <w:b/>
          <w:bCs/>
          <w:kern w:val="0"/>
          <w:sz w:val="32"/>
          <w:szCs w:val="32"/>
        </w:rPr>
      </w:pPr>
      <w:r>
        <w:rPr>
          <w:rFonts w:hint="default" w:ascii="Times New Roman" w:hAnsi="Times New Roman" w:eastAsia="仿宋" w:cs="Times New Roman"/>
          <w:sz w:val="32"/>
          <w:szCs w:val="32"/>
        </w:rPr>
        <w:t>3</w:t>
      </w:r>
      <w:r>
        <w:rPr>
          <w:rFonts w:hint="eastAsia" w:eastAsia="仿宋" w:cs="Times New Roman"/>
          <w:sz w:val="32"/>
          <w:szCs w:val="32"/>
          <w:lang w:val="en-US" w:eastAsia="zh-CN"/>
        </w:rPr>
        <w:t>.</w:t>
      </w:r>
      <w:r>
        <w:rPr>
          <w:rFonts w:hint="eastAsia" w:ascii="仿宋" w:hAnsi="仿宋" w:eastAsia="仿宋" w:cs="仿宋"/>
          <w:sz w:val="32"/>
          <w:szCs w:val="32"/>
          <w:highlight w:val="none"/>
        </w:rPr>
        <w:t>供应商投标报价不能高于预算限额，报价如超出预算金额为无效报价</w:t>
      </w:r>
      <w:r>
        <w:rPr>
          <w:rFonts w:hint="default" w:ascii="Times New Roman" w:hAnsi="Times New Roman" w:eastAsia="仿宋" w:cs="Times New Roman"/>
          <w:sz w:val="32"/>
          <w:szCs w:val="32"/>
        </w:rPr>
        <w:t>。</w:t>
      </w:r>
      <w:r>
        <w:rPr>
          <w:rFonts w:hint="default" w:ascii="Times New Roman" w:hAnsi="Times New Roman" w:eastAsia="楷体" w:cs="Times New Roman"/>
          <w:b/>
          <w:bCs/>
          <w:sz w:val="32"/>
          <w:szCs w:val="32"/>
        </w:rPr>
        <w:t>（ ）</w:t>
      </w:r>
    </w:p>
    <w:p w14:paraId="0418980C">
      <w:pPr>
        <w:ind w:firstLine="640" w:firstLineChars="200"/>
        <w:rPr>
          <w:rFonts w:hint="default" w:ascii="Times New Roman" w:hAnsi="Times New Roman" w:eastAsia="仿宋" w:cs="Times New Roman"/>
          <w:b/>
          <w:bCs/>
          <w:kern w:val="0"/>
          <w:sz w:val="32"/>
          <w:szCs w:val="32"/>
        </w:rPr>
      </w:pPr>
      <w:r>
        <w:rPr>
          <w:rFonts w:hint="default" w:ascii="Times New Roman" w:hAnsi="Times New Roman" w:eastAsia="仿宋" w:cs="Times New Roman"/>
          <w:sz w:val="32"/>
          <w:szCs w:val="32"/>
        </w:rPr>
        <w:t>4</w:t>
      </w:r>
      <w:r>
        <w:rPr>
          <w:rFonts w:hint="eastAsia" w:eastAsia="仿宋" w:cs="Times New Roman"/>
          <w:sz w:val="32"/>
          <w:szCs w:val="32"/>
          <w:lang w:val="en-US" w:eastAsia="zh-CN"/>
        </w:rPr>
        <w:t>.</w:t>
      </w:r>
      <w:r>
        <w:rPr>
          <w:rFonts w:hint="default" w:ascii="Times New Roman" w:hAnsi="Times New Roman" w:eastAsia="仿宋" w:cs="Times New Roman"/>
          <w:sz w:val="32"/>
          <w:szCs w:val="32"/>
        </w:rPr>
        <w:t>授权、签名、盖章符合相关规定。</w:t>
      </w:r>
      <w:r>
        <w:rPr>
          <w:rFonts w:hint="default" w:ascii="Times New Roman" w:hAnsi="Times New Roman" w:eastAsia="楷体" w:cs="Times New Roman"/>
          <w:b/>
          <w:bCs/>
          <w:sz w:val="32"/>
          <w:szCs w:val="32"/>
        </w:rPr>
        <w:t>（ ）</w:t>
      </w:r>
    </w:p>
    <w:p w14:paraId="782D4E6A">
      <w:pPr>
        <w:ind w:firstLine="640" w:firstLineChars="200"/>
        <w:rPr>
          <w:rFonts w:hint="default" w:ascii="Times New Roman" w:hAnsi="Times New Roman" w:eastAsia="楷体" w:cs="Times New Roman"/>
          <w:b/>
          <w:bCs/>
          <w:sz w:val="32"/>
          <w:szCs w:val="32"/>
        </w:rPr>
      </w:pPr>
      <w:r>
        <w:rPr>
          <w:rFonts w:hint="default" w:ascii="Times New Roman" w:hAnsi="Times New Roman" w:eastAsia="仿宋" w:cs="Times New Roman"/>
          <w:sz w:val="32"/>
          <w:szCs w:val="32"/>
        </w:rPr>
        <w:t>5</w:t>
      </w:r>
      <w:r>
        <w:rPr>
          <w:rFonts w:hint="eastAsia" w:eastAsia="仿宋" w:cs="Times New Roman"/>
          <w:sz w:val="32"/>
          <w:szCs w:val="32"/>
          <w:lang w:val="en-US" w:eastAsia="zh-CN"/>
        </w:rPr>
        <w:t>.</w:t>
      </w:r>
      <w:r>
        <w:rPr>
          <w:rFonts w:hint="default" w:ascii="Times New Roman" w:hAnsi="Times New Roman" w:eastAsia="仿宋" w:cs="Times New Roman"/>
          <w:sz w:val="32"/>
          <w:szCs w:val="32"/>
        </w:rPr>
        <w:t>本项目不接受联合体投标。</w:t>
      </w:r>
      <w:r>
        <w:rPr>
          <w:rFonts w:hint="default" w:ascii="Times New Roman" w:hAnsi="Times New Roman" w:eastAsia="楷体" w:cs="Times New Roman"/>
          <w:b/>
          <w:bCs/>
          <w:sz w:val="32"/>
          <w:szCs w:val="32"/>
        </w:rPr>
        <w:t>（ ）</w:t>
      </w:r>
    </w:p>
    <w:p w14:paraId="3EDC6024">
      <w:pPr>
        <w:spacing w:line="360" w:lineRule="auto"/>
        <w:ind w:firstLine="643" w:firstLineChars="200"/>
        <w:outlineLvl w:val="2"/>
        <w:rPr>
          <w:rFonts w:hint="default" w:ascii="Times New Roman" w:hAnsi="Times New Roman" w:eastAsia="楷体" w:cs="Times New Roman"/>
          <w:b/>
          <w:bCs/>
          <w:sz w:val="32"/>
          <w:szCs w:val="32"/>
        </w:rPr>
      </w:pPr>
      <w:r>
        <w:rPr>
          <w:rFonts w:hint="default" w:ascii="Times New Roman" w:hAnsi="Times New Roman" w:eastAsia="楷体" w:cs="Times New Roman"/>
          <w:b/>
          <w:bCs/>
          <w:sz w:val="32"/>
          <w:szCs w:val="32"/>
        </w:rPr>
        <w:t>（二）</w:t>
      </w:r>
      <w:r>
        <w:rPr>
          <w:rFonts w:hint="default" w:ascii="Times New Roman" w:hAnsi="Times New Roman" w:eastAsia="楷体" w:cs="Times New Roman"/>
          <w:b/>
          <w:bCs/>
          <w:sz w:val="32"/>
          <w:szCs w:val="32"/>
          <w:lang w:eastAsia="zh-CN"/>
        </w:rPr>
        <w:t>符合性</w:t>
      </w:r>
      <w:r>
        <w:rPr>
          <w:rFonts w:hint="default" w:ascii="Times New Roman" w:hAnsi="Times New Roman" w:eastAsia="楷体" w:cs="Times New Roman"/>
          <w:b/>
          <w:bCs/>
          <w:sz w:val="32"/>
          <w:szCs w:val="32"/>
        </w:rPr>
        <w:t>评审</w:t>
      </w:r>
    </w:p>
    <w:p w14:paraId="33A616CC">
      <w:pPr>
        <w:spacing w:line="360" w:lineRule="auto"/>
        <w:ind w:firstLine="640" w:firstLineChars="200"/>
        <w:outlineLvl w:val="2"/>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单项响应标志为“√”，不响应标志为“×”。有一个单项不响应，或采购磋商不能达成共识的不能进入商务综合评审阶段。</w:t>
      </w:r>
    </w:p>
    <w:p w14:paraId="1FEB7B8C">
      <w:pPr>
        <w:numPr>
          <w:ilvl w:val="0"/>
          <w:numId w:val="0"/>
        </w:numPr>
        <w:spacing w:line="360" w:lineRule="auto"/>
        <w:ind w:firstLine="640" w:firstLineChars="200"/>
        <w:outlineLvl w:val="2"/>
        <w:rPr>
          <w:rFonts w:hint="default" w:ascii="Times New Roman" w:hAnsi="Times New Roman" w:eastAsia="仿宋" w:cs="Times New Roman"/>
          <w:sz w:val="32"/>
          <w:szCs w:val="32"/>
        </w:rPr>
      </w:pPr>
      <w:r>
        <w:rPr>
          <w:rFonts w:hint="default" w:ascii="Times New Roman" w:hAnsi="Times New Roman" w:eastAsia="仿宋" w:cs="Times New Roman"/>
          <w:sz w:val="32"/>
          <w:szCs w:val="32"/>
          <w:lang w:val="en-US" w:eastAsia="zh-CN"/>
        </w:rPr>
        <w:t>1</w:t>
      </w:r>
      <w:r>
        <w:rPr>
          <w:rFonts w:hint="eastAsia" w:eastAsia="仿宋" w:cs="Times New Roman"/>
          <w:sz w:val="32"/>
          <w:szCs w:val="32"/>
          <w:lang w:val="en-US" w:eastAsia="zh-CN"/>
        </w:rPr>
        <w:t>.</w:t>
      </w:r>
      <w:r>
        <w:rPr>
          <w:rFonts w:hint="default" w:ascii="Times New Roman" w:hAnsi="Times New Roman" w:eastAsia="仿宋" w:cs="Times New Roman"/>
          <w:sz w:val="32"/>
          <w:szCs w:val="32"/>
        </w:rPr>
        <w:t>保险标的面积共计</w:t>
      </w:r>
      <w:r>
        <w:rPr>
          <w:rFonts w:hint="default" w:ascii="Times New Roman" w:hAnsi="Times New Roman" w:eastAsia="仿宋_GB2312" w:cs="Times New Roman"/>
          <w:sz w:val="32"/>
          <w:szCs w:val="32"/>
          <w:lang w:val="en-US" w:eastAsia="zh-CN"/>
        </w:rPr>
        <w:t>62870.4</w:t>
      </w:r>
      <w:r>
        <w:rPr>
          <w:rFonts w:hint="default" w:ascii="Times New Roman" w:hAnsi="Times New Roman" w:eastAsia="仿宋" w:cs="Times New Roman"/>
          <w:sz w:val="32"/>
          <w:szCs w:val="32"/>
        </w:rPr>
        <w:t>平方米，总造价</w:t>
      </w:r>
      <w:r>
        <w:rPr>
          <w:rFonts w:hint="default" w:ascii="Times New Roman" w:hAnsi="Times New Roman" w:eastAsia="仿宋" w:cs="Times New Roman"/>
          <w:sz w:val="32"/>
          <w:szCs w:val="32"/>
          <w:lang w:val="en-US" w:eastAsia="zh-CN"/>
        </w:rPr>
        <w:t>20566745.45</w:t>
      </w:r>
      <w:r>
        <w:rPr>
          <w:rFonts w:hint="default" w:ascii="Times New Roman" w:hAnsi="Times New Roman" w:eastAsia="仿宋" w:cs="Times New Roman"/>
          <w:sz w:val="32"/>
          <w:szCs w:val="32"/>
        </w:rPr>
        <w:t>元（详见附件）。保险标的保额不得低于</w:t>
      </w:r>
      <w:r>
        <w:rPr>
          <w:rFonts w:hint="eastAsia" w:eastAsia="仿宋" w:cs="Times New Roman"/>
          <w:sz w:val="32"/>
          <w:szCs w:val="32"/>
          <w:lang w:val="en-US" w:eastAsia="zh-CN"/>
        </w:rPr>
        <w:t>16093478.31</w:t>
      </w:r>
      <w:r>
        <w:rPr>
          <w:rFonts w:hint="default" w:ascii="Times New Roman" w:hAnsi="Times New Roman" w:eastAsia="仿宋" w:cs="Times New Roman"/>
          <w:sz w:val="32"/>
          <w:szCs w:val="32"/>
        </w:rPr>
        <w:t>元。</w:t>
      </w:r>
      <w:r>
        <w:rPr>
          <w:rFonts w:hint="default" w:ascii="Times New Roman" w:hAnsi="Times New Roman" w:eastAsia="楷体" w:cs="Times New Roman"/>
          <w:b/>
          <w:bCs/>
          <w:sz w:val="32"/>
          <w:szCs w:val="32"/>
        </w:rPr>
        <w:t>（ ）</w:t>
      </w:r>
    </w:p>
    <w:p w14:paraId="1031853D">
      <w:pPr>
        <w:numPr>
          <w:ilvl w:val="0"/>
          <w:numId w:val="0"/>
        </w:numPr>
        <w:ind w:firstLine="640" w:firstLineChars="200"/>
        <w:rPr>
          <w:rFonts w:hint="default" w:ascii="Times New Roman" w:hAnsi="Times New Roman" w:eastAsia="仿宋" w:cs="Times New Roman"/>
          <w:sz w:val="32"/>
          <w:szCs w:val="32"/>
          <w:highlight w:val="yellow"/>
        </w:rPr>
      </w:pPr>
      <w:r>
        <w:rPr>
          <w:rFonts w:hint="default" w:ascii="Times New Roman" w:hAnsi="Times New Roman" w:eastAsia="仿宋" w:cs="Times New Roman"/>
          <w:kern w:val="2"/>
          <w:sz w:val="32"/>
          <w:szCs w:val="32"/>
          <w:lang w:val="en-US" w:eastAsia="zh-CN" w:bidi="ar-SA"/>
        </w:rPr>
        <w:t>2</w:t>
      </w:r>
      <w:r>
        <w:rPr>
          <w:rFonts w:hint="eastAsia" w:eastAsia="仿宋" w:cs="Times New Roman"/>
          <w:kern w:val="2"/>
          <w:sz w:val="32"/>
          <w:szCs w:val="32"/>
          <w:lang w:val="en-US" w:eastAsia="zh-CN" w:bidi="ar-SA"/>
        </w:rPr>
        <w:t>.</w:t>
      </w:r>
      <w:r>
        <w:rPr>
          <w:rFonts w:hint="default" w:ascii="Times New Roman" w:hAnsi="Times New Roman" w:eastAsia="仿宋" w:cs="Times New Roman"/>
          <w:color w:val="000000"/>
          <w:sz w:val="32"/>
          <w:szCs w:val="32"/>
          <w:highlight w:val="none"/>
        </w:rPr>
        <w:t>合同履约期限为</w:t>
      </w:r>
      <w:r>
        <w:rPr>
          <w:rFonts w:hint="default" w:ascii="Times New Roman" w:hAnsi="Times New Roman" w:eastAsia="仿宋" w:cs="Times New Roman"/>
          <w:color w:val="000000"/>
          <w:sz w:val="32"/>
          <w:szCs w:val="32"/>
          <w:highlight w:val="none"/>
          <w:lang w:val="en-US" w:eastAsia="zh-CN"/>
        </w:rPr>
        <w:t>1</w:t>
      </w:r>
      <w:r>
        <w:rPr>
          <w:rFonts w:hint="default" w:ascii="Times New Roman" w:hAnsi="Times New Roman" w:eastAsia="仿宋" w:cs="Times New Roman"/>
          <w:color w:val="000000"/>
          <w:sz w:val="32"/>
          <w:szCs w:val="32"/>
          <w:highlight w:val="none"/>
        </w:rPr>
        <w:t>年</w:t>
      </w:r>
      <w:r>
        <w:rPr>
          <w:rFonts w:hint="default" w:ascii="Times New Roman" w:hAnsi="Times New Roman" w:eastAsia="仿宋" w:cs="Times New Roman"/>
          <w:color w:val="000000"/>
          <w:sz w:val="32"/>
          <w:szCs w:val="32"/>
          <w:highlight w:val="none"/>
          <w:lang w:eastAsia="zh-CN"/>
        </w:rPr>
        <w:t>，</w:t>
      </w:r>
      <w:r>
        <w:rPr>
          <w:rFonts w:hint="default" w:ascii="Times New Roman" w:hAnsi="Times New Roman" w:eastAsia="仿宋" w:cs="Times New Roman"/>
          <w:snapToGrid/>
          <w:kern w:val="2"/>
          <w:sz w:val="32"/>
          <w:szCs w:val="32"/>
        </w:rPr>
        <w:t>自202</w:t>
      </w:r>
      <w:r>
        <w:rPr>
          <w:rFonts w:hint="default" w:ascii="Times New Roman" w:hAnsi="Times New Roman" w:eastAsia="仿宋" w:cs="Times New Roman"/>
          <w:snapToGrid/>
          <w:kern w:val="2"/>
          <w:sz w:val="32"/>
          <w:szCs w:val="32"/>
          <w:lang w:val="en-US" w:eastAsia="zh-CN"/>
        </w:rPr>
        <w:t>6</w:t>
      </w:r>
      <w:r>
        <w:rPr>
          <w:rFonts w:hint="default" w:ascii="Times New Roman" w:hAnsi="Times New Roman" w:eastAsia="仿宋" w:cs="Times New Roman"/>
          <w:snapToGrid/>
          <w:kern w:val="2"/>
          <w:sz w:val="32"/>
          <w:szCs w:val="32"/>
        </w:rPr>
        <w:t>年9月</w:t>
      </w:r>
      <w:r>
        <w:rPr>
          <w:rFonts w:hint="default" w:ascii="Times New Roman" w:hAnsi="Times New Roman" w:eastAsia="仿宋" w:cs="Times New Roman"/>
          <w:snapToGrid/>
          <w:kern w:val="2"/>
          <w:sz w:val="32"/>
          <w:szCs w:val="32"/>
          <w:lang w:val="en-US" w:eastAsia="zh-CN"/>
        </w:rPr>
        <w:t>13</w:t>
      </w:r>
      <w:r>
        <w:rPr>
          <w:rFonts w:hint="default" w:ascii="Times New Roman" w:hAnsi="Times New Roman" w:eastAsia="仿宋" w:cs="Times New Roman"/>
          <w:snapToGrid/>
          <w:kern w:val="2"/>
          <w:sz w:val="32"/>
          <w:szCs w:val="32"/>
        </w:rPr>
        <w:t>日至</w:t>
      </w:r>
      <w:r>
        <w:rPr>
          <w:rFonts w:hint="default" w:ascii="Times New Roman" w:hAnsi="Times New Roman" w:eastAsia="仿宋" w:cs="Times New Roman"/>
          <w:snapToGrid/>
          <w:kern w:val="2"/>
          <w:sz w:val="32"/>
          <w:szCs w:val="32"/>
          <w:highlight w:val="none"/>
        </w:rPr>
        <w:t>202</w:t>
      </w:r>
      <w:r>
        <w:rPr>
          <w:rFonts w:hint="default" w:ascii="Times New Roman" w:hAnsi="Times New Roman" w:eastAsia="仿宋" w:cs="Times New Roman"/>
          <w:snapToGrid/>
          <w:kern w:val="2"/>
          <w:sz w:val="32"/>
          <w:szCs w:val="32"/>
          <w:highlight w:val="none"/>
          <w:lang w:val="en-US" w:eastAsia="zh-CN"/>
        </w:rPr>
        <w:t>7</w:t>
      </w:r>
      <w:r>
        <w:rPr>
          <w:rFonts w:hint="default" w:ascii="Times New Roman" w:hAnsi="Times New Roman" w:eastAsia="仿宋" w:cs="Times New Roman"/>
          <w:snapToGrid/>
          <w:kern w:val="2"/>
          <w:sz w:val="32"/>
          <w:szCs w:val="32"/>
        </w:rPr>
        <w:t>年9月</w:t>
      </w:r>
      <w:r>
        <w:rPr>
          <w:rFonts w:hint="default" w:ascii="Times New Roman" w:hAnsi="Times New Roman" w:eastAsia="仿宋" w:cs="Times New Roman"/>
          <w:snapToGrid/>
          <w:kern w:val="2"/>
          <w:sz w:val="32"/>
          <w:szCs w:val="32"/>
          <w:lang w:val="en-US" w:eastAsia="zh-CN"/>
        </w:rPr>
        <w:t>12</w:t>
      </w:r>
      <w:r>
        <w:rPr>
          <w:rFonts w:hint="default" w:ascii="Times New Roman" w:hAnsi="Times New Roman" w:eastAsia="仿宋" w:cs="Times New Roman"/>
          <w:snapToGrid/>
          <w:kern w:val="2"/>
          <w:sz w:val="32"/>
          <w:szCs w:val="32"/>
        </w:rPr>
        <w:t>日</w:t>
      </w:r>
      <w:r>
        <w:rPr>
          <w:rFonts w:hint="default" w:ascii="Times New Roman" w:hAnsi="Times New Roman" w:eastAsia="仿宋" w:cs="Times New Roman"/>
          <w:snapToGrid/>
          <w:kern w:val="2"/>
          <w:sz w:val="32"/>
          <w:szCs w:val="32"/>
          <w:highlight w:val="none"/>
        </w:rPr>
        <w:t>止</w:t>
      </w:r>
      <w:r>
        <w:rPr>
          <w:rFonts w:hint="default" w:ascii="Times New Roman" w:hAnsi="Times New Roman" w:eastAsia="仿宋" w:cs="Times New Roman"/>
          <w:sz w:val="32"/>
          <w:szCs w:val="32"/>
          <w:highlight w:val="none"/>
        </w:rPr>
        <w:t>。</w:t>
      </w:r>
      <w:r>
        <w:rPr>
          <w:rFonts w:hint="default" w:ascii="Times New Roman" w:hAnsi="Times New Roman" w:eastAsia="楷体" w:cs="Times New Roman"/>
          <w:b/>
          <w:bCs/>
          <w:sz w:val="32"/>
          <w:szCs w:val="32"/>
        </w:rPr>
        <w:t>（ ）</w:t>
      </w:r>
    </w:p>
    <w:p w14:paraId="78F04B00">
      <w:pPr>
        <w:numPr>
          <w:ilvl w:val="0"/>
          <w:numId w:val="0"/>
        </w:numPr>
        <w:ind w:firstLine="640" w:firstLineChars="200"/>
        <w:rPr>
          <w:rFonts w:hint="default" w:ascii="Times New Roman" w:hAnsi="Times New Roman" w:eastAsia="仿宋" w:cs="Times New Roman"/>
          <w:sz w:val="32"/>
          <w:szCs w:val="32"/>
          <w:highlight w:val="yellow"/>
        </w:rPr>
      </w:pPr>
      <w:r>
        <w:rPr>
          <w:rFonts w:hint="eastAsia" w:eastAsia="仿宋" w:cs="Times New Roman"/>
          <w:kern w:val="2"/>
          <w:sz w:val="32"/>
          <w:szCs w:val="32"/>
          <w:lang w:val="en-US" w:eastAsia="zh-CN" w:bidi="ar-SA"/>
        </w:rPr>
        <w:t>3.</w:t>
      </w:r>
      <w:r>
        <w:rPr>
          <w:rFonts w:hint="default" w:ascii="Times New Roman" w:hAnsi="Times New Roman" w:eastAsia="仿宋" w:cs="Times New Roman"/>
          <w:sz w:val="32"/>
          <w:szCs w:val="32"/>
          <w:highlight w:val="none"/>
        </w:rPr>
        <w:t>风灾阈值（理赔起点）设置为8级</w:t>
      </w:r>
      <w:r>
        <w:rPr>
          <w:rFonts w:hint="default" w:ascii="Times New Roman" w:hAnsi="Times New Roman" w:eastAsia="仿宋" w:cs="Times New Roman"/>
          <w:sz w:val="32"/>
          <w:szCs w:val="32"/>
          <w:highlight w:val="none"/>
          <w:lang w:eastAsia="zh-CN"/>
        </w:rPr>
        <w:t>；</w:t>
      </w:r>
      <w:r>
        <w:rPr>
          <w:rFonts w:hint="default" w:ascii="Times New Roman" w:hAnsi="Times New Roman" w:eastAsia="仿宋" w:cs="Times New Roman"/>
          <w:sz w:val="32"/>
          <w:szCs w:val="32"/>
          <w:highlight w:val="none"/>
        </w:rPr>
        <w:t>暴雨</w:t>
      </w:r>
      <w:r>
        <w:rPr>
          <w:rFonts w:hint="default" w:ascii="Times New Roman" w:hAnsi="Times New Roman" w:eastAsia="仿宋" w:cs="Times New Roman"/>
          <w:sz w:val="32"/>
          <w:szCs w:val="32"/>
          <w:highlight w:val="none"/>
          <w:lang w:eastAsia="zh-CN"/>
        </w:rPr>
        <w:t>按照</w:t>
      </w:r>
      <w:r>
        <w:rPr>
          <w:rFonts w:hint="default" w:ascii="Times New Roman" w:hAnsi="Times New Roman" w:eastAsia="仿宋" w:cs="Times New Roman"/>
          <w:sz w:val="32"/>
          <w:szCs w:val="32"/>
          <w:highlight w:val="none"/>
        </w:rPr>
        <w:t>国家标准，满足小时降雨量≥16mm、连续12h降雨≥30mm、连续24h降雨≥50mm任一条件即触发理赔。其他自然灾害不设致灾阈值，其他自然灾害（包括内涝、风灾、雹灾、雷击、旱灾、地震、火灾等自然灾害）造成大棚损失，保险公司都须启动理赔程序赔付。</w:t>
      </w:r>
      <w:r>
        <w:rPr>
          <w:rFonts w:hint="default" w:ascii="Times New Roman" w:hAnsi="Times New Roman" w:eastAsia="楷体" w:cs="Times New Roman"/>
          <w:b/>
          <w:bCs/>
          <w:sz w:val="32"/>
          <w:szCs w:val="32"/>
        </w:rPr>
        <w:t>（ ）</w:t>
      </w:r>
    </w:p>
    <w:p w14:paraId="43ED70F0">
      <w:pPr>
        <w:numPr>
          <w:ilvl w:val="0"/>
          <w:numId w:val="0"/>
        </w:numPr>
        <w:ind w:firstLine="640" w:firstLineChars="200"/>
        <w:rPr>
          <w:rFonts w:hint="default" w:ascii="Times New Roman" w:hAnsi="Times New Roman" w:eastAsia="仿宋" w:cs="Times New Roman"/>
          <w:sz w:val="32"/>
          <w:szCs w:val="32"/>
        </w:rPr>
      </w:pPr>
      <w:r>
        <w:rPr>
          <w:rFonts w:hint="eastAsia" w:eastAsia="仿宋" w:cs="Times New Roman"/>
          <w:kern w:val="2"/>
          <w:sz w:val="32"/>
          <w:szCs w:val="32"/>
          <w:lang w:val="en-US" w:eastAsia="zh-CN" w:bidi="ar-SA"/>
        </w:rPr>
        <w:t>4.</w:t>
      </w:r>
      <w:r>
        <w:rPr>
          <w:rFonts w:hint="default" w:ascii="Times New Roman" w:hAnsi="Times New Roman" w:eastAsia="仿宋" w:cs="Times New Roman"/>
          <w:sz w:val="32"/>
          <w:szCs w:val="32"/>
        </w:rPr>
        <w:t>供应商已现场勘察，清晰掌握保险标的实况。</w:t>
      </w:r>
      <w:r>
        <w:rPr>
          <w:rFonts w:hint="default" w:ascii="Times New Roman" w:hAnsi="Times New Roman" w:eastAsia="楷体" w:cs="Times New Roman"/>
          <w:b/>
          <w:bCs/>
          <w:sz w:val="32"/>
          <w:szCs w:val="32"/>
        </w:rPr>
        <w:t>（ ）</w:t>
      </w:r>
    </w:p>
    <w:p w14:paraId="1B0C3A25">
      <w:pPr>
        <w:numPr>
          <w:ilvl w:val="0"/>
          <w:numId w:val="0"/>
        </w:numPr>
        <w:ind w:firstLine="640" w:firstLineChars="200"/>
        <w:rPr>
          <w:rFonts w:hint="default" w:ascii="Times New Roman" w:hAnsi="Times New Roman" w:eastAsia="仿宋" w:cs="Times New Roman"/>
          <w:sz w:val="32"/>
          <w:szCs w:val="32"/>
        </w:rPr>
      </w:pPr>
      <w:r>
        <w:rPr>
          <w:rFonts w:hint="eastAsia" w:eastAsia="仿宋" w:cs="Times New Roman"/>
          <w:kern w:val="2"/>
          <w:sz w:val="32"/>
          <w:szCs w:val="32"/>
          <w:lang w:val="en-US" w:eastAsia="zh-CN" w:bidi="ar-SA"/>
        </w:rPr>
        <w:t>5.</w:t>
      </w:r>
      <w:r>
        <w:rPr>
          <w:rFonts w:hint="default" w:ascii="Times New Roman" w:hAnsi="Times New Roman" w:eastAsia="仿宋" w:cs="Times New Roman"/>
          <w:sz w:val="32"/>
          <w:szCs w:val="32"/>
        </w:rPr>
        <w:t>保险标的遭受保险事故时，供应商如委托第三方公司进行事故核定的，须经投保方确认同意方可进行。供应商自收到投保方的赔偿请求后，应1小时内响应，12小时内到达现场，7个工作日内完成赔付。（情形复杂的，须在30日内完成赔付）。</w:t>
      </w:r>
      <w:r>
        <w:rPr>
          <w:rFonts w:hint="default" w:ascii="Times New Roman" w:hAnsi="Times New Roman" w:eastAsia="楷体" w:cs="Times New Roman"/>
          <w:b/>
          <w:bCs/>
          <w:sz w:val="32"/>
          <w:szCs w:val="32"/>
        </w:rPr>
        <w:t>（ ）</w:t>
      </w:r>
    </w:p>
    <w:p w14:paraId="2C69DD09">
      <w:pPr>
        <w:pStyle w:val="2"/>
        <w:ind w:firstLine="640" w:firstLineChars="200"/>
        <w:rPr>
          <w:rFonts w:hint="default" w:ascii="Times New Roman" w:hAnsi="Times New Roman" w:eastAsia="仿宋" w:cs="Times New Roman"/>
          <w:b w:val="0"/>
          <w:bCs w:val="0"/>
          <w:sz w:val="32"/>
          <w:szCs w:val="32"/>
        </w:rPr>
      </w:pPr>
      <w:r>
        <w:rPr>
          <w:rFonts w:hint="eastAsia" w:ascii="Times New Roman" w:eastAsia="仿宋" w:cs="Times New Roman"/>
          <w:b w:val="0"/>
          <w:bCs w:val="0"/>
          <w:sz w:val="32"/>
          <w:szCs w:val="32"/>
          <w:lang w:val="en-US" w:eastAsia="zh-CN"/>
        </w:rPr>
        <w:t>6.</w:t>
      </w:r>
      <w:r>
        <w:rPr>
          <w:rFonts w:hint="eastAsia" w:ascii="仿宋" w:hAnsi="仿宋" w:eastAsia="仿宋" w:cs="仿宋"/>
          <w:b w:val="0"/>
          <w:bCs w:val="0"/>
          <w:sz w:val="32"/>
          <w:szCs w:val="32"/>
          <w:highlight w:val="none"/>
          <w:lang w:val="en-US" w:eastAsia="zh-CN"/>
        </w:rPr>
        <w:t>理赔</w:t>
      </w:r>
      <w:r>
        <w:rPr>
          <w:rFonts w:hint="eastAsia" w:ascii="仿宋" w:hAnsi="仿宋" w:eastAsia="仿宋" w:cs="仿宋"/>
          <w:b w:val="0"/>
          <w:bCs w:val="0"/>
          <w:sz w:val="32"/>
          <w:szCs w:val="32"/>
          <w:highlight w:val="none"/>
        </w:rPr>
        <w:t>免赔率不大于</w:t>
      </w:r>
      <w:r>
        <w:rPr>
          <w:rFonts w:ascii="仿宋" w:hAnsi="仿宋" w:eastAsia="仿宋" w:cs="仿宋"/>
          <w:b w:val="0"/>
          <w:bCs w:val="0"/>
          <w:sz w:val="32"/>
          <w:szCs w:val="32"/>
          <w:highlight w:val="none"/>
        </w:rPr>
        <w:t>10%</w:t>
      </w:r>
      <w:r>
        <w:rPr>
          <w:rFonts w:hint="eastAsia" w:ascii="Times New Roman" w:hAnsi="Times New Roman" w:eastAsia="仿宋" w:cs="Times New Roman"/>
          <w:b w:val="0"/>
          <w:bCs w:val="0"/>
          <w:sz w:val="32"/>
          <w:szCs w:val="32"/>
          <w:lang w:eastAsia="zh-CN"/>
        </w:rPr>
        <w:t>。</w:t>
      </w:r>
      <w:r>
        <w:rPr>
          <w:rFonts w:hint="default" w:ascii="Times New Roman" w:hAnsi="Times New Roman" w:eastAsia="楷体" w:cs="Times New Roman"/>
          <w:b/>
          <w:bCs/>
          <w:sz w:val="32"/>
          <w:szCs w:val="32"/>
        </w:rPr>
        <w:t>（ ）</w:t>
      </w:r>
    </w:p>
    <w:p w14:paraId="14D453A6">
      <w:pPr>
        <w:spacing w:line="360" w:lineRule="auto"/>
        <w:ind w:firstLine="643" w:firstLineChars="200"/>
        <w:outlineLvl w:val="2"/>
        <w:rPr>
          <w:rFonts w:hint="default" w:ascii="Times New Roman" w:hAnsi="Times New Roman" w:eastAsia="楷体" w:cs="Times New Roman"/>
          <w:b/>
          <w:bCs/>
          <w:sz w:val="32"/>
          <w:szCs w:val="32"/>
        </w:rPr>
      </w:pPr>
      <w:r>
        <w:rPr>
          <w:rFonts w:hint="default" w:ascii="Times New Roman" w:hAnsi="Times New Roman" w:eastAsia="楷体" w:cs="Times New Roman"/>
          <w:b/>
          <w:bCs/>
          <w:sz w:val="32"/>
          <w:szCs w:val="32"/>
        </w:rPr>
        <w:t>（三）技术、商务、价格磋商</w:t>
      </w:r>
    </w:p>
    <w:p w14:paraId="026B187B">
      <w:pPr>
        <w:spacing w:line="360" w:lineRule="auto"/>
        <w:ind w:firstLine="640" w:firstLineChars="200"/>
        <w:outlineLvl w:val="2"/>
        <w:rPr>
          <w:rFonts w:hint="default" w:ascii="Times New Roman" w:hAnsi="Times New Roman" w:eastAsia="仿宋" w:cs="Times New Roman"/>
          <w:sz w:val="32"/>
          <w:szCs w:val="32"/>
        </w:rPr>
      </w:pPr>
      <w:r>
        <w:rPr>
          <w:rFonts w:hint="default" w:ascii="Times New Roman" w:hAnsi="Times New Roman" w:eastAsia="仿宋" w:cs="Times New Roman"/>
          <w:sz w:val="32"/>
          <w:szCs w:val="32"/>
        </w:rPr>
        <w:t>1</w:t>
      </w:r>
      <w:r>
        <w:rPr>
          <w:rFonts w:hint="eastAsia" w:eastAsia="仿宋" w:cs="Times New Roman"/>
          <w:sz w:val="32"/>
          <w:szCs w:val="32"/>
          <w:lang w:val="en-US" w:eastAsia="zh-CN"/>
        </w:rPr>
        <w:t>.</w:t>
      </w:r>
      <w:r>
        <w:rPr>
          <w:rFonts w:hint="default" w:ascii="Times New Roman" w:hAnsi="Times New Roman" w:eastAsia="仿宋" w:cs="Times New Roman"/>
          <w:sz w:val="32"/>
          <w:szCs w:val="32"/>
        </w:rPr>
        <w:t>评审小组邀请全部通过资格审查的供应商分别进行单独磋商，磋商顺序以递交响应文件先后顺序确定。</w:t>
      </w:r>
    </w:p>
    <w:p w14:paraId="5CEAC81B">
      <w:pPr>
        <w:spacing w:line="360" w:lineRule="auto"/>
        <w:ind w:firstLine="640" w:firstLineChars="200"/>
        <w:outlineLvl w:val="2"/>
        <w:rPr>
          <w:rFonts w:hint="default" w:ascii="Times New Roman" w:hAnsi="Times New Roman" w:eastAsia="仿宋" w:cs="Times New Roman"/>
          <w:sz w:val="32"/>
          <w:szCs w:val="32"/>
        </w:rPr>
      </w:pPr>
      <w:r>
        <w:rPr>
          <w:rFonts w:hint="default" w:ascii="Times New Roman" w:hAnsi="Times New Roman" w:eastAsia="仿宋" w:cs="Times New Roman"/>
          <w:sz w:val="32"/>
          <w:szCs w:val="32"/>
        </w:rPr>
        <w:t>2</w:t>
      </w:r>
      <w:r>
        <w:rPr>
          <w:rFonts w:hint="eastAsia" w:eastAsia="仿宋" w:cs="Times New Roman"/>
          <w:sz w:val="32"/>
          <w:szCs w:val="32"/>
          <w:lang w:val="en-US" w:eastAsia="zh-CN"/>
        </w:rPr>
        <w:t>.</w:t>
      </w:r>
      <w:r>
        <w:rPr>
          <w:rFonts w:hint="default" w:ascii="Times New Roman" w:hAnsi="Times New Roman" w:eastAsia="仿宋" w:cs="Times New Roman"/>
          <w:sz w:val="32"/>
          <w:szCs w:val="32"/>
        </w:rPr>
        <w:t>评审小组与供应商应围绕资格条件、技术、商务、合同条款等内容分别进行一轮或多轮的磋商。在磋商过程中，评审小组可以根据磋商文件和磋商情况实质性变动采购需求中的技术、服务要求以及合同草案条款。</w:t>
      </w:r>
    </w:p>
    <w:p w14:paraId="4B1CA783">
      <w:pPr>
        <w:spacing w:line="360" w:lineRule="auto"/>
        <w:ind w:firstLine="640" w:firstLineChars="200"/>
        <w:outlineLvl w:val="2"/>
        <w:rPr>
          <w:rFonts w:hint="default" w:ascii="Times New Roman" w:hAnsi="Times New Roman" w:eastAsia="仿宋" w:cs="Times New Roman"/>
          <w:sz w:val="32"/>
          <w:szCs w:val="32"/>
        </w:rPr>
      </w:pPr>
      <w:r>
        <w:rPr>
          <w:rFonts w:hint="default" w:ascii="Times New Roman" w:hAnsi="Times New Roman" w:eastAsia="仿宋" w:cs="Times New Roman"/>
          <w:sz w:val="32"/>
          <w:szCs w:val="32"/>
        </w:rPr>
        <w:t>3</w:t>
      </w:r>
      <w:r>
        <w:rPr>
          <w:rFonts w:hint="eastAsia" w:eastAsia="仿宋" w:cs="Times New Roman"/>
          <w:sz w:val="32"/>
          <w:szCs w:val="32"/>
          <w:lang w:val="en-US" w:eastAsia="zh-CN"/>
        </w:rPr>
        <w:t>.</w:t>
      </w:r>
      <w:r>
        <w:rPr>
          <w:rFonts w:hint="default" w:ascii="Times New Roman" w:hAnsi="Times New Roman" w:eastAsia="仿宋" w:cs="Times New Roman"/>
          <w:sz w:val="32"/>
          <w:szCs w:val="32"/>
        </w:rPr>
        <w:t>供应商按照磋商文件的变动情况和评审小组的要求重新提交响应文件，并由其法定代表人或其授权代表签字或者加盖公章。</w:t>
      </w:r>
    </w:p>
    <w:p w14:paraId="1D66F4F8">
      <w:pPr>
        <w:spacing w:line="360" w:lineRule="auto"/>
        <w:ind w:firstLine="640" w:firstLineChars="200"/>
        <w:outlineLvl w:val="2"/>
        <w:rPr>
          <w:rFonts w:hint="default" w:ascii="Times New Roman" w:hAnsi="Times New Roman" w:eastAsia="仿宋" w:cs="Times New Roman"/>
          <w:sz w:val="32"/>
          <w:szCs w:val="32"/>
        </w:rPr>
      </w:pPr>
      <w:r>
        <w:rPr>
          <w:rFonts w:hint="default" w:ascii="Times New Roman" w:hAnsi="Times New Roman" w:eastAsia="仿宋" w:cs="Times New Roman"/>
          <w:sz w:val="32"/>
          <w:szCs w:val="32"/>
        </w:rPr>
        <w:t>4</w:t>
      </w:r>
      <w:r>
        <w:rPr>
          <w:rFonts w:hint="eastAsia" w:eastAsia="仿宋" w:cs="Times New Roman"/>
          <w:sz w:val="32"/>
          <w:szCs w:val="32"/>
          <w:lang w:val="en-US" w:eastAsia="zh-CN"/>
        </w:rPr>
        <w:t>.</w:t>
      </w:r>
      <w:r>
        <w:rPr>
          <w:rFonts w:hint="default" w:ascii="Times New Roman" w:hAnsi="Times New Roman" w:eastAsia="仿宋" w:cs="Times New Roman"/>
          <w:sz w:val="32"/>
          <w:szCs w:val="32"/>
        </w:rPr>
        <w:t>最后报价：磋商结束后，供应商提交最后报价，最后报价不能高于第一次报价。</w:t>
      </w:r>
    </w:p>
    <w:p w14:paraId="4BF83B0D">
      <w:pPr>
        <w:spacing w:line="360" w:lineRule="auto"/>
        <w:ind w:firstLine="643" w:firstLineChars="200"/>
        <w:outlineLvl w:val="2"/>
        <w:rPr>
          <w:rFonts w:hint="eastAsia" w:ascii="Times New Roman" w:hAnsi="Times New Roman" w:eastAsia="楷体" w:cs="Times New Roman"/>
          <w:b/>
          <w:bCs/>
          <w:sz w:val="32"/>
          <w:szCs w:val="32"/>
          <w:lang w:eastAsia="zh-CN"/>
        </w:rPr>
      </w:pPr>
      <w:r>
        <w:rPr>
          <w:rFonts w:hint="default" w:ascii="Times New Roman" w:hAnsi="Times New Roman" w:eastAsia="楷体" w:cs="Times New Roman"/>
          <w:b/>
          <w:bCs/>
          <w:sz w:val="32"/>
          <w:szCs w:val="32"/>
        </w:rPr>
        <w:t>（四）综合</w:t>
      </w:r>
      <w:r>
        <w:rPr>
          <w:rFonts w:hint="eastAsia" w:ascii="Times New Roman" w:hAnsi="Times New Roman" w:eastAsia="楷体" w:cs="Times New Roman"/>
          <w:b/>
          <w:bCs/>
          <w:sz w:val="32"/>
          <w:szCs w:val="32"/>
          <w:lang w:eastAsia="zh-CN"/>
        </w:rPr>
        <w:t>评审</w:t>
      </w:r>
    </w:p>
    <w:p w14:paraId="095AC968">
      <w:pPr>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采用综合评分方法（评分标准见表1）。评审小组各成员根据评审办法并结合供应商实际情况分别就各项指标进行独立打分（见表1、2），其中商务技术得分满分为70分，价格得分满分为30分，两项相加总分为100分。</w:t>
      </w:r>
    </w:p>
    <w:p w14:paraId="2885AA97">
      <w:pPr>
        <w:pStyle w:val="2"/>
        <w:spacing w:line="240" w:lineRule="auto"/>
        <w:jc w:val="center"/>
        <w:rPr>
          <w:rFonts w:hint="default" w:ascii="Times New Roman" w:hAnsi="Times New Roman" w:eastAsia="仿宋" w:cs="Times New Roman"/>
          <w:sz w:val="32"/>
          <w:szCs w:val="32"/>
        </w:rPr>
      </w:pPr>
    </w:p>
    <w:p w14:paraId="4C94955D">
      <w:pPr>
        <w:pStyle w:val="2"/>
        <w:spacing w:line="240" w:lineRule="auto"/>
        <w:jc w:val="center"/>
        <w:rPr>
          <w:rFonts w:hint="default" w:ascii="Times New Roman" w:hAnsi="Times New Roman" w:cs="Times New Roman"/>
        </w:rPr>
      </w:pPr>
      <w:r>
        <w:rPr>
          <w:rFonts w:hint="default" w:ascii="Times New Roman" w:hAnsi="Times New Roman" w:eastAsia="仿宋" w:cs="Times New Roman"/>
          <w:sz w:val="32"/>
          <w:szCs w:val="32"/>
        </w:rPr>
        <w:t>表1综合评分标准表</w:t>
      </w:r>
    </w:p>
    <w:tbl>
      <w:tblPr>
        <w:tblStyle w:val="8"/>
        <w:tblpPr w:leftFromText="180" w:rightFromText="180" w:vertAnchor="text" w:horzAnchor="page" w:tblpX="1461" w:tblpY="765"/>
        <w:tblOverlap w:val="never"/>
        <w:tblW w:w="9780"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507"/>
        <w:gridCol w:w="918"/>
        <w:gridCol w:w="1035"/>
        <w:gridCol w:w="660"/>
        <w:gridCol w:w="3687"/>
        <w:gridCol w:w="2973"/>
      </w:tblGrid>
      <w:tr w14:paraId="6A031BD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05" w:hRule="atLeast"/>
          <w:tblHeader/>
        </w:trPr>
        <w:tc>
          <w:tcPr>
            <w:tcW w:w="507"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A055A38">
            <w:pPr>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序号</w:t>
            </w:r>
          </w:p>
        </w:tc>
        <w:tc>
          <w:tcPr>
            <w:tcW w:w="1953"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80A1F47">
            <w:pPr>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评审项目</w:t>
            </w:r>
          </w:p>
        </w:tc>
        <w:tc>
          <w:tcPr>
            <w:tcW w:w="66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C0A5FD7">
            <w:pPr>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分配分数</w:t>
            </w:r>
          </w:p>
        </w:tc>
        <w:tc>
          <w:tcPr>
            <w:tcW w:w="3687"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9AAA0C4">
            <w:pPr>
              <w:jc w:val="center"/>
              <w:rPr>
                <w:rFonts w:hint="default" w:ascii="Times New Roman" w:hAnsi="Times New Roman" w:cs="Times New Roman"/>
                <w:color w:val="000000"/>
                <w:sz w:val="18"/>
                <w:szCs w:val="18"/>
              </w:rPr>
            </w:pPr>
            <w:r>
              <w:rPr>
                <w:rFonts w:hint="default" w:ascii="Times New Roman" w:hAnsi="Times New Roman" w:cs="Times New Roman"/>
                <w:b/>
                <w:bCs/>
                <w:color w:val="000000"/>
                <w:sz w:val="18"/>
                <w:szCs w:val="18"/>
              </w:rPr>
              <w:t>评议内容</w:t>
            </w:r>
          </w:p>
        </w:tc>
        <w:tc>
          <w:tcPr>
            <w:tcW w:w="2973"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6D41099">
            <w:pPr>
              <w:jc w:val="center"/>
              <w:rPr>
                <w:rFonts w:hint="default" w:ascii="Times New Roman" w:hAnsi="Times New Roman" w:cs="Times New Roman"/>
                <w:b/>
                <w:bCs/>
                <w:color w:val="000000"/>
                <w:sz w:val="18"/>
                <w:szCs w:val="18"/>
              </w:rPr>
            </w:pPr>
            <w:r>
              <w:rPr>
                <w:rFonts w:hint="default" w:ascii="Times New Roman" w:hAnsi="Times New Roman" w:cs="Times New Roman"/>
                <w:b/>
                <w:bCs/>
                <w:color w:val="000000"/>
                <w:sz w:val="18"/>
                <w:szCs w:val="18"/>
              </w:rPr>
              <w:t>评分</w:t>
            </w:r>
          </w:p>
        </w:tc>
      </w:tr>
      <w:tr w14:paraId="0F3C9FF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417" w:hRule="atLeast"/>
        </w:trPr>
        <w:tc>
          <w:tcPr>
            <w:tcW w:w="507" w:type="dxa"/>
            <w:vMerge w:val="restart"/>
            <w:tcBorders>
              <w:top w:val="single" w:color="auto" w:sz="4" w:space="0"/>
              <w:left w:val="single" w:color="auto" w:sz="4" w:space="0"/>
              <w:bottom w:val="single" w:color="auto" w:sz="4" w:space="0"/>
              <w:right w:val="single" w:color="auto" w:sz="4" w:space="0"/>
            </w:tcBorders>
            <w:vAlign w:val="center"/>
          </w:tcPr>
          <w:p w14:paraId="02D2F4CC">
            <w:pPr>
              <w:spacing w:line="220" w:lineRule="exact"/>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1</w:t>
            </w:r>
          </w:p>
        </w:tc>
        <w:tc>
          <w:tcPr>
            <w:tcW w:w="918" w:type="dxa"/>
            <w:vMerge w:val="restart"/>
            <w:tcBorders>
              <w:top w:val="single" w:color="auto" w:sz="4" w:space="0"/>
              <w:left w:val="single" w:color="auto" w:sz="4" w:space="0"/>
              <w:bottom w:val="single" w:color="auto" w:sz="4" w:space="0"/>
              <w:right w:val="single" w:color="auto" w:sz="4" w:space="0"/>
            </w:tcBorders>
            <w:vAlign w:val="center"/>
          </w:tcPr>
          <w:p w14:paraId="0B0FE53E">
            <w:pPr>
              <w:spacing w:line="220" w:lineRule="exact"/>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商务技术得分</w:t>
            </w:r>
          </w:p>
        </w:tc>
        <w:tc>
          <w:tcPr>
            <w:tcW w:w="1035" w:type="dxa"/>
            <w:vMerge w:val="restart"/>
            <w:tcBorders>
              <w:top w:val="single" w:color="auto" w:sz="4" w:space="0"/>
              <w:left w:val="single" w:color="auto" w:sz="4" w:space="0"/>
              <w:bottom w:val="single" w:color="auto" w:sz="4" w:space="0"/>
              <w:right w:val="single" w:color="auto" w:sz="4" w:space="0"/>
            </w:tcBorders>
            <w:vAlign w:val="center"/>
          </w:tcPr>
          <w:p w14:paraId="1D71F271">
            <w:pPr>
              <w:spacing w:line="220" w:lineRule="exact"/>
              <w:jc w:val="center"/>
              <w:rPr>
                <w:rFonts w:hint="default" w:ascii="Times New Roman" w:hAnsi="Times New Roman" w:cs="Times New Roman"/>
                <w:color w:val="000000"/>
                <w:sz w:val="18"/>
                <w:szCs w:val="18"/>
              </w:rPr>
            </w:pPr>
            <w:r>
              <w:rPr>
                <w:rFonts w:hint="default" w:ascii="Times New Roman" w:hAnsi="Times New Roman" w:cs="Times New Roman"/>
                <w:sz w:val="18"/>
                <w:szCs w:val="18"/>
              </w:rPr>
              <w:t>承保方案</w:t>
            </w:r>
          </w:p>
        </w:tc>
        <w:tc>
          <w:tcPr>
            <w:tcW w:w="660" w:type="dxa"/>
            <w:tcBorders>
              <w:top w:val="single" w:color="auto" w:sz="4" w:space="0"/>
              <w:left w:val="single" w:color="auto" w:sz="4" w:space="0"/>
              <w:bottom w:val="single" w:color="auto" w:sz="4" w:space="0"/>
              <w:right w:val="single" w:color="auto" w:sz="4" w:space="0"/>
            </w:tcBorders>
            <w:vAlign w:val="center"/>
          </w:tcPr>
          <w:p w14:paraId="07C99EC6">
            <w:pPr>
              <w:spacing w:line="220" w:lineRule="exact"/>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5</w:t>
            </w:r>
          </w:p>
        </w:tc>
        <w:tc>
          <w:tcPr>
            <w:tcW w:w="3687" w:type="dxa"/>
            <w:tcBorders>
              <w:top w:val="single" w:color="auto" w:sz="4" w:space="0"/>
              <w:left w:val="single" w:color="auto" w:sz="4" w:space="0"/>
              <w:bottom w:val="single" w:color="auto" w:sz="4" w:space="0"/>
              <w:right w:val="single" w:color="auto" w:sz="4" w:space="0"/>
            </w:tcBorders>
            <w:vAlign w:val="center"/>
          </w:tcPr>
          <w:p w14:paraId="43D00848">
            <w:pPr>
              <w:jc w:val="left"/>
              <w:rPr>
                <w:rFonts w:hint="default" w:ascii="Times New Roman" w:hAnsi="Times New Roman" w:cs="Times New Roman"/>
              </w:rPr>
            </w:pPr>
            <w:r>
              <w:rPr>
                <w:rFonts w:hint="default" w:ascii="Times New Roman" w:hAnsi="Times New Roman" w:cs="Times New Roman"/>
                <w:sz w:val="18"/>
                <w:szCs w:val="18"/>
              </w:rPr>
              <w:t>1、有完善的适应项目所在地的温室大棚保险承保操作流程。重点考察操作流程的完整性、可行性、合理性：</w:t>
            </w:r>
          </w:p>
        </w:tc>
        <w:tc>
          <w:tcPr>
            <w:tcW w:w="2973" w:type="dxa"/>
            <w:tcBorders>
              <w:top w:val="single" w:color="auto" w:sz="4" w:space="0"/>
              <w:left w:val="single" w:color="auto" w:sz="4" w:space="0"/>
              <w:bottom w:val="single" w:color="auto" w:sz="4" w:space="0"/>
              <w:right w:val="single" w:color="auto" w:sz="4" w:space="0"/>
            </w:tcBorders>
            <w:vAlign w:val="center"/>
          </w:tcPr>
          <w:p w14:paraId="35080E25">
            <w:pPr>
              <w:jc w:val="left"/>
              <w:rPr>
                <w:rFonts w:hint="default" w:ascii="Times New Roman" w:hAnsi="Times New Roman" w:cs="Times New Roman"/>
                <w:sz w:val="18"/>
                <w:szCs w:val="18"/>
              </w:rPr>
            </w:pPr>
            <w:r>
              <w:rPr>
                <w:rFonts w:hint="default" w:ascii="Times New Roman" w:hAnsi="Times New Roman" w:cs="Times New Roman"/>
                <w:sz w:val="18"/>
                <w:szCs w:val="18"/>
              </w:rPr>
              <w:t>满足要求得5分，基本满足得3分，无提供不得分。</w:t>
            </w:r>
          </w:p>
        </w:tc>
      </w:tr>
      <w:tr w14:paraId="256BAA8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417" w:hRule="atLeast"/>
        </w:trPr>
        <w:tc>
          <w:tcPr>
            <w:tcW w:w="507" w:type="dxa"/>
            <w:vMerge w:val="continue"/>
            <w:tcBorders>
              <w:top w:val="single" w:color="auto" w:sz="4" w:space="0"/>
              <w:left w:val="single" w:color="auto" w:sz="4" w:space="0"/>
              <w:bottom w:val="single" w:color="auto" w:sz="4" w:space="0"/>
              <w:right w:val="single" w:color="auto" w:sz="4" w:space="0"/>
            </w:tcBorders>
            <w:vAlign w:val="center"/>
          </w:tcPr>
          <w:p w14:paraId="7F73214E">
            <w:pPr>
              <w:spacing w:line="220" w:lineRule="exact"/>
              <w:jc w:val="center"/>
              <w:rPr>
                <w:rFonts w:hint="default" w:ascii="Times New Roman" w:hAnsi="Times New Roman" w:cs="Times New Roman"/>
              </w:rPr>
            </w:pPr>
          </w:p>
        </w:tc>
        <w:tc>
          <w:tcPr>
            <w:tcW w:w="918" w:type="dxa"/>
            <w:vMerge w:val="continue"/>
            <w:tcBorders>
              <w:top w:val="single" w:color="auto" w:sz="4" w:space="0"/>
              <w:left w:val="single" w:color="auto" w:sz="4" w:space="0"/>
              <w:bottom w:val="single" w:color="auto" w:sz="4" w:space="0"/>
              <w:right w:val="single" w:color="auto" w:sz="4" w:space="0"/>
            </w:tcBorders>
            <w:vAlign w:val="center"/>
          </w:tcPr>
          <w:p w14:paraId="5999076C">
            <w:pPr>
              <w:spacing w:line="220" w:lineRule="exact"/>
              <w:jc w:val="center"/>
              <w:rPr>
                <w:rFonts w:hint="default" w:ascii="Times New Roman" w:hAnsi="Times New Roman" w:cs="Times New Roman"/>
              </w:rPr>
            </w:pPr>
          </w:p>
        </w:tc>
        <w:tc>
          <w:tcPr>
            <w:tcW w:w="1035" w:type="dxa"/>
            <w:vMerge w:val="continue"/>
            <w:tcBorders>
              <w:top w:val="single" w:color="auto" w:sz="4" w:space="0"/>
              <w:left w:val="single" w:color="auto" w:sz="4" w:space="0"/>
              <w:bottom w:val="single" w:color="auto" w:sz="4" w:space="0"/>
              <w:right w:val="single" w:color="auto" w:sz="4" w:space="0"/>
            </w:tcBorders>
            <w:vAlign w:val="center"/>
          </w:tcPr>
          <w:p w14:paraId="4AB677F5">
            <w:pPr>
              <w:spacing w:line="220" w:lineRule="exact"/>
              <w:jc w:val="center"/>
              <w:rPr>
                <w:rFonts w:hint="default" w:ascii="Times New Roman" w:hAnsi="Times New Roman" w:cs="Times New Roman"/>
                <w:sz w:val="18"/>
                <w:szCs w:val="18"/>
              </w:rPr>
            </w:pPr>
          </w:p>
        </w:tc>
        <w:tc>
          <w:tcPr>
            <w:tcW w:w="660" w:type="dxa"/>
            <w:tcBorders>
              <w:top w:val="single" w:color="auto" w:sz="4" w:space="0"/>
              <w:left w:val="single" w:color="auto" w:sz="4" w:space="0"/>
              <w:bottom w:val="single" w:color="auto" w:sz="4" w:space="0"/>
              <w:right w:val="single" w:color="auto" w:sz="4" w:space="0"/>
            </w:tcBorders>
            <w:vAlign w:val="center"/>
          </w:tcPr>
          <w:p w14:paraId="06575FCB">
            <w:pPr>
              <w:spacing w:line="220" w:lineRule="exact"/>
              <w:jc w:val="center"/>
              <w:rPr>
                <w:rFonts w:hint="default" w:ascii="Times New Roman" w:hAnsi="Times New Roman" w:cs="Times New Roman"/>
                <w:sz w:val="18"/>
                <w:szCs w:val="18"/>
              </w:rPr>
            </w:pPr>
            <w:r>
              <w:rPr>
                <w:rFonts w:hint="default" w:ascii="Times New Roman" w:hAnsi="Times New Roman" w:cs="Times New Roman"/>
                <w:sz w:val="18"/>
                <w:szCs w:val="18"/>
              </w:rPr>
              <w:t>5</w:t>
            </w:r>
          </w:p>
        </w:tc>
        <w:tc>
          <w:tcPr>
            <w:tcW w:w="3687" w:type="dxa"/>
            <w:tcBorders>
              <w:top w:val="single" w:color="auto" w:sz="4" w:space="0"/>
              <w:left w:val="single" w:color="auto" w:sz="4" w:space="0"/>
              <w:bottom w:val="single" w:color="auto" w:sz="4" w:space="0"/>
              <w:right w:val="single" w:color="auto" w:sz="4" w:space="0"/>
            </w:tcBorders>
            <w:vAlign w:val="center"/>
          </w:tcPr>
          <w:p w14:paraId="46E5865B">
            <w:pPr>
              <w:jc w:val="left"/>
              <w:rPr>
                <w:rFonts w:hint="default" w:ascii="Times New Roman" w:hAnsi="Times New Roman" w:cs="Times New Roman"/>
                <w:sz w:val="18"/>
                <w:szCs w:val="18"/>
              </w:rPr>
            </w:pPr>
            <w:r>
              <w:rPr>
                <w:rFonts w:hint="default" w:ascii="Times New Roman" w:hAnsi="Times New Roman" w:cs="Times New Roman"/>
                <w:sz w:val="18"/>
                <w:szCs w:val="18"/>
              </w:rPr>
              <w:t>2、有完善的适应项目所在地的温室大棚保险承保工作机制。重点考察工作机制的有效性、可行性：</w:t>
            </w:r>
          </w:p>
        </w:tc>
        <w:tc>
          <w:tcPr>
            <w:tcW w:w="2973" w:type="dxa"/>
            <w:tcBorders>
              <w:top w:val="single" w:color="auto" w:sz="4" w:space="0"/>
              <w:left w:val="single" w:color="auto" w:sz="4" w:space="0"/>
              <w:bottom w:val="single" w:color="auto" w:sz="4" w:space="0"/>
              <w:right w:val="single" w:color="auto" w:sz="4" w:space="0"/>
            </w:tcBorders>
            <w:vAlign w:val="center"/>
          </w:tcPr>
          <w:p w14:paraId="3D03B078">
            <w:pPr>
              <w:jc w:val="left"/>
              <w:rPr>
                <w:rFonts w:hint="default" w:ascii="Times New Roman" w:hAnsi="Times New Roman" w:cs="Times New Roman"/>
                <w:sz w:val="18"/>
                <w:szCs w:val="18"/>
              </w:rPr>
            </w:pPr>
            <w:r>
              <w:rPr>
                <w:rFonts w:hint="default" w:ascii="Times New Roman" w:hAnsi="Times New Roman" w:cs="Times New Roman"/>
                <w:sz w:val="18"/>
                <w:szCs w:val="18"/>
              </w:rPr>
              <w:t>满足要求得5分，基本满足得3分，无提供不得分。</w:t>
            </w:r>
          </w:p>
        </w:tc>
      </w:tr>
      <w:tr w14:paraId="65C3568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417" w:hRule="atLeast"/>
        </w:trPr>
        <w:tc>
          <w:tcPr>
            <w:tcW w:w="507" w:type="dxa"/>
            <w:vMerge w:val="restart"/>
            <w:tcBorders>
              <w:top w:val="single" w:color="auto" w:sz="4" w:space="0"/>
              <w:left w:val="single" w:color="auto" w:sz="4" w:space="0"/>
              <w:bottom w:val="single" w:color="auto" w:sz="4" w:space="0"/>
              <w:right w:val="single" w:color="auto" w:sz="4" w:space="0"/>
            </w:tcBorders>
            <w:vAlign w:val="center"/>
          </w:tcPr>
          <w:p w14:paraId="010CB304">
            <w:pPr>
              <w:spacing w:line="220" w:lineRule="exact"/>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2</w:t>
            </w:r>
          </w:p>
        </w:tc>
        <w:tc>
          <w:tcPr>
            <w:tcW w:w="918" w:type="dxa"/>
            <w:vMerge w:val="continue"/>
            <w:tcBorders>
              <w:top w:val="single" w:color="auto" w:sz="4" w:space="0"/>
              <w:left w:val="single" w:color="auto" w:sz="4" w:space="0"/>
              <w:bottom w:val="single" w:color="auto" w:sz="4" w:space="0"/>
              <w:right w:val="single" w:color="auto" w:sz="4" w:space="0"/>
            </w:tcBorders>
            <w:vAlign w:val="center"/>
          </w:tcPr>
          <w:p w14:paraId="3547EBEA">
            <w:pPr>
              <w:spacing w:line="220" w:lineRule="exact"/>
              <w:jc w:val="center"/>
              <w:rPr>
                <w:rFonts w:hint="default" w:ascii="Times New Roman" w:hAnsi="Times New Roman" w:cs="Times New Roman"/>
                <w:color w:val="000000"/>
                <w:sz w:val="18"/>
                <w:szCs w:val="18"/>
              </w:rPr>
            </w:pPr>
          </w:p>
        </w:tc>
        <w:tc>
          <w:tcPr>
            <w:tcW w:w="1035" w:type="dxa"/>
            <w:vMerge w:val="restart"/>
            <w:tcBorders>
              <w:top w:val="single" w:color="auto" w:sz="4" w:space="0"/>
              <w:left w:val="single" w:color="auto" w:sz="4" w:space="0"/>
              <w:bottom w:val="single" w:color="auto" w:sz="4" w:space="0"/>
              <w:right w:val="single" w:color="auto" w:sz="4" w:space="0"/>
            </w:tcBorders>
            <w:vAlign w:val="center"/>
          </w:tcPr>
          <w:p w14:paraId="0CE0252C">
            <w:pPr>
              <w:spacing w:line="220" w:lineRule="exact"/>
              <w:jc w:val="center"/>
              <w:rPr>
                <w:rFonts w:hint="default" w:ascii="Times New Roman" w:hAnsi="Times New Roman" w:cs="Times New Roman"/>
                <w:color w:val="000000"/>
                <w:sz w:val="18"/>
                <w:szCs w:val="18"/>
              </w:rPr>
            </w:pPr>
            <w:r>
              <w:rPr>
                <w:rFonts w:hint="default" w:ascii="Times New Roman" w:hAnsi="Times New Roman" w:cs="Times New Roman"/>
                <w:sz w:val="18"/>
                <w:szCs w:val="18"/>
              </w:rPr>
              <w:t>定损方案</w:t>
            </w:r>
          </w:p>
        </w:tc>
        <w:tc>
          <w:tcPr>
            <w:tcW w:w="660" w:type="dxa"/>
            <w:tcBorders>
              <w:top w:val="single" w:color="auto" w:sz="4" w:space="0"/>
              <w:left w:val="single" w:color="auto" w:sz="4" w:space="0"/>
              <w:bottom w:val="single" w:color="auto" w:sz="4" w:space="0"/>
              <w:right w:val="single" w:color="auto" w:sz="4" w:space="0"/>
            </w:tcBorders>
            <w:vAlign w:val="center"/>
          </w:tcPr>
          <w:p w14:paraId="5AC72A4E">
            <w:pPr>
              <w:spacing w:line="220" w:lineRule="exact"/>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8</w:t>
            </w:r>
          </w:p>
        </w:tc>
        <w:tc>
          <w:tcPr>
            <w:tcW w:w="3687" w:type="dxa"/>
            <w:tcBorders>
              <w:top w:val="single" w:color="auto" w:sz="4" w:space="0"/>
              <w:left w:val="single" w:color="auto" w:sz="4" w:space="0"/>
              <w:bottom w:val="single" w:color="auto" w:sz="4" w:space="0"/>
              <w:right w:val="single" w:color="auto" w:sz="4" w:space="0"/>
            </w:tcBorders>
          </w:tcPr>
          <w:p w14:paraId="522BE27B">
            <w:pPr>
              <w:widowControl/>
              <w:jc w:val="left"/>
              <w:textAlignment w:val="center"/>
              <w:rPr>
                <w:rFonts w:hint="default" w:ascii="Times New Roman" w:hAnsi="Times New Roman" w:cs="Times New Roman"/>
                <w:kern w:val="0"/>
                <w:sz w:val="18"/>
                <w:szCs w:val="18"/>
              </w:rPr>
            </w:pPr>
          </w:p>
          <w:p w14:paraId="60534AE1">
            <w:pPr>
              <w:widowControl/>
              <w:jc w:val="left"/>
              <w:textAlignment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1、有完善的适应项目所在地的</w:t>
            </w:r>
            <w:r>
              <w:rPr>
                <w:rFonts w:hint="default" w:ascii="Times New Roman" w:hAnsi="Times New Roman" w:cs="Times New Roman"/>
                <w:sz w:val="18"/>
                <w:szCs w:val="18"/>
              </w:rPr>
              <w:t>温室大棚保险</w:t>
            </w:r>
            <w:r>
              <w:rPr>
                <w:rFonts w:hint="default" w:ascii="Times New Roman" w:hAnsi="Times New Roman" w:cs="Times New Roman"/>
                <w:kern w:val="0"/>
                <w:sz w:val="18"/>
                <w:szCs w:val="18"/>
              </w:rPr>
              <w:t>查勘定损流程。重点考察查勘定损的及时性、合理性、可行性：</w:t>
            </w:r>
          </w:p>
        </w:tc>
        <w:tc>
          <w:tcPr>
            <w:tcW w:w="2973" w:type="dxa"/>
            <w:tcBorders>
              <w:top w:val="single" w:color="auto" w:sz="4" w:space="0"/>
              <w:left w:val="single" w:color="auto" w:sz="4" w:space="0"/>
              <w:bottom w:val="single" w:color="auto" w:sz="4" w:space="0"/>
              <w:right w:val="single" w:color="auto" w:sz="4" w:space="0"/>
            </w:tcBorders>
            <w:vAlign w:val="center"/>
          </w:tcPr>
          <w:p w14:paraId="195F9AC7">
            <w:pPr>
              <w:widowControl/>
              <w:jc w:val="left"/>
              <w:textAlignment w:val="center"/>
              <w:rPr>
                <w:rFonts w:hint="default" w:ascii="Times New Roman" w:hAnsi="Times New Roman" w:cs="Times New Roman"/>
                <w:kern w:val="0"/>
                <w:sz w:val="18"/>
                <w:szCs w:val="18"/>
              </w:rPr>
            </w:pPr>
            <w:r>
              <w:rPr>
                <w:rFonts w:hint="default" w:ascii="Times New Roman" w:hAnsi="Times New Roman" w:cs="Times New Roman"/>
                <w:sz w:val="18"/>
                <w:szCs w:val="18"/>
              </w:rPr>
              <w:t>满足要求得8分，基本满足得5分，不完善得3分，无提供不得分。</w:t>
            </w:r>
          </w:p>
        </w:tc>
      </w:tr>
      <w:tr w14:paraId="29A678A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417" w:hRule="atLeast"/>
        </w:trPr>
        <w:tc>
          <w:tcPr>
            <w:tcW w:w="507" w:type="dxa"/>
            <w:vMerge w:val="continue"/>
            <w:tcBorders>
              <w:top w:val="single" w:color="auto" w:sz="4" w:space="0"/>
              <w:left w:val="single" w:color="auto" w:sz="4" w:space="0"/>
              <w:bottom w:val="single" w:color="auto" w:sz="4" w:space="0"/>
              <w:right w:val="single" w:color="auto" w:sz="4" w:space="0"/>
            </w:tcBorders>
            <w:vAlign w:val="center"/>
          </w:tcPr>
          <w:p w14:paraId="17CEBED3">
            <w:pPr>
              <w:spacing w:line="220" w:lineRule="exact"/>
              <w:jc w:val="center"/>
              <w:rPr>
                <w:rFonts w:hint="default" w:ascii="Times New Roman" w:hAnsi="Times New Roman" w:cs="Times New Roman"/>
              </w:rPr>
            </w:pPr>
          </w:p>
        </w:tc>
        <w:tc>
          <w:tcPr>
            <w:tcW w:w="918" w:type="dxa"/>
            <w:vMerge w:val="continue"/>
            <w:tcBorders>
              <w:top w:val="single" w:color="auto" w:sz="4" w:space="0"/>
              <w:left w:val="single" w:color="auto" w:sz="4" w:space="0"/>
              <w:bottom w:val="single" w:color="auto" w:sz="4" w:space="0"/>
              <w:right w:val="single" w:color="auto" w:sz="4" w:space="0"/>
            </w:tcBorders>
            <w:vAlign w:val="center"/>
          </w:tcPr>
          <w:p w14:paraId="29882A12">
            <w:pPr>
              <w:spacing w:line="220" w:lineRule="exact"/>
              <w:jc w:val="center"/>
              <w:rPr>
                <w:rFonts w:hint="default" w:ascii="Times New Roman" w:hAnsi="Times New Roman" w:cs="Times New Roman"/>
              </w:rPr>
            </w:pPr>
          </w:p>
        </w:tc>
        <w:tc>
          <w:tcPr>
            <w:tcW w:w="1035" w:type="dxa"/>
            <w:vMerge w:val="continue"/>
            <w:tcBorders>
              <w:top w:val="single" w:color="auto" w:sz="4" w:space="0"/>
              <w:left w:val="single" w:color="auto" w:sz="4" w:space="0"/>
              <w:bottom w:val="single" w:color="auto" w:sz="4" w:space="0"/>
              <w:right w:val="single" w:color="auto" w:sz="4" w:space="0"/>
            </w:tcBorders>
            <w:vAlign w:val="center"/>
          </w:tcPr>
          <w:p w14:paraId="0BC8B5E9">
            <w:pPr>
              <w:spacing w:line="220" w:lineRule="exact"/>
              <w:jc w:val="center"/>
              <w:rPr>
                <w:rFonts w:hint="default" w:ascii="Times New Roman" w:hAnsi="Times New Roman" w:cs="Times New Roman"/>
                <w:sz w:val="18"/>
                <w:szCs w:val="18"/>
              </w:rPr>
            </w:pPr>
          </w:p>
        </w:tc>
        <w:tc>
          <w:tcPr>
            <w:tcW w:w="660" w:type="dxa"/>
            <w:tcBorders>
              <w:top w:val="single" w:color="auto" w:sz="4" w:space="0"/>
              <w:left w:val="single" w:color="auto" w:sz="4" w:space="0"/>
              <w:bottom w:val="single" w:color="auto" w:sz="4" w:space="0"/>
              <w:right w:val="single" w:color="auto" w:sz="4" w:space="0"/>
            </w:tcBorders>
            <w:vAlign w:val="center"/>
          </w:tcPr>
          <w:p w14:paraId="0851ED19">
            <w:pPr>
              <w:spacing w:line="220" w:lineRule="exact"/>
              <w:jc w:val="center"/>
              <w:rPr>
                <w:rFonts w:hint="default" w:ascii="Times New Roman" w:hAnsi="Times New Roman" w:cs="Times New Roman"/>
                <w:sz w:val="18"/>
                <w:szCs w:val="18"/>
              </w:rPr>
            </w:pPr>
            <w:r>
              <w:rPr>
                <w:rFonts w:hint="default" w:ascii="Times New Roman" w:hAnsi="Times New Roman" w:cs="Times New Roman"/>
                <w:sz w:val="18"/>
                <w:szCs w:val="18"/>
              </w:rPr>
              <w:t>8</w:t>
            </w:r>
          </w:p>
        </w:tc>
        <w:tc>
          <w:tcPr>
            <w:tcW w:w="3687" w:type="dxa"/>
            <w:tcBorders>
              <w:top w:val="single" w:color="auto" w:sz="4" w:space="0"/>
              <w:left w:val="single" w:color="auto" w:sz="4" w:space="0"/>
              <w:bottom w:val="single" w:color="auto" w:sz="4" w:space="0"/>
              <w:right w:val="single" w:color="auto" w:sz="4" w:space="0"/>
            </w:tcBorders>
          </w:tcPr>
          <w:p w14:paraId="6D3399D2">
            <w:pPr>
              <w:widowControl/>
              <w:jc w:val="left"/>
              <w:textAlignment w:val="center"/>
              <w:rPr>
                <w:rFonts w:hint="default" w:ascii="Times New Roman" w:hAnsi="Times New Roman" w:cs="Times New Roman"/>
                <w:kern w:val="0"/>
                <w:sz w:val="18"/>
                <w:szCs w:val="18"/>
              </w:rPr>
            </w:pPr>
          </w:p>
          <w:p w14:paraId="58B41A9A">
            <w:pPr>
              <w:widowControl/>
              <w:jc w:val="left"/>
              <w:textAlignment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2、有完善的适应项目所在地的</w:t>
            </w:r>
            <w:r>
              <w:rPr>
                <w:rFonts w:hint="default" w:ascii="Times New Roman" w:hAnsi="Times New Roman" w:cs="Times New Roman"/>
                <w:sz w:val="18"/>
                <w:szCs w:val="18"/>
              </w:rPr>
              <w:t>温室大棚保险</w:t>
            </w:r>
            <w:r>
              <w:rPr>
                <w:rFonts w:hint="default" w:ascii="Times New Roman" w:hAnsi="Times New Roman" w:cs="Times New Roman"/>
                <w:kern w:val="0"/>
                <w:sz w:val="18"/>
                <w:szCs w:val="18"/>
              </w:rPr>
              <w:t>查勘定损办法和损失测量工作机制。重点考察查勘定损办法的科学性、准确性</w:t>
            </w:r>
            <w:r>
              <w:rPr>
                <w:rFonts w:hint="default" w:ascii="Times New Roman" w:hAnsi="Times New Roman" w:cs="Times New Roman"/>
                <w:sz w:val="18"/>
                <w:szCs w:val="18"/>
              </w:rPr>
              <w:t>：</w:t>
            </w:r>
          </w:p>
        </w:tc>
        <w:tc>
          <w:tcPr>
            <w:tcW w:w="2973" w:type="dxa"/>
            <w:tcBorders>
              <w:top w:val="single" w:color="auto" w:sz="4" w:space="0"/>
              <w:left w:val="single" w:color="auto" w:sz="4" w:space="0"/>
              <w:bottom w:val="single" w:color="auto" w:sz="4" w:space="0"/>
              <w:right w:val="single" w:color="auto" w:sz="4" w:space="0"/>
            </w:tcBorders>
            <w:vAlign w:val="center"/>
          </w:tcPr>
          <w:p w14:paraId="49A25BA5">
            <w:pPr>
              <w:widowControl/>
              <w:jc w:val="left"/>
              <w:textAlignment w:val="center"/>
              <w:rPr>
                <w:rFonts w:hint="default" w:ascii="Times New Roman" w:hAnsi="Times New Roman" w:cs="Times New Roman"/>
                <w:kern w:val="0"/>
                <w:sz w:val="18"/>
                <w:szCs w:val="18"/>
              </w:rPr>
            </w:pPr>
            <w:r>
              <w:rPr>
                <w:rFonts w:hint="default" w:ascii="Times New Roman" w:hAnsi="Times New Roman" w:cs="Times New Roman"/>
                <w:sz w:val="18"/>
                <w:szCs w:val="18"/>
              </w:rPr>
              <w:t>满足要求得8分，基本满足得5分，不完善得3分，无提供不得分。</w:t>
            </w:r>
          </w:p>
        </w:tc>
      </w:tr>
      <w:tr w14:paraId="6535574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417" w:hRule="atLeast"/>
        </w:trPr>
        <w:tc>
          <w:tcPr>
            <w:tcW w:w="507" w:type="dxa"/>
            <w:tcBorders>
              <w:top w:val="single" w:color="auto" w:sz="4" w:space="0"/>
              <w:left w:val="single" w:color="auto" w:sz="4" w:space="0"/>
              <w:bottom w:val="single" w:color="auto" w:sz="4" w:space="0"/>
              <w:right w:val="single" w:color="auto" w:sz="4" w:space="0"/>
            </w:tcBorders>
            <w:vAlign w:val="center"/>
          </w:tcPr>
          <w:p w14:paraId="42B9332E">
            <w:pPr>
              <w:spacing w:line="220" w:lineRule="exact"/>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w:t>
            </w:r>
          </w:p>
        </w:tc>
        <w:tc>
          <w:tcPr>
            <w:tcW w:w="918" w:type="dxa"/>
            <w:vMerge w:val="continue"/>
            <w:tcBorders>
              <w:top w:val="single" w:color="auto" w:sz="4" w:space="0"/>
              <w:left w:val="single" w:color="auto" w:sz="4" w:space="0"/>
              <w:bottom w:val="single" w:color="auto" w:sz="4" w:space="0"/>
              <w:right w:val="single" w:color="auto" w:sz="4" w:space="0"/>
            </w:tcBorders>
            <w:vAlign w:val="center"/>
          </w:tcPr>
          <w:p w14:paraId="3DC168CB">
            <w:pPr>
              <w:spacing w:line="220" w:lineRule="exact"/>
              <w:jc w:val="center"/>
              <w:rPr>
                <w:rFonts w:hint="default" w:ascii="Times New Roman" w:hAnsi="Times New Roman" w:cs="Times New Roman"/>
                <w:color w:val="000000"/>
                <w:sz w:val="18"/>
                <w:szCs w:val="18"/>
              </w:rPr>
            </w:pPr>
          </w:p>
        </w:tc>
        <w:tc>
          <w:tcPr>
            <w:tcW w:w="1035" w:type="dxa"/>
            <w:tcBorders>
              <w:top w:val="single" w:color="auto" w:sz="4" w:space="0"/>
              <w:left w:val="single" w:color="auto" w:sz="4" w:space="0"/>
              <w:bottom w:val="single" w:color="auto" w:sz="4" w:space="0"/>
              <w:right w:val="single" w:color="auto" w:sz="4" w:space="0"/>
            </w:tcBorders>
            <w:vAlign w:val="center"/>
          </w:tcPr>
          <w:p w14:paraId="10083F20">
            <w:pPr>
              <w:spacing w:line="220" w:lineRule="exact"/>
              <w:jc w:val="center"/>
              <w:rPr>
                <w:rFonts w:hint="default" w:ascii="Times New Roman" w:hAnsi="Times New Roman" w:cs="Times New Roman"/>
                <w:color w:val="000000"/>
                <w:sz w:val="18"/>
                <w:szCs w:val="18"/>
              </w:rPr>
            </w:pPr>
            <w:r>
              <w:rPr>
                <w:rFonts w:hint="default" w:ascii="Times New Roman" w:hAnsi="Times New Roman" w:cs="Times New Roman"/>
                <w:sz w:val="18"/>
                <w:szCs w:val="18"/>
              </w:rPr>
              <w:t>理赔方案</w:t>
            </w:r>
          </w:p>
        </w:tc>
        <w:tc>
          <w:tcPr>
            <w:tcW w:w="660" w:type="dxa"/>
            <w:tcBorders>
              <w:top w:val="single" w:color="auto" w:sz="4" w:space="0"/>
              <w:left w:val="single" w:color="auto" w:sz="4" w:space="0"/>
              <w:bottom w:val="single" w:color="auto" w:sz="4" w:space="0"/>
              <w:right w:val="single" w:color="auto" w:sz="4" w:space="0"/>
            </w:tcBorders>
            <w:vAlign w:val="center"/>
          </w:tcPr>
          <w:p w14:paraId="00292EC7">
            <w:pPr>
              <w:spacing w:line="220" w:lineRule="exact"/>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20</w:t>
            </w:r>
          </w:p>
        </w:tc>
        <w:tc>
          <w:tcPr>
            <w:tcW w:w="3687" w:type="dxa"/>
            <w:tcBorders>
              <w:top w:val="single" w:color="auto" w:sz="4" w:space="0"/>
              <w:left w:val="single" w:color="auto" w:sz="4" w:space="0"/>
              <w:bottom w:val="single" w:color="auto" w:sz="4" w:space="0"/>
              <w:right w:val="single" w:color="auto" w:sz="4" w:space="0"/>
            </w:tcBorders>
            <w:vAlign w:val="center"/>
          </w:tcPr>
          <w:p w14:paraId="5AD67AED">
            <w:pPr>
              <w:widowControl/>
              <w:jc w:val="left"/>
              <w:textAlignment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有完善的适应项目所在地的温室大棚保险理赔操作流程。重点考察理赔流程的方便性、时效性、准确性：</w:t>
            </w:r>
          </w:p>
        </w:tc>
        <w:tc>
          <w:tcPr>
            <w:tcW w:w="2973" w:type="dxa"/>
            <w:tcBorders>
              <w:top w:val="single" w:color="auto" w:sz="4" w:space="0"/>
              <w:left w:val="single" w:color="auto" w:sz="4" w:space="0"/>
              <w:bottom w:val="single" w:color="auto" w:sz="4" w:space="0"/>
              <w:right w:val="single" w:color="auto" w:sz="4" w:space="0"/>
            </w:tcBorders>
            <w:vAlign w:val="center"/>
          </w:tcPr>
          <w:p w14:paraId="08F153DD">
            <w:pPr>
              <w:widowControl/>
              <w:jc w:val="left"/>
              <w:textAlignment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理赔流程科学高效且具有可操作性的,得20分；理赔流程一般且能满足需要的,得15分；理赔流程方案不完整但能基本满足需要的,得10分；理赔流程存在明显不足的得5分。</w:t>
            </w:r>
          </w:p>
        </w:tc>
      </w:tr>
      <w:tr w14:paraId="6D56AE6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547" w:hRule="atLeast"/>
        </w:trPr>
        <w:tc>
          <w:tcPr>
            <w:tcW w:w="507" w:type="dxa"/>
            <w:tcBorders>
              <w:top w:val="single" w:color="auto" w:sz="4" w:space="0"/>
              <w:left w:val="single" w:color="auto" w:sz="4" w:space="0"/>
              <w:bottom w:val="single" w:color="auto" w:sz="4" w:space="0"/>
              <w:right w:val="single" w:color="auto" w:sz="4" w:space="0"/>
            </w:tcBorders>
            <w:vAlign w:val="center"/>
          </w:tcPr>
          <w:p w14:paraId="5225EA3D">
            <w:pPr>
              <w:widowControl/>
              <w:jc w:val="center"/>
              <w:textAlignment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4</w:t>
            </w:r>
          </w:p>
        </w:tc>
        <w:tc>
          <w:tcPr>
            <w:tcW w:w="918" w:type="dxa"/>
            <w:vMerge w:val="continue"/>
            <w:tcBorders>
              <w:top w:val="single" w:color="auto" w:sz="4" w:space="0"/>
              <w:left w:val="single" w:color="auto" w:sz="4" w:space="0"/>
              <w:bottom w:val="single" w:color="auto" w:sz="4" w:space="0"/>
              <w:right w:val="single" w:color="auto" w:sz="4" w:space="0"/>
            </w:tcBorders>
            <w:vAlign w:val="center"/>
          </w:tcPr>
          <w:p w14:paraId="7C89C1F3">
            <w:pPr>
              <w:widowControl/>
              <w:jc w:val="center"/>
              <w:textAlignment w:val="center"/>
              <w:rPr>
                <w:rFonts w:hint="default" w:ascii="Times New Roman" w:hAnsi="Times New Roman" w:cs="Times New Roman"/>
                <w:kern w:val="0"/>
                <w:sz w:val="18"/>
                <w:szCs w:val="18"/>
              </w:rPr>
            </w:pPr>
          </w:p>
        </w:tc>
        <w:tc>
          <w:tcPr>
            <w:tcW w:w="1035" w:type="dxa"/>
            <w:tcBorders>
              <w:top w:val="single" w:color="auto" w:sz="4" w:space="0"/>
              <w:left w:val="single" w:color="auto" w:sz="4" w:space="0"/>
              <w:bottom w:val="single" w:color="auto" w:sz="4" w:space="0"/>
              <w:right w:val="single" w:color="auto" w:sz="4" w:space="0"/>
            </w:tcBorders>
            <w:vAlign w:val="center"/>
          </w:tcPr>
          <w:p w14:paraId="614E31A6">
            <w:pPr>
              <w:widowControl/>
              <w:jc w:val="center"/>
              <w:textAlignment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经营业绩</w:t>
            </w:r>
          </w:p>
        </w:tc>
        <w:tc>
          <w:tcPr>
            <w:tcW w:w="660" w:type="dxa"/>
            <w:tcBorders>
              <w:top w:val="single" w:color="auto" w:sz="4" w:space="0"/>
              <w:left w:val="single" w:color="auto" w:sz="4" w:space="0"/>
              <w:bottom w:val="single" w:color="auto" w:sz="4" w:space="0"/>
              <w:right w:val="single" w:color="auto" w:sz="4" w:space="0"/>
            </w:tcBorders>
            <w:vAlign w:val="center"/>
          </w:tcPr>
          <w:p w14:paraId="50D347AF">
            <w:pPr>
              <w:widowControl/>
              <w:jc w:val="center"/>
              <w:textAlignment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5</w:t>
            </w:r>
          </w:p>
        </w:tc>
        <w:tc>
          <w:tcPr>
            <w:tcW w:w="3687" w:type="dxa"/>
            <w:tcBorders>
              <w:top w:val="single" w:color="auto" w:sz="4" w:space="0"/>
              <w:left w:val="single" w:color="auto" w:sz="4" w:space="0"/>
              <w:bottom w:val="single" w:color="auto" w:sz="4" w:space="0"/>
              <w:right w:val="single" w:color="auto" w:sz="4" w:space="0"/>
            </w:tcBorders>
            <w:vAlign w:val="center"/>
          </w:tcPr>
          <w:p w14:paraId="11987955">
            <w:pPr>
              <w:widowControl/>
              <w:jc w:val="left"/>
              <w:textAlignment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考察供应商202</w:t>
            </w:r>
            <w:r>
              <w:rPr>
                <w:rFonts w:hint="eastAsia" w:cs="Times New Roman"/>
                <w:kern w:val="0"/>
                <w:sz w:val="18"/>
                <w:szCs w:val="18"/>
                <w:lang w:val="en-US" w:eastAsia="zh-CN"/>
              </w:rPr>
              <w:t>2</w:t>
            </w:r>
            <w:r>
              <w:rPr>
                <w:rFonts w:hint="default" w:ascii="Times New Roman" w:hAnsi="Times New Roman" w:cs="Times New Roman"/>
                <w:kern w:val="0"/>
                <w:sz w:val="18"/>
                <w:szCs w:val="18"/>
              </w:rPr>
              <w:t>年1月1日以来有全省温室大棚保险业绩经验。</w:t>
            </w:r>
          </w:p>
          <w:p w14:paraId="1C402F3C">
            <w:pPr>
              <w:widowControl/>
              <w:jc w:val="left"/>
              <w:textAlignment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注：须提供温室大棚保险保单复印件及相关证明材料并加盖公章。</w:t>
            </w:r>
          </w:p>
        </w:tc>
        <w:tc>
          <w:tcPr>
            <w:tcW w:w="2973" w:type="dxa"/>
            <w:tcBorders>
              <w:top w:val="single" w:color="auto" w:sz="4" w:space="0"/>
              <w:left w:val="single" w:color="auto" w:sz="4" w:space="0"/>
              <w:bottom w:val="single" w:color="auto" w:sz="4" w:space="0"/>
              <w:right w:val="single" w:color="auto" w:sz="4" w:space="0"/>
            </w:tcBorders>
            <w:vAlign w:val="center"/>
          </w:tcPr>
          <w:p w14:paraId="5254FF36">
            <w:pPr>
              <w:widowControl/>
              <w:jc w:val="left"/>
              <w:textAlignment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有温室大棚保险承保理赔经验的得5分，没有不得分。</w:t>
            </w:r>
          </w:p>
          <w:p w14:paraId="5BA0A327">
            <w:pPr>
              <w:widowControl/>
              <w:jc w:val="left"/>
              <w:textAlignment w:val="center"/>
              <w:rPr>
                <w:rFonts w:hint="default" w:ascii="Times New Roman" w:hAnsi="Times New Roman" w:cs="Times New Roman"/>
                <w:kern w:val="0"/>
                <w:sz w:val="18"/>
                <w:szCs w:val="18"/>
              </w:rPr>
            </w:pPr>
          </w:p>
        </w:tc>
      </w:tr>
      <w:tr w14:paraId="154FD06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142" w:hRule="atLeast"/>
        </w:trPr>
        <w:tc>
          <w:tcPr>
            <w:tcW w:w="507" w:type="dxa"/>
            <w:tcBorders>
              <w:top w:val="single" w:color="auto" w:sz="4" w:space="0"/>
              <w:left w:val="single" w:color="auto" w:sz="4" w:space="0"/>
              <w:bottom w:val="single" w:color="auto" w:sz="4" w:space="0"/>
              <w:right w:val="single" w:color="auto" w:sz="4" w:space="0"/>
            </w:tcBorders>
            <w:vAlign w:val="center"/>
          </w:tcPr>
          <w:p w14:paraId="19DDFEE0">
            <w:pPr>
              <w:widowControl/>
              <w:jc w:val="center"/>
              <w:textAlignment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5</w:t>
            </w:r>
          </w:p>
        </w:tc>
        <w:tc>
          <w:tcPr>
            <w:tcW w:w="918" w:type="dxa"/>
            <w:vMerge w:val="continue"/>
            <w:tcBorders>
              <w:top w:val="single" w:color="auto" w:sz="4" w:space="0"/>
              <w:left w:val="single" w:color="auto" w:sz="4" w:space="0"/>
              <w:bottom w:val="single" w:color="auto" w:sz="4" w:space="0"/>
              <w:right w:val="single" w:color="auto" w:sz="4" w:space="0"/>
            </w:tcBorders>
            <w:vAlign w:val="center"/>
          </w:tcPr>
          <w:p w14:paraId="5B88D896">
            <w:pPr>
              <w:widowControl/>
              <w:jc w:val="center"/>
              <w:textAlignment w:val="center"/>
              <w:rPr>
                <w:rFonts w:hint="default" w:ascii="Times New Roman" w:hAnsi="Times New Roman" w:cs="Times New Roman"/>
                <w:kern w:val="0"/>
                <w:sz w:val="18"/>
                <w:szCs w:val="18"/>
              </w:rPr>
            </w:pPr>
          </w:p>
        </w:tc>
        <w:tc>
          <w:tcPr>
            <w:tcW w:w="1035" w:type="dxa"/>
            <w:tcBorders>
              <w:top w:val="single" w:color="auto" w:sz="4" w:space="0"/>
              <w:left w:val="single" w:color="auto" w:sz="4" w:space="0"/>
              <w:bottom w:val="single" w:color="auto" w:sz="4" w:space="0"/>
              <w:right w:val="single" w:color="auto" w:sz="4" w:space="0"/>
            </w:tcBorders>
            <w:vAlign w:val="center"/>
          </w:tcPr>
          <w:p w14:paraId="2AFFA2BC">
            <w:pPr>
              <w:widowControl/>
              <w:jc w:val="center"/>
              <w:textAlignment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分类监管评价</w:t>
            </w:r>
          </w:p>
        </w:tc>
        <w:tc>
          <w:tcPr>
            <w:tcW w:w="660" w:type="dxa"/>
            <w:tcBorders>
              <w:top w:val="single" w:color="auto" w:sz="4" w:space="0"/>
              <w:left w:val="single" w:color="auto" w:sz="4" w:space="0"/>
              <w:bottom w:val="single" w:color="auto" w:sz="4" w:space="0"/>
              <w:right w:val="single" w:color="auto" w:sz="4" w:space="0"/>
            </w:tcBorders>
            <w:vAlign w:val="center"/>
          </w:tcPr>
          <w:p w14:paraId="673105BB">
            <w:pPr>
              <w:widowControl/>
              <w:jc w:val="center"/>
              <w:textAlignment w:val="center"/>
              <w:rPr>
                <w:rFonts w:hint="default" w:ascii="Times New Roman" w:hAnsi="Times New Roman" w:eastAsia="宋体" w:cs="Times New Roman"/>
                <w:kern w:val="0"/>
                <w:sz w:val="18"/>
                <w:szCs w:val="18"/>
                <w:lang w:val="en-US" w:eastAsia="zh-CN"/>
              </w:rPr>
            </w:pPr>
            <w:r>
              <w:rPr>
                <w:rFonts w:hint="eastAsia" w:cs="Times New Roman"/>
                <w:kern w:val="0"/>
                <w:sz w:val="18"/>
                <w:szCs w:val="18"/>
                <w:lang w:val="en-US" w:eastAsia="zh-CN"/>
              </w:rPr>
              <w:t>5</w:t>
            </w:r>
          </w:p>
        </w:tc>
        <w:tc>
          <w:tcPr>
            <w:tcW w:w="3687" w:type="dxa"/>
            <w:tcBorders>
              <w:top w:val="single" w:color="auto" w:sz="4" w:space="0"/>
              <w:left w:val="single" w:color="auto" w:sz="4" w:space="0"/>
              <w:bottom w:val="single" w:color="auto" w:sz="4" w:space="0"/>
              <w:right w:val="single" w:color="auto" w:sz="4" w:space="0"/>
            </w:tcBorders>
            <w:vAlign w:val="center"/>
          </w:tcPr>
          <w:p w14:paraId="4EDEB76E">
            <w:pPr>
              <w:widowControl/>
              <w:jc w:val="left"/>
              <w:textAlignment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根据供应商或上级公司202</w:t>
            </w:r>
            <w:r>
              <w:rPr>
                <w:rFonts w:hint="eastAsia" w:cs="Times New Roman"/>
                <w:kern w:val="0"/>
                <w:sz w:val="18"/>
                <w:szCs w:val="18"/>
                <w:lang w:val="en-US" w:eastAsia="zh-CN"/>
              </w:rPr>
              <w:t>2</w:t>
            </w:r>
            <w:r>
              <w:rPr>
                <w:rFonts w:hint="default" w:ascii="Times New Roman" w:hAnsi="Times New Roman" w:cs="Times New Roman"/>
                <w:kern w:val="0"/>
                <w:sz w:val="18"/>
                <w:szCs w:val="18"/>
              </w:rPr>
              <w:t>年以来分类监管评价结果进行评审。</w:t>
            </w:r>
          </w:p>
          <w:p w14:paraId="2B774F31">
            <w:pPr>
              <w:widowControl/>
              <w:jc w:val="left"/>
              <w:textAlignment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注：须提供银保监部门公布的服务评价结果证明文件并加盖供应商公章，否则不得分。</w:t>
            </w:r>
          </w:p>
        </w:tc>
        <w:tc>
          <w:tcPr>
            <w:tcW w:w="2973" w:type="dxa"/>
            <w:tcBorders>
              <w:top w:val="single" w:color="auto" w:sz="4" w:space="0"/>
              <w:left w:val="single" w:color="auto" w:sz="4" w:space="0"/>
              <w:bottom w:val="single" w:color="auto" w:sz="4" w:space="0"/>
              <w:right w:val="single" w:color="auto" w:sz="4" w:space="0"/>
            </w:tcBorders>
            <w:vAlign w:val="center"/>
          </w:tcPr>
          <w:p w14:paraId="1386DE54">
            <w:pPr>
              <w:widowControl/>
              <w:jc w:val="left"/>
              <w:textAlignment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获得A评价等级得</w:t>
            </w:r>
            <w:r>
              <w:rPr>
                <w:rFonts w:hint="eastAsia" w:cs="Times New Roman"/>
                <w:kern w:val="0"/>
                <w:sz w:val="18"/>
                <w:szCs w:val="18"/>
                <w:lang w:val="en-US" w:eastAsia="zh-CN"/>
              </w:rPr>
              <w:t>5</w:t>
            </w:r>
            <w:r>
              <w:rPr>
                <w:rFonts w:hint="default" w:ascii="Times New Roman" w:hAnsi="Times New Roman" w:cs="Times New Roman"/>
                <w:kern w:val="0"/>
                <w:sz w:val="18"/>
                <w:szCs w:val="18"/>
              </w:rPr>
              <w:t>分，获得B评价等级得3分，获得C评价等级得2分，获得D（含）以下评价等级或不提供的不得分。</w:t>
            </w:r>
          </w:p>
          <w:p w14:paraId="77A59334">
            <w:pPr>
              <w:widowControl/>
              <w:jc w:val="left"/>
              <w:textAlignment w:val="center"/>
              <w:rPr>
                <w:rFonts w:hint="default" w:ascii="Times New Roman" w:hAnsi="Times New Roman" w:cs="Times New Roman"/>
                <w:kern w:val="0"/>
                <w:sz w:val="18"/>
                <w:szCs w:val="18"/>
              </w:rPr>
            </w:pPr>
          </w:p>
        </w:tc>
      </w:tr>
      <w:tr w14:paraId="7D25A49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069" w:hRule="atLeast"/>
        </w:trPr>
        <w:tc>
          <w:tcPr>
            <w:tcW w:w="507" w:type="dxa"/>
            <w:tcBorders>
              <w:top w:val="single" w:color="auto" w:sz="4" w:space="0"/>
              <w:left w:val="single" w:color="auto" w:sz="4" w:space="0"/>
              <w:bottom w:val="single" w:color="auto" w:sz="4" w:space="0"/>
              <w:right w:val="single" w:color="auto" w:sz="4" w:space="0"/>
            </w:tcBorders>
            <w:vAlign w:val="center"/>
          </w:tcPr>
          <w:p w14:paraId="7623FFE0">
            <w:pPr>
              <w:widowControl/>
              <w:jc w:val="center"/>
              <w:textAlignment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6</w:t>
            </w:r>
          </w:p>
        </w:tc>
        <w:tc>
          <w:tcPr>
            <w:tcW w:w="918" w:type="dxa"/>
            <w:vMerge w:val="continue"/>
            <w:tcBorders>
              <w:top w:val="single" w:color="auto" w:sz="4" w:space="0"/>
              <w:left w:val="single" w:color="auto" w:sz="4" w:space="0"/>
              <w:bottom w:val="single" w:color="auto" w:sz="4" w:space="0"/>
              <w:right w:val="single" w:color="auto" w:sz="4" w:space="0"/>
            </w:tcBorders>
            <w:vAlign w:val="center"/>
          </w:tcPr>
          <w:p w14:paraId="16E069EC">
            <w:pPr>
              <w:widowControl/>
              <w:jc w:val="center"/>
              <w:textAlignment w:val="center"/>
              <w:rPr>
                <w:rFonts w:hint="default" w:ascii="Times New Roman" w:hAnsi="Times New Roman" w:cs="Times New Roman"/>
                <w:kern w:val="0"/>
                <w:sz w:val="18"/>
                <w:szCs w:val="18"/>
              </w:rPr>
            </w:pPr>
          </w:p>
        </w:tc>
        <w:tc>
          <w:tcPr>
            <w:tcW w:w="1035" w:type="dxa"/>
            <w:tcBorders>
              <w:top w:val="single" w:color="auto" w:sz="4" w:space="0"/>
              <w:left w:val="single" w:color="auto" w:sz="4" w:space="0"/>
              <w:bottom w:val="single" w:color="auto" w:sz="4" w:space="0"/>
              <w:right w:val="single" w:color="auto" w:sz="4" w:space="0"/>
            </w:tcBorders>
            <w:vAlign w:val="center"/>
          </w:tcPr>
          <w:p w14:paraId="2E3B1DFF">
            <w:pPr>
              <w:widowControl/>
              <w:jc w:val="center"/>
              <w:textAlignment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消费投诉处理工作评价</w:t>
            </w:r>
          </w:p>
        </w:tc>
        <w:tc>
          <w:tcPr>
            <w:tcW w:w="660" w:type="dxa"/>
            <w:tcBorders>
              <w:top w:val="single" w:color="auto" w:sz="4" w:space="0"/>
              <w:left w:val="single" w:color="auto" w:sz="4" w:space="0"/>
              <w:bottom w:val="single" w:color="auto" w:sz="4" w:space="0"/>
              <w:right w:val="single" w:color="auto" w:sz="4" w:space="0"/>
            </w:tcBorders>
            <w:vAlign w:val="center"/>
          </w:tcPr>
          <w:p w14:paraId="07118EF3">
            <w:pPr>
              <w:widowControl/>
              <w:jc w:val="center"/>
              <w:textAlignment w:val="center"/>
              <w:rPr>
                <w:rFonts w:hint="default" w:ascii="Times New Roman" w:hAnsi="Times New Roman" w:eastAsia="宋体" w:cs="Times New Roman"/>
                <w:kern w:val="0"/>
                <w:sz w:val="18"/>
                <w:szCs w:val="18"/>
                <w:lang w:val="en-US" w:eastAsia="zh-CN"/>
              </w:rPr>
            </w:pPr>
            <w:r>
              <w:rPr>
                <w:rFonts w:hint="eastAsia" w:cs="Times New Roman"/>
                <w:kern w:val="0"/>
                <w:sz w:val="18"/>
                <w:szCs w:val="18"/>
                <w:lang w:val="en-US" w:eastAsia="zh-CN"/>
              </w:rPr>
              <w:t>8</w:t>
            </w:r>
          </w:p>
        </w:tc>
        <w:tc>
          <w:tcPr>
            <w:tcW w:w="3687" w:type="dxa"/>
            <w:tcBorders>
              <w:top w:val="single" w:color="auto" w:sz="4" w:space="0"/>
              <w:left w:val="single" w:color="auto" w:sz="4" w:space="0"/>
              <w:bottom w:val="single" w:color="auto" w:sz="4" w:space="0"/>
              <w:right w:val="single" w:color="auto" w:sz="4" w:space="0"/>
            </w:tcBorders>
            <w:vAlign w:val="center"/>
          </w:tcPr>
          <w:p w14:paraId="70B2F0D1">
            <w:pPr>
              <w:widowControl/>
              <w:jc w:val="left"/>
              <w:textAlignment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为保障消费者权益，完善社会治理体系，根据《广东保险公司保险消费投诉处理工作评价暂行办法》，供应商202</w:t>
            </w:r>
            <w:r>
              <w:rPr>
                <w:rFonts w:hint="eastAsia" w:cs="Times New Roman"/>
                <w:kern w:val="0"/>
                <w:sz w:val="18"/>
                <w:szCs w:val="18"/>
                <w:lang w:val="en-US" w:eastAsia="zh-CN"/>
              </w:rPr>
              <w:t>2</w:t>
            </w:r>
            <w:r>
              <w:rPr>
                <w:rFonts w:hint="default" w:ascii="Times New Roman" w:hAnsi="Times New Roman" w:cs="Times New Roman"/>
                <w:kern w:val="0"/>
                <w:sz w:val="18"/>
                <w:szCs w:val="18"/>
              </w:rPr>
              <w:t>年以来的保险公司保险投诉评价结果，亿元保费投诉率由低至高进行综合对比。</w:t>
            </w:r>
          </w:p>
          <w:p w14:paraId="7AF1A611">
            <w:pPr>
              <w:widowControl/>
              <w:jc w:val="left"/>
              <w:textAlignment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注：须提供广东银保监部门近年对供应商开展保险消费者投诉处理工作评价的证明材料复印件作为评审依据。</w:t>
            </w:r>
          </w:p>
        </w:tc>
        <w:tc>
          <w:tcPr>
            <w:tcW w:w="2973" w:type="dxa"/>
            <w:tcBorders>
              <w:top w:val="single" w:color="auto" w:sz="4" w:space="0"/>
              <w:left w:val="single" w:color="auto" w:sz="4" w:space="0"/>
              <w:bottom w:val="single" w:color="auto" w:sz="4" w:space="0"/>
              <w:right w:val="single" w:color="auto" w:sz="4" w:space="0"/>
            </w:tcBorders>
            <w:vAlign w:val="center"/>
          </w:tcPr>
          <w:p w14:paraId="4A1A0FE4">
            <w:pPr>
              <w:widowControl/>
              <w:jc w:val="left"/>
              <w:textAlignment w:val="center"/>
              <w:rPr>
                <w:rFonts w:hint="eastAsia" w:ascii="Times New Roman" w:hAnsi="Times New Roman" w:eastAsia="宋体" w:cs="Times New Roman"/>
                <w:kern w:val="0"/>
                <w:sz w:val="18"/>
                <w:szCs w:val="18"/>
                <w:lang w:eastAsia="zh-CN"/>
              </w:rPr>
            </w:pPr>
            <w:r>
              <w:rPr>
                <w:rFonts w:hint="default" w:ascii="Times New Roman" w:hAnsi="Times New Roman" w:cs="Times New Roman"/>
                <w:kern w:val="0"/>
                <w:sz w:val="18"/>
                <w:szCs w:val="18"/>
              </w:rPr>
              <w:t>由评审小组评出三个档次。第一</w:t>
            </w:r>
            <w:r>
              <w:rPr>
                <w:rFonts w:hint="eastAsia" w:cs="Times New Roman"/>
                <w:kern w:val="0"/>
                <w:sz w:val="18"/>
                <w:szCs w:val="18"/>
                <w:lang w:eastAsia="zh-CN"/>
              </w:rPr>
              <w:t>名</w:t>
            </w:r>
            <w:r>
              <w:rPr>
                <w:rFonts w:hint="default" w:ascii="Times New Roman" w:hAnsi="Times New Roman" w:cs="Times New Roman"/>
                <w:kern w:val="0"/>
                <w:sz w:val="18"/>
                <w:szCs w:val="18"/>
              </w:rPr>
              <w:t>得</w:t>
            </w:r>
            <w:r>
              <w:rPr>
                <w:rFonts w:hint="eastAsia" w:cs="Times New Roman"/>
                <w:kern w:val="0"/>
                <w:sz w:val="18"/>
                <w:szCs w:val="18"/>
                <w:lang w:val="en-US" w:eastAsia="zh-CN"/>
              </w:rPr>
              <w:t>8</w:t>
            </w:r>
            <w:r>
              <w:rPr>
                <w:rFonts w:hint="default" w:ascii="Times New Roman" w:hAnsi="Times New Roman" w:cs="Times New Roman"/>
                <w:kern w:val="0"/>
                <w:sz w:val="18"/>
                <w:szCs w:val="18"/>
              </w:rPr>
              <w:t>分，第二</w:t>
            </w:r>
            <w:r>
              <w:rPr>
                <w:rFonts w:hint="eastAsia" w:cs="Times New Roman"/>
                <w:kern w:val="0"/>
                <w:sz w:val="18"/>
                <w:szCs w:val="18"/>
                <w:lang w:eastAsia="zh-CN"/>
              </w:rPr>
              <w:t>名</w:t>
            </w:r>
            <w:r>
              <w:rPr>
                <w:rFonts w:hint="default" w:ascii="Times New Roman" w:hAnsi="Times New Roman" w:cs="Times New Roman"/>
                <w:kern w:val="0"/>
                <w:sz w:val="18"/>
                <w:szCs w:val="18"/>
              </w:rPr>
              <w:t>得</w:t>
            </w:r>
            <w:r>
              <w:rPr>
                <w:rFonts w:hint="eastAsia" w:cs="Times New Roman"/>
                <w:kern w:val="0"/>
                <w:sz w:val="18"/>
                <w:szCs w:val="18"/>
                <w:lang w:val="en-US" w:eastAsia="zh-CN"/>
              </w:rPr>
              <w:t>5</w:t>
            </w:r>
            <w:r>
              <w:rPr>
                <w:rFonts w:hint="default" w:ascii="Times New Roman" w:hAnsi="Times New Roman" w:cs="Times New Roman"/>
                <w:kern w:val="0"/>
                <w:sz w:val="18"/>
                <w:szCs w:val="18"/>
              </w:rPr>
              <w:t>分，第三</w:t>
            </w:r>
            <w:r>
              <w:rPr>
                <w:rFonts w:hint="eastAsia" w:cs="Times New Roman"/>
                <w:kern w:val="0"/>
                <w:sz w:val="18"/>
                <w:szCs w:val="18"/>
                <w:lang w:eastAsia="zh-CN"/>
              </w:rPr>
              <w:t>名及其他名次</w:t>
            </w:r>
            <w:r>
              <w:rPr>
                <w:rFonts w:hint="default" w:ascii="Times New Roman" w:hAnsi="Times New Roman" w:cs="Times New Roman"/>
                <w:kern w:val="0"/>
                <w:sz w:val="18"/>
                <w:szCs w:val="18"/>
              </w:rPr>
              <w:t>得</w:t>
            </w:r>
            <w:r>
              <w:rPr>
                <w:rFonts w:hint="eastAsia" w:cs="Times New Roman"/>
                <w:kern w:val="0"/>
                <w:sz w:val="18"/>
                <w:szCs w:val="18"/>
                <w:lang w:val="en-US" w:eastAsia="zh-CN"/>
              </w:rPr>
              <w:t>2</w:t>
            </w:r>
            <w:r>
              <w:rPr>
                <w:rFonts w:hint="default" w:ascii="Times New Roman" w:hAnsi="Times New Roman" w:cs="Times New Roman"/>
                <w:kern w:val="0"/>
                <w:sz w:val="18"/>
                <w:szCs w:val="18"/>
              </w:rPr>
              <w:t>分。</w:t>
            </w:r>
            <w:r>
              <w:rPr>
                <w:rFonts w:hint="eastAsia" w:cs="Times New Roman"/>
                <w:kern w:val="0"/>
                <w:sz w:val="18"/>
                <w:szCs w:val="18"/>
                <w:lang w:eastAsia="zh-CN"/>
              </w:rPr>
              <w:t>不提供的不得分。</w:t>
            </w:r>
          </w:p>
        </w:tc>
      </w:tr>
      <w:tr w14:paraId="390E99C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118" w:hRule="atLeast"/>
        </w:trPr>
        <w:tc>
          <w:tcPr>
            <w:tcW w:w="507" w:type="dxa"/>
            <w:tcBorders>
              <w:top w:val="single" w:color="auto" w:sz="4" w:space="0"/>
              <w:left w:val="single" w:color="auto" w:sz="4" w:space="0"/>
              <w:bottom w:val="single" w:color="auto" w:sz="4" w:space="0"/>
              <w:right w:val="single" w:color="auto" w:sz="4" w:space="0"/>
            </w:tcBorders>
            <w:vAlign w:val="center"/>
          </w:tcPr>
          <w:p w14:paraId="27DB73F8">
            <w:pPr>
              <w:widowControl/>
              <w:jc w:val="center"/>
              <w:textAlignment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7</w:t>
            </w:r>
          </w:p>
        </w:tc>
        <w:tc>
          <w:tcPr>
            <w:tcW w:w="918" w:type="dxa"/>
            <w:vMerge w:val="continue"/>
            <w:tcBorders>
              <w:top w:val="single" w:color="auto" w:sz="4" w:space="0"/>
              <w:left w:val="single" w:color="auto" w:sz="4" w:space="0"/>
              <w:bottom w:val="single" w:color="auto" w:sz="4" w:space="0"/>
              <w:right w:val="single" w:color="auto" w:sz="4" w:space="0"/>
            </w:tcBorders>
            <w:vAlign w:val="center"/>
          </w:tcPr>
          <w:p w14:paraId="7E7E8F62">
            <w:pPr>
              <w:widowControl/>
              <w:jc w:val="center"/>
              <w:textAlignment w:val="center"/>
              <w:rPr>
                <w:rFonts w:hint="default" w:ascii="Times New Roman" w:hAnsi="Times New Roman" w:cs="Times New Roman"/>
                <w:kern w:val="0"/>
                <w:sz w:val="18"/>
                <w:szCs w:val="18"/>
              </w:rPr>
            </w:pPr>
          </w:p>
        </w:tc>
        <w:tc>
          <w:tcPr>
            <w:tcW w:w="1035" w:type="dxa"/>
            <w:tcBorders>
              <w:top w:val="single" w:color="auto" w:sz="4" w:space="0"/>
              <w:left w:val="single" w:color="auto" w:sz="4" w:space="0"/>
              <w:bottom w:val="single" w:color="auto" w:sz="4" w:space="0"/>
              <w:right w:val="single" w:color="auto" w:sz="4" w:space="0"/>
            </w:tcBorders>
            <w:vAlign w:val="center"/>
          </w:tcPr>
          <w:p w14:paraId="6AE96C0C">
            <w:pPr>
              <w:widowControl/>
              <w:jc w:val="center"/>
              <w:textAlignment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其他增值服务</w:t>
            </w:r>
          </w:p>
        </w:tc>
        <w:tc>
          <w:tcPr>
            <w:tcW w:w="660" w:type="dxa"/>
            <w:tcBorders>
              <w:top w:val="single" w:color="auto" w:sz="4" w:space="0"/>
              <w:left w:val="single" w:color="auto" w:sz="4" w:space="0"/>
              <w:bottom w:val="single" w:color="auto" w:sz="4" w:space="0"/>
              <w:right w:val="single" w:color="auto" w:sz="4" w:space="0"/>
            </w:tcBorders>
            <w:vAlign w:val="center"/>
          </w:tcPr>
          <w:p w14:paraId="6A755E43">
            <w:pPr>
              <w:widowControl/>
              <w:jc w:val="center"/>
              <w:textAlignment w:val="center"/>
              <w:rPr>
                <w:rFonts w:hint="default" w:ascii="Times New Roman" w:hAnsi="Times New Roman" w:eastAsia="宋体" w:cs="Times New Roman"/>
                <w:kern w:val="0"/>
                <w:sz w:val="18"/>
                <w:szCs w:val="18"/>
                <w:lang w:val="en-US" w:eastAsia="zh-CN"/>
              </w:rPr>
            </w:pPr>
            <w:r>
              <w:rPr>
                <w:rFonts w:hint="eastAsia" w:cs="Times New Roman"/>
                <w:kern w:val="0"/>
                <w:sz w:val="18"/>
                <w:szCs w:val="18"/>
                <w:lang w:val="en-US" w:eastAsia="zh-CN"/>
              </w:rPr>
              <w:t>6</w:t>
            </w:r>
          </w:p>
        </w:tc>
        <w:tc>
          <w:tcPr>
            <w:tcW w:w="3687" w:type="dxa"/>
            <w:tcBorders>
              <w:top w:val="single" w:color="auto" w:sz="4" w:space="0"/>
              <w:left w:val="single" w:color="auto" w:sz="4" w:space="0"/>
              <w:bottom w:val="single" w:color="auto" w:sz="4" w:space="0"/>
              <w:right w:val="single" w:color="auto" w:sz="4" w:space="0"/>
            </w:tcBorders>
            <w:vAlign w:val="center"/>
          </w:tcPr>
          <w:p w14:paraId="6F25AED3">
            <w:pPr>
              <w:widowControl/>
              <w:jc w:val="left"/>
              <w:textAlignment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考察增值服务内容，综合评定。</w:t>
            </w:r>
          </w:p>
        </w:tc>
        <w:tc>
          <w:tcPr>
            <w:tcW w:w="2973" w:type="dxa"/>
            <w:tcBorders>
              <w:top w:val="single" w:color="auto" w:sz="4" w:space="0"/>
              <w:left w:val="single" w:color="auto" w:sz="4" w:space="0"/>
              <w:bottom w:val="single" w:color="auto" w:sz="4" w:space="0"/>
              <w:right w:val="single" w:color="auto" w:sz="4" w:space="0"/>
            </w:tcBorders>
            <w:vAlign w:val="center"/>
          </w:tcPr>
          <w:p w14:paraId="0AB3ABA3">
            <w:pPr>
              <w:widowControl/>
              <w:jc w:val="left"/>
              <w:textAlignment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增值服务内容较好得</w:t>
            </w:r>
            <w:r>
              <w:rPr>
                <w:rFonts w:hint="eastAsia" w:cs="Times New Roman"/>
                <w:kern w:val="0"/>
                <w:sz w:val="18"/>
                <w:szCs w:val="18"/>
                <w:lang w:val="en-US" w:eastAsia="zh-CN"/>
              </w:rPr>
              <w:t>6</w:t>
            </w:r>
            <w:r>
              <w:rPr>
                <w:rFonts w:hint="default" w:ascii="Times New Roman" w:hAnsi="Times New Roman" w:cs="Times New Roman"/>
                <w:kern w:val="0"/>
                <w:sz w:val="18"/>
                <w:szCs w:val="18"/>
              </w:rPr>
              <w:t>分，一般得3分，无提供不得分。</w:t>
            </w:r>
          </w:p>
        </w:tc>
      </w:tr>
      <w:tr w14:paraId="5BDEC04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65" w:hRule="atLeast"/>
        </w:trPr>
        <w:tc>
          <w:tcPr>
            <w:tcW w:w="507" w:type="dxa"/>
            <w:tcBorders>
              <w:top w:val="single" w:color="auto" w:sz="4" w:space="0"/>
              <w:left w:val="single" w:color="auto" w:sz="4" w:space="0"/>
              <w:bottom w:val="single" w:color="auto" w:sz="4" w:space="0"/>
              <w:right w:val="single" w:color="auto" w:sz="4" w:space="0"/>
            </w:tcBorders>
            <w:vAlign w:val="center"/>
          </w:tcPr>
          <w:p w14:paraId="4E2943FE">
            <w:pPr>
              <w:widowControl/>
              <w:jc w:val="center"/>
              <w:textAlignment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8</w:t>
            </w:r>
          </w:p>
        </w:tc>
        <w:tc>
          <w:tcPr>
            <w:tcW w:w="1953" w:type="dxa"/>
            <w:gridSpan w:val="2"/>
            <w:tcBorders>
              <w:top w:val="single" w:color="auto" w:sz="4" w:space="0"/>
              <w:left w:val="single" w:color="auto" w:sz="4" w:space="0"/>
              <w:bottom w:val="single" w:color="auto" w:sz="4" w:space="0"/>
              <w:right w:val="single" w:color="auto" w:sz="4" w:space="0"/>
            </w:tcBorders>
            <w:vAlign w:val="center"/>
          </w:tcPr>
          <w:p w14:paraId="7A0876BB">
            <w:pPr>
              <w:widowControl/>
              <w:jc w:val="center"/>
              <w:textAlignment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价格得分</w:t>
            </w:r>
          </w:p>
        </w:tc>
        <w:tc>
          <w:tcPr>
            <w:tcW w:w="660" w:type="dxa"/>
            <w:tcBorders>
              <w:top w:val="single" w:color="auto" w:sz="4" w:space="0"/>
              <w:left w:val="single" w:color="auto" w:sz="4" w:space="0"/>
              <w:bottom w:val="single" w:color="auto" w:sz="4" w:space="0"/>
              <w:right w:val="single" w:color="auto" w:sz="4" w:space="0"/>
            </w:tcBorders>
            <w:vAlign w:val="center"/>
          </w:tcPr>
          <w:p w14:paraId="5B705425">
            <w:pPr>
              <w:widowControl/>
              <w:jc w:val="center"/>
              <w:textAlignment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30</w:t>
            </w:r>
          </w:p>
        </w:tc>
        <w:tc>
          <w:tcPr>
            <w:tcW w:w="3687" w:type="dxa"/>
            <w:tcBorders>
              <w:top w:val="single" w:color="auto" w:sz="4" w:space="0"/>
              <w:left w:val="single" w:color="auto" w:sz="4" w:space="0"/>
              <w:bottom w:val="single" w:color="auto" w:sz="4" w:space="0"/>
              <w:right w:val="single" w:color="auto" w:sz="4" w:space="0"/>
            </w:tcBorders>
            <w:vAlign w:val="center"/>
          </w:tcPr>
          <w:p w14:paraId="4F065D73">
            <w:pPr>
              <w:widowControl/>
              <w:jc w:val="left"/>
              <w:textAlignment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按照供应商报价情况进行打分</w:t>
            </w:r>
          </w:p>
        </w:tc>
        <w:tc>
          <w:tcPr>
            <w:tcW w:w="2973" w:type="dxa"/>
            <w:tcBorders>
              <w:top w:val="single" w:color="auto" w:sz="4" w:space="0"/>
              <w:left w:val="single" w:color="auto" w:sz="4" w:space="0"/>
              <w:bottom w:val="single" w:color="auto" w:sz="4" w:space="0"/>
              <w:right w:val="single" w:color="auto" w:sz="4" w:space="0"/>
            </w:tcBorders>
            <w:vAlign w:val="center"/>
          </w:tcPr>
          <w:p w14:paraId="46C3E859">
            <w:pPr>
              <w:widowControl/>
              <w:jc w:val="left"/>
              <w:textAlignment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价格分采用低价优先法计算，即满足招标文件要求且投标价格最低的投标报价为评标基准价，其价格分为满分。其他供应商的价格分统一按照下列公式计算：</w:t>
            </w:r>
          </w:p>
          <w:p w14:paraId="64698744">
            <w:pPr>
              <w:widowControl/>
              <w:jc w:val="left"/>
              <w:textAlignment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投标报价得分=(评标基准价／投标报价)×100×权重</w:t>
            </w:r>
          </w:p>
          <w:p w14:paraId="008DA7D9">
            <w:pPr>
              <w:widowControl/>
              <w:jc w:val="left"/>
              <w:textAlignment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备注：投标报价得分四舍五入后，小数点后保留两位有效数。</w:t>
            </w:r>
          </w:p>
        </w:tc>
      </w:tr>
    </w:tbl>
    <w:p w14:paraId="134E9F50">
      <w:pPr>
        <w:ind w:firstLine="321" w:firstLineChars="100"/>
        <w:jc w:val="center"/>
        <w:rPr>
          <w:rFonts w:hint="default" w:ascii="Times New Roman" w:hAnsi="Times New Roman" w:eastAsia="仿宋" w:cs="Times New Roman"/>
          <w:b/>
          <w:bCs/>
          <w:sz w:val="32"/>
          <w:szCs w:val="32"/>
        </w:rPr>
      </w:pPr>
      <w:r>
        <w:rPr>
          <w:rFonts w:hint="default" w:ascii="Times New Roman" w:hAnsi="Times New Roman" w:eastAsia="仿宋" w:cs="Times New Roman"/>
          <w:b/>
          <w:bCs/>
          <w:sz w:val="32"/>
          <w:szCs w:val="32"/>
        </w:rPr>
        <w:t>表2商务技术评分表</w:t>
      </w:r>
    </w:p>
    <w:tbl>
      <w:tblPr>
        <w:tblStyle w:val="8"/>
        <w:tblpPr w:leftFromText="180" w:rightFromText="180" w:vertAnchor="text" w:horzAnchor="page" w:tblpX="1581" w:tblpY="629"/>
        <w:tblOverlap w:val="never"/>
        <w:tblW w:w="90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039"/>
        <w:gridCol w:w="840"/>
        <w:gridCol w:w="817"/>
        <w:gridCol w:w="818"/>
        <w:gridCol w:w="706"/>
        <w:gridCol w:w="762"/>
        <w:gridCol w:w="813"/>
        <w:gridCol w:w="779"/>
        <w:gridCol w:w="751"/>
      </w:tblGrid>
      <w:tr w14:paraId="7B5E5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675" w:type="dxa"/>
            <w:tcBorders>
              <w:top w:val="single" w:color="000000" w:sz="4" w:space="0"/>
              <w:left w:val="single" w:color="000000" w:sz="4" w:space="0"/>
              <w:bottom w:val="single" w:color="000000" w:sz="4" w:space="0"/>
              <w:right w:val="single" w:color="000000" w:sz="4" w:space="0"/>
            </w:tcBorders>
            <w:vAlign w:val="center"/>
          </w:tcPr>
          <w:p w14:paraId="335CBB9B">
            <w:pPr>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序号</w:t>
            </w:r>
          </w:p>
        </w:tc>
        <w:tc>
          <w:tcPr>
            <w:tcW w:w="2039" w:type="dxa"/>
            <w:tcBorders>
              <w:top w:val="single" w:color="000000" w:sz="4" w:space="0"/>
              <w:left w:val="single" w:color="000000" w:sz="4" w:space="0"/>
              <w:bottom w:val="single" w:color="000000" w:sz="4" w:space="0"/>
              <w:right w:val="single" w:color="000000" w:sz="4" w:space="0"/>
            </w:tcBorders>
            <w:vAlign w:val="center"/>
          </w:tcPr>
          <w:p w14:paraId="3083300C">
            <w:pPr>
              <w:jc w:val="center"/>
              <w:rPr>
                <w:rFonts w:hint="default" w:ascii="Times New Roman" w:hAnsi="Times New Roman" w:cs="Times New Roman"/>
                <w:color w:val="000000"/>
              </w:rPr>
            </w:pPr>
            <w:r>
              <w:rPr>
                <w:rFonts w:hint="default" w:ascii="Times New Roman" w:hAnsi="Times New Roman" w:cs="Times New Roman"/>
                <w:kern w:val="0"/>
                <w:sz w:val="20"/>
                <w:szCs w:val="20"/>
              </w:rPr>
              <w:t>供应商</w:t>
            </w:r>
          </w:p>
        </w:tc>
        <w:tc>
          <w:tcPr>
            <w:tcW w:w="840" w:type="dxa"/>
            <w:tcBorders>
              <w:top w:val="single" w:color="000000" w:sz="4" w:space="0"/>
              <w:left w:val="single" w:color="000000" w:sz="4" w:space="0"/>
              <w:bottom w:val="single" w:color="000000" w:sz="4" w:space="0"/>
              <w:right w:val="single" w:color="000000" w:sz="4" w:space="0"/>
            </w:tcBorders>
            <w:vAlign w:val="center"/>
          </w:tcPr>
          <w:p w14:paraId="7BE4FCCC">
            <w:pPr>
              <w:jc w:val="center"/>
              <w:rPr>
                <w:rFonts w:hint="default" w:ascii="Times New Roman" w:hAnsi="Times New Roman" w:cs="Times New Roman"/>
                <w:color w:val="000000"/>
              </w:rPr>
            </w:pPr>
            <w:r>
              <w:rPr>
                <w:rFonts w:hint="default" w:ascii="Times New Roman" w:hAnsi="Times New Roman" w:cs="Times New Roman"/>
                <w:color w:val="000000"/>
              </w:rPr>
              <w:t>承保方案</w:t>
            </w:r>
          </w:p>
          <w:p w14:paraId="05B0689E">
            <w:pPr>
              <w:jc w:val="center"/>
              <w:rPr>
                <w:rFonts w:hint="default" w:ascii="Times New Roman" w:hAnsi="Times New Roman" w:cs="Times New Roman"/>
                <w:color w:val="000000"/>
              </w:rPr>
            </w:pPr>
            <w:r>
              <w:rPr>
                <w:rFonts w:hint="default" w:ascii="Times New Roman" w:hAnsi="Times New Roman" w:cs="Times New Roman"/>
                <w:color w:val="000000"/>
              </w:rPr>
              <w:t>(10分)</w:t>
            </w:r>
          </w:p>
        </w:tc>
        <w:tc>
          <w:tcPr>
            <w:tcW w:w="817" w:type="dxa"/>
            <w:tcBorders>
              <w:left w:val="single" w:color="000000" w:sz="4" w:space="0"/>
            </w:tcBorders>
            <w:vAlign w:val="center"/>
          </w:tcPr>
          <w:p w14:paraId="31AA5BF8">
            <w:pPr>
              <w:jc w:val="center"/>
              <w:rPr>
                <w:rFonts w:hint="default" w:ascii="Times New Roman" w:hAnsi="Times New Roman" w:cs="Times New Roman"/>
                <w:color w:val="000000"/>
              </w:rPr>
            </w:pPr>
            <w:r>
              <w:rPr>
                <w:rFonts w:hint="default" w:ascii="Times New Roman" w:hAnsi="Times New Roman" w:cs="Times New Roman"/>
                <w:color w:val="000000"/>
              </w:rPr>
              <w:t>定损方案</w:t>
            </w:r>
          </w:p>
          <w:p w14:paraId="0D0FA00C">
            <w:pPr>
              <w:jc w:val="center"/>
              <w:rPr>
                <w:rFonts w:hint="default" w:ascii="Times New Roman" w:hAnsi="Times New Roman" w:cs="Times New Roman"/>
                <w:color w:val="000000"/>
              </w:rPr>
            </w:pPr>
            <w:r>
              <w:rPr>
                <w:rFonts w:hint="default" w:ascii="Times New Roman" w:hAnsi="Times New Roman" w:cs="Times New Roman"/>
                <w:color w:val="000000"/>
              </w:rPr>
              <w:t>(16分)</w:t>
            </w:r>
          </w:p>
        </w:tc>
        <w:tc>
          <w:tcPr>
            <w:tcW w:w="818" w:type="dxa"/>
            <w:vAlign w:val="center"/>
          </w:tcPr>
          <w:p w14:paraId="1AD4DEAE">
            <w:pPr>
              <w:jc w:val="center"/>
              <w:rPr>
                <w:rFonts w:hint="default" w:ascii="Times New Roman" w:hAnsi="Times New Roman" w:cs="Times New Roman"/>
                <w:color w:val="000000"/>
              </w:rPr>
            </w:pPr>
            <w:r>
              <w:rPr>
                <w:rFonts w:hint="default" w:ascii="Times New Roman" w:hAnsi="Times New Roman" w:cs="Times New Roman"/>
                <w:color w:val="000000"/>
              </w:rPr>
              <w:t>理赔方案</w:t>
            </w:r>
          </w:p>
          <w:p w14:paraId="169A2E07">
            <w:pPr>
              <w:jc w:val="center"/>
              <w:rPr>
                <w:rFonts w:hint="default" w:ascii="Times New Roman" w:hAnsi="Times New Roman" w:cs="Times New Roman"/>
                <w:color w:val="000000"/>
              </w:rPr>
            </w:pPr>
            <w:r>
              <w:rPr>
                <w:rFonts w:hint="default" w:ascii="Times New Roman" w:hAnsi="Times New Roman" w:cs="Times New Roman"/>
                <w:color w:val="000000"/>
              </w:rPr>
              <w:t>(20分)</w:t>
            </w:r>
          </w:p>
        </w:tc>
        <w:tc>
          <w:tcPr>
            <w:tcW w:w="706" w:type="dxa"/>
            <w:vAlign w:val="center"/>
          </w:tcPr>
          <w:p w14:paraId="4D4068A7">
            <w:pPr>
              <w:jc w:val="center"/>
              <w:rPr>
                <w:rFonts w:hint="default" w:ascii="Times New Roman" w:hAnsi="Times New Roman" w:cs="Times New Roman"/>
                <w:color w:val="000000"/>
              </w:rPr>
            </w:pPr>
            <w:r>
              <w:rPr>
                <w:rFonts w:hint="default" w:ascii="Times New Roman" w:hAnsi="Times New Roman" w:cs="Times New Roman"/>
                <w:color w:val="000000"/>
              </w:rPr>
              <w:t>经营业绩</w:t>
            </w:r>
          </w:p>
          <w:p w14:paraId="135B69BC">
            <w:pPr>
              <w:jc w:val="center"/>
              <w:rPr>
                <w:rFonts w:hint="default" w:ascii="Times New Roman" w:hAnsi="Times New Roman" w:cs="Times New Roman"/>
                <w:color w:val="000000"/>
              </w:rPr>
            </w:pPr>
            <w:r>
              <w:rPr>
                <w:rFonts w:hint="default" w:ascii="Times New Roman" w:hAnsi="Times New Roman" w:cs="Times New Roman"/>
                <w:color w:val="000000"/>
              </w:rPr>
              <w:t>(5分)</w:t>
            </w:r>
          </w:p>
        </w:tc>
        <w:tc>
          <w:tcPr>
            <w:tcW w:w="762" w:type="dxa"/>
            <w:vAlign w:val="center"/>
          </w:tcPr>
          <w:p w14:paraId="40FB9B6D">
            <w:pPr>
              <w:jc w:val="center"/>
              <w:rPr>
                <w:rFonts w:hint="default" w:ascii="Times New Roman" w:hAnsi="Times New Roman" w:cs="Times New Roman"/>
                <w:color w:val="000000"/>
              </w:rPr>
            </w:pPr>
            <w:r>
              <w:rPr>
                <w:rFonts w:hint="default" w:ascii="Times New Roman" w:hAnsi="Times New Roman" w:cs="Times New Roman"/>
                <w:color w:val="000000"/>
              </w:rPr>
              <w:t>分类监管评价</w:t>
            </w:r>
          </w:p>
          <w:p w14:paraId="0919B58F">
            <w:pPr>
              <w:jc w:val="center"/>
              <w:rPr>
                <w:rFonts w:hint="default" w:ascii="Times New Roman" w:hAnsi="Times New Roman" w:cs="Times New Roman"/>
                <w:color w:val="000000"/>
              </w:rPr>
            </w:pPr>
            <w:r>
              <w:rPr>
                <w:rFonts w:hint="default" w:ascii="Times New Roman" w:hAnsi="Times New Roman" w:cs="Times New Roman"/>
                <w:color w:val="000000"/>
              </w:rPr>
              <w:t>(</w:t>
            </w:r>
            <w:r>
              <w:rPr>
                <w:rFonts w:hint="eastAsia" w:cs="Times New Roman"/>
                <w:color w:val="000000"/>
                <w:lang w:val="en-US" w:eastAsia="zh-CN"/>
              </w:rPr>
              <w:t>5</w:t>
            </w:r>
            <w:r>
              <w:rPr>
                <w:rFonts w:hint="default" w:ascii="Times New Roman" w:hAnsi="Times New Roman" w:cs="Times New Roman"/>
                <w:color w:val="000000"/>
              </w:rPr>
              <w:t>分)</w:t>
            </w:r>
          </w:p>
        </w:tc>
        <w:tc>
          <w:tcPr>
            <w:tcW w:w="813" w:type="dxa"/>
            <w:vAlign w:val="center"/>
          </w:tcPr>
          <w:p w14:paraId="4C3A1943">
            <w:pPr>
              <w:jc w:val="center"/>
              <w:rPr>
                <w:rFonts w:hint="default" w:ascii="Times New Roman" w:hAnsi="Times New Roman" w:cs="Times New Roman"/>
                <w:color w:val="000000"/>
              </w:rPr>
            </w:pPr>
            <w:r>
              <w:rPr>
                <w:rFonts w:hint="default" w:ascii="Times New Roman" w:hAnsi="Times New Roman" w:cs="Times New Roman"/>
                <w:color w:val="000000"/>
              </w:rPr>
              <w:t>消费投诉处理工作评价</w:t>
            </w:r>
          </w:p>
          <w:p w14:paraId="55875C5F">
            <w:pPr>
              <w:jc w:val="center"/>
              <w:rPr>
                <w:rFonts w:hint="default" w:ascii="Times New Roman" w:hAnsi="Times New Roman" w:cs="Times New Roman"/>
                <w:color w:val="000000"/>
              </w:rPr>
            </w:pPr>
            <w:r>
              <w:rPr>
                <w:rFonts w:hint="default" w:ascii="Times New Roman" w:hAnsi="Times New Roman" w:cs="Times New Roman"/>
                <w:color w:val="000000"/>
              </w:rPr>
              <w:t>(</w:t>
            </w:r>
            <w:r>
              <w:rPr>
                <w:rFonts w:hint="eastAsia" w:cs="Times New Roman"/>
                <w:color w:val="000000"/>
                <w:lang w:val="en-US" w:eastAsia="zh-CN"/>
              </w:rPr>
              <w:t>8</w:t>
            </w:r>
            <w:r>
              <w:rPr>
                <w:rFonts w:hint="default" w:ascii="Times New Roman" w:hAnsi="Times New Roman" w:cs="Times New Roman"/>
                <w:color w:val="000000"/>
              </w:rPr>
              <w:t>分)</w:t>
            </w:r>
          </w:p>
        </w:tc>
        <w:tc>
          <w:tcPr>
            <w:tcW w:w="779" w:type="dxa"/>
            <w:vAlign w:val="center"/>
          </w:tcPr>
          <w:p w14:paraId="13E37505">
            <w:pPr>
              <w:jc w:val="center"/>
              <w:rPr>
                <w:rFonts w:hint="default" w:ascii="Times New Roman" w:hAnsi="Times New Roman" w:cs="Times New Roman"/>
                <w:color w:val="000000"/>
              </w:rPr>
            </w:pPr>
            <w:r>
              <w:rPr>
                <w:rFonts w:hint="default" w:ascii="Times New Roman" w:hAnsi="Times New Roman" w:cs="Times New Roman"/>
                <w:color w:val="000000"/>
              </w:rPr>
              <w:t>其他增值服务</w:t>
            </w:r>
          </w:p>
          <w:p w14:paraId="63CCD508">
            <w:pPr>
              <w:jc w:val="center"/>
              <w:rPr>
                <w:rFonts w:hint="eastAsia" w:ascii="Times New Roman" w:hAnsi="Times New Roman" w:eastAsia="宋体" w:cs="Times New Roman"/>
                <w:color w:val="000000"/>
                <w:lang w:val="en-US" w:eastAsia="zh-CN"/>
              </w:rPr>
            </w:pPr>
            <w:r>
              <w:rPr>
                <w:rFonts w:hint="eastAsia" w:ascii="Times New Roman" w:hAnsi="Times New Roman" w:cs="Times New Roman"/>
                <w:color w:val="000000"/>
                <w:lang w:val="en-US" w:eastAsia="zh-CN"/>
              </w:rPr>
              <w:t>(</w:t>
            </w:r>
            <w:r>
              <w:rPr>
                <w:rFonts w:hint="eastAsia" w:cs="Times New Roman"/>
                <w:color w:val="000000"/>
                <w:lang w:val="en-US" w:eastAsia="zh-CN"/>
              </w:rPr>
              <w:t>6</w:t>
            </w:r>
            <w:r>
              <w:rPr>
                <w:rFonts w:hint="default" w:ascii="Times New Roman" w:hAnsi="Times New Roman" w:cs="Times New Roman"/>
                <w:color w:val="000000"/>
              </w:rPr>
              <w:t>分</w:t>
            </w:r>
            <w:r>
              <w:rPr>
                <w:rFonts w:hint="eastAsia" w:ascii="Times New Roman" w:hAnsi="Times New Roman" w:cs="Times New Roman"/>
                <w:color w:val="000000"/>
                <w:lang w:val="en-US" w:eastAsia="zh-CN"/>
              </w:rPr>
              <w:t>)</w:t>
            </w:r>
          </w:p>
        </w:tc>
        <w:tc>
          <w:tcPr>
            <w:tcW w:w="751" w:type="dxa"/>
            <w:vAlign w:val="center"/>
          </w:tcPr>
          <w:p w14:paraId="2D9EA1AD">
            <w:pPr>
              <w:jc w:val="center"/>
              <w:rPr>
                <w:rFonts w:hint="default" w:ascii="Times New Roman" w:hAnsi="Times New Roman" w:cs="Times New Roman"/>
                <w:color w:val="000000"/>
              </w:rPr>
            </w:pPr>
            <w:r>
              <w:rPr>
                <w:rFonts w:hint="default" w:ascii="Times New Roman" w:hAnsi="Times New Roman" w:cs="Times New Roman"/>
                <w:color w:val="000000"/>
              </w:rPr>
              <w:t>合计</w:t>
            </w:r>
          </w:p>
        </w:tc>
      </w:tr>
      <w:tr w14:paraId="4B98E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tcBorders>
              <w:top w:val="single" w:color="000000" w:sz="4" w:space="0"/>
              <w:left w:val="single" w:color="000000" w:sz="4" w:space="0"/>
              <w:bottom w:val="single" w:color="000000" w:sz="4" w:space="0"/>
              <w:right w:val="single" w:color="000000" w:sz="4" w:space="0"/>
            </w:tcBorders>
            <w:vAlign w:val="center"/>
          </w:tcPr>
          <w:p w14:paraId="72287EF0">
            <w:pPr>
              <w:jc w:val="center"/>
              <w:rPr>
                <w:rFonts w:hint="default" w:ascii="Times New Roman" w:hAnsi="Times New Roman" w:cs="Times New Roman"/>
                <w:b/>
                <w:bCs/>
                <w:kern w:val="0"/>
                <w:sz w:val="20"/>
                <w:szCs w:val="20"/>
              </w:rPr>
            </w:pPr>
          </w:p>
        </w:tc>
        <w:tc>
          <w:tcPr>
            <w:tcW w:w="2039" w:type="dxa"/>
            <w:tcBorders>
              <w:top w:val="single" w:color="000000" w:sz="4" w:space="0"/>
              <w:left w:val="single" w:color="000000" w:sz="4" w:space="0"/>
              <w:bottom w:val="single" w:color="000000" w:sz="4" w:space="0"/>
              <w:right w:val="single" w:color="000000" w:sz="4" w:space="0"/>
            </w:tcBorders>
            <w:vAlign w:val="center"/>
          </w:tcPr>
          <w:p w14:paraId="1A545B20">
            <w:pPr>
              <w:jc w:val="center"/>
              <w:rPr>
                <w:rFonts w:hint="default" w:ascii="Times New Roman" w:hAnsi="Times New Roman" w:cs="Times New Roman"/>
                <w:b/>
                <w:bCs/>
                <w:kern w:val="0"/>
                <w:sz w:val="20"/>
                <w:szCs w:val="20"/>
              </w:rPr>
            </w:pPr>
          </w:p>
        </w:tc>
        <w:tc>
          <w:tcPr>
            <w:tcW w:w="840" w:type="dxa"/>
            <w:tcBorders>
              <w:top w:val="single" w:color="000000" w:sz="4" w:space="0"/>
              <w:left w:val="single" w:color="000000" w:sz="4" w:space="0"/>
              <w:bottom w:val="single" w:color="000000" w:sz="4" w:space="0"/>
              <w:right w:val="single" w:color="000000" w:sz="4" w:space="0"/>
            </w:tcBorders>
            <w:vAlign w:val="center"/>
          </w:tcPr>
          <w:p w14:paraId="1D6A75A4">
            <w:pPr>
              <w:jc w:val="center"/>
              <w:rPr>
                <w:rFonts w:hint="default" w:ascii="Times New Roman" w:hAnsi="Times New Roman" w:cs="Times New Roman"/>
                <w:b/>
                <w:bCs/>
                <w:kern w:val="0"/>
                <w:sz w:val="20"/>
                <w:szCs w:val="20"/>
              </w:rPr>
            </w:pPr>
          </w:p>
        </w:tc>
        <w:tc>
          <w:tcPr>
            <w:tcW w:w="817" w:type="dxa"/>
            <w:tcBorders>
              <w:left w:val="single" w:color="000000" w:sz="4" w:space="0"/>
            </w:tcBorders>
            <w:vAlign w:val="center"/>
          </w:tcPr>
          <w:p w14:paraId="6873E54D">
            <w:pPr>
              <w:jc w:val="center"/>
              <w:rPr>
                <w:rFonts w:hint="default" w:ascii="Times New Roman" w:hAnsi="Times New Roman" w:cs="Times New Roman"/>
                <w:b/>
                <w:bCs/>
                <w:kern w:val="0"/>
                <w:sz w:val="20"/>
                <w:szCs w:val="20"/>
              </w:rPr>
            </w:pPr>
          </w:p>
        </w:tc>
        <w:tc>
          <w:tcPr>
            <w:tcW w:w="818" w:type="dxa"/>
            <w:vAlign w:val="center"/>
          </w:tcPr>
          <w:p w14:paraId="636088E8">
            <w:pPr>
              <w:jc w:val="center"/>
              <w:rPr>
                <w:rFonts w:hint="default" w:ascii="Times New Roman" w:hAnsi="Times New Roman" w:cs="Times New Roman"/>
                <w:b/>
                <w:bCs/>
                <w:kern w:val="0"/>
                <w:sz w:val="20"/>
                <w:szCs w:val="20"/>
              </w:rPr>
            </w:pPr>
          </w:p>
        </w:tc>
        <w:tc>
          <w:tcPr>
            <w:tcW w:w="706" w:type="dxa"/>
          </w:tcPr>
          <w:p w14:paraId="76D9A091">
            <w:pPr>
              <w:jc w:val="center"/>
              <w:rPr>
                <w:rFonts w:hint="default" w:ascii="Times New Roman" w:hAnsi="Times New Roman" w:cs="Times New Roman"/>
                <w:b/>
                <w:bCs/>
                <w:kern w:val="0"/>
                <w:sz w:val="20"/>
                <w:szCs w:val="20"/>
              </w:rPr>
            </w:pPr>
          </w:p>
        </w:tc>
        <w:tc>
          <w:tcPr>
            <w:tcW w:w="762" w:type="dxa"/>
          </w:tcPr>
          <w:p w14:paraId="288671E1">
            <w:pPr>
              <w:jc w:val="center"/>
              <w:rPr>
                <w:rFonts w:hint="default" w:ascii="Times New Roman" w:hAnsi="Times New Roman" w:cs="Times New Roman"/>
                <w:b/>
                <w:bCs/>
                <w:kern w:val="0"/>
                <w:sz w:val="20"/>
                <w:szCs w:val="20"/>
              </w:rPr>
            </w:pPr>
          </w:p>
        </w:tc>
        <w:tc>
          <w:tcPr>
            <w:tcW w:w="813" w:type="dxa"/>
          </w:tcPr>
          <w:p w14:paraId="0CE55E7A">
            <w:pPr>
              <w:jc w:val="center"/>
              <w:rPr>
                <w:rFonts w:hint="default" w:ascii="Times New Roman" w:hAnsi="Times New Roman" w:cs="Times New Roman"/>
                <w:b/>
                <w:bCs/>
                <w:kern w:val="0"/>
                <w:sz w:val="20"/>
                <w:szCs w:val="20"/>
              </w:rPr>
            </w:pPr>
          </w:p>
        </w:tc>
        <w:tc>
          <w:tcPr>
            <w:tcW w:w="779" w:type="dxa"/>
          </w:tcPr>
          <w:p w14:paraId="492BBC21">
            <w:pPr>
              <w:jc w:val="center"/>
              <w:rPr>
                <w:rFonts w:hint="default" w:ascii="Times New Roman" w:hAnsi="Times New Roman" w:cs="Times New Roman"/>
                <w:b/>
                <w:bCs/>
                <w:kern w:val="0"/>
                <w:sz w:val="20"/>
                <w:szCs w:val="20"/>
              </w:rPr>
            </w:pPr>
          </w:p>
        </w:tc>
        <w:tc>
          <w:tcPr>
            <w:tcW w:w="751" w:type="dxa"/>
          </w:tcPr>
          <w:p w14:paraId="6DD193EE">
            <w:pPr>
              <w:jc w:val="center"/>
              <w:rPr>
                <w:rFonts w:hint="default" w:ascii="Times New Roman" w:hAnsi="Times New Roman" w:cs="Times New Roman"/>
                <w:b/>
                <w:bCs/>
                <w:kern w:val="0"/>
                <w:sz w:val="20"/>
                <w:szCs w:val="20"/>
              </w:rPr>
            </w:pPr>
          </w:p>
        </w:tc>
      </w:tr>
      <w:tr w14:paraId="3D601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1FF6F99D">
            <w:pPr>
              <w:jc w:val="center"/>
              <w:rPr>
                <w:rFonts w:hint="default" w:ascii="Times New Roman" w:hAnsi="Times New Roman" w:cs="Times New Roman"/>
                <w:b/>
                <w:bCs/>
                <w:kern w:val="0"/>
                <w:sz w:val="20"/>
                <w:szCs w:val="20"/>
              </w:rPr>
            </w:pPr>
          </w:p>
        </w:tc>
        <w:tc>
          <w:tcPr>
            <w:tcW w:w="2039" w:type="dxa"/>
            <w:vAlign w:val="center"/>
          </w:tcPr>
          <w:p w14:paraId="70B2D6B0">
            <w:pPr>
              <w:jc w:val="center"/>
              <w:rPr>
                <w:rFonts w:hint="default" w:ascii="Times New Roman" w:hAnsi="Times New Roman" w:cs="Times New Roman"/>
                <w:b/>
                <w:bCs/>
                <w:kern w:val="0"/>
                <w:sz w:val="20"/>
                <w:szCs w:val="20"/>
              </w:rPr>
            </w:pPr>
          </w:p>
        </w:tc>
        <w:tc>
          <w:tcPr>
            <w:tcW w:w="840" w:type="dxa"/>
            <w:vAlign w:val="center"/>
          </w:tcPr>
          <w:p w14:paraId="3AA31553">
            <w:pPr>
              <w:jc w:val="center"/>
              <w:rPr>
                <w:rFonts w:hint="default" w:ascii="Times New Roman" w:hAnsi="Times New Roman" w:cs="Times New Roman"/>
                <w:b/>
                <w:bCs/>
                <w:kern w:val="0"/>
                <w:sz w:val="20"/>
                <w:szCs w:val="20"/>
              </w:rPr>
            </w:pPr>
          </w:p>
        </w:tc>
        <w:tc>
          <w:tcPr>
            <w:tcW w:w="817" w:type="dxa"/>
            <w:vAlign w:val="center"/>
          </w:tcPr>
          <w:p w14:paraId="5DE86822">
            <w:pPr>
              <w:jc w:val="center"/>
              <w:rPr>
                <w:rFonts w:hint="default" w:ascii="Times New Roman" w:hAnsi="Times New Roman" w:cs="Times New Roman"/>
                <w:b/>
                <w:bCs/>
                <w:kern w:val="0"/>
                <w:sz w:val="20"/>
                <w:szCs w:val="20"/>
              </w:rPr>
            </w:pPr>
          </w:p>
        </w:tc>
        <w:tc>
          <w:tcPr>
            <w:tcW w:w="818" w:type="dxa"/>
            <w:vAlign w:val="center"/>
          </w:tcPr>
          <w:p w14:paraId="65606586">
            <w:pPr>
              <w:jc w:val="center"/>
              <w:rPr>
                <w:rFonts w:hint="default" w:ascii="Times New Roman" w:hAnsi="Times New Roman" w:cs="Times New Roman"/>
                <w:b/>
                <w:bCs/>
                <w:kern w:val="0"/>
                <w:sz w:val="20"/>
                <w:szCs w:val="20"/>
              </w:rPr>
            </w:pPr>
          </w:p>
        </w:tc>
        <w:tc>
          <w:tcPr>
            <w:tcW w:w="706" w:type="dxa"/>
          </w:tcPr>
          <w:p w14:paraId="3E4442BF">
            <w:pPr>
              <w:jc w:val="center"/>
              <w:rPr>
                <w:rFonts w:hint="default" w:ascii="Times New Roman" w:hAnsi="Times New Roman" w:cs="Times New Roman"/>
                <w:b/>
                <w:bCs/>
                <w:kern w:val="0"/>
                <w:sz w:val="20"/>
                <w:szCs w:val="20"/>
              </w:rPr>
            </w:pPr>
          </w:p>
        </w:tc>
        <w:tc>
          <w:tcPr>
            <w:tcW w:w="762" w:type="dxa"/>
          </w:tcPr>
          <w:p w14:paraId="2DF3AF92">
            <w:pPr>
              <w:jc w:val="center"/>
              <w:rPr>
                <w:rFonts w:hint="default" w:ascii="Times New Roman" w:hAnsi="Times New Roman" w:cs="Times New Roman"/>
                <w:b/>
                <w:bCs/>
                <w:kern w:val="0"/>
                <w:sz w:val="20"/>
                <w:szCs w:val="20"/>
              </w:rPr>
            </w:pPr>
          </w:p>
        </w:tc>
        <w:tc>
          <w:tcPr>
            <w:tcW w:w="813" w:type="dxa"/>
          </w:tcPr>
          <w:p w14:paraId="38AC798E">
            <w:pPr>
              <w:jc w:val="center"/>
              <w:rPr>
                <w:rFonts w:hint="default" w:ascii="Times New Roman" w:hAnsi="Times New Roman" w:cs="Times New Roman"/>
                <w:b/>
                <w:bCs/>
                <w:kern w:val="0"/>
                <w:sz w:val="20"/>
                <w:szCs w:val="20"/>
              </w:rPr>
            </w:pPr>
          </w:p>
        </w:tc>
        <w:tc>
          <w:tcPr>
            <w:tcW w:w="779" w:type="dxa"/>
          </w:tcPr>
          <w:p w14:paraId="7B353AE0">
            <w:pPr>
              <w:jc w:val="center"/>
              <w:rPr>
                <w:rFonts w:hint="default" w:ascii="Times New Roman" w:hAnsi="Times New Roman" w:cs="Times New Roman"/>
                <w:b/>
                <w:bCs/>
                <w:kern w:val="0"/>
                <w:sz w:val="20"/>
                <w:szCs w:val="20"/>
              </w:rPr>
            </w:pPr>
          </w:p>
        </w:tc>
        <w:tc>
          <w:tcPr>
            <w:tcW w:w="751" w:type="dxa"/>
          </w:tcPr>
          <w:p w14:paraId="1168FAD0">
            <w:pPr>
              <w:jc w:val="center"/>
              <w:rPr>
                <w:rFonts w:hint="default" w:ascii="Times New Roman" w:hAnsi="Times New Roman" w:cs="Times New Roman"/>
                <w:b/>
                <w:bCs/>
                <w:kern w:val="0"/>
                <w:sz w:val="20"/>
                <w:szCs w:val="20"/>
              </w:rPr>
            </w:pPr>
          </w:p>
        </w:tc>
      </w:tr>
      <w:tr w14:paraId="5D8F2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6DE61ED8">
            <w:pPr>
              <w:jc w:val="center"/>
              <w:rPr>
                <w:rFonts w:hint="default" w:ascii="Times New Roman" w:hAnsi="Times New Roman" w:cs="Times New Roman"/>
                <w:b/>
                <w:bCs/>
                <w:kern w:val="0"/>
                <w:sz w:val="20"/>
                <w:szCs w:val="20"/>
              </w:rPr>
            </w:pPr>
          </w:p>
        </w:tc>
        <w:tc>
          <w:tcPr>
            <w:tcW w:w="2039" w:type="dxa"/>
            <w:vAlign w:val="center"/>
          </w:tcPr>
          <w:p w14:paraId="5760FF31">
            <w:pPr>
              <w:jc w:val="center"/>
              <w:rPr>
                <w:rFonts w:hint="default" w:ascii="Times New Roman" w:hAnsi="Times New Roman" w:cs="Times New Roman"/>
                <w:b/>
                <w:bCs/>
                <w:kern w:val="0"/>
                <w:sz w:val="20"/>
                <w:szCs w:val="20"/>
              </w:rPr>
            </w:pPr>
          </w:p>
        </w:tc>
        <w:tc>
          <w:tcPr>
            <w:tcW w:w="840" w:type="dxa"/>
            <w:vAlign w:val="center"/>
          </w:tcPr>
          <w:p w14:paraId="013A643F">
            <w:pPr>
              <w:jc w:val="center"/>
              <w:rPr>
                <w:rFonts w:hint="default" w:ascii="Times New Roman" w:hAnsi="Times New Roman" w:cs="Times New Roman"/>
                <w:b/>
                <w:bCs/>
                <w:kern w:val="0"/>
                <w:sz w:val="20"/>
                <w:szCs w:val="20"/>
              </w:rPr>
            </w:pPr>
          </w:p>
        </w:tc>
        <w:tc>
          <w:tcPr>
            <w:tcW w:w="817" w:type="dxa"/>
            <w:vAlign w:val="center"/>
          </w:tcPr>
          <w:p w14:paraId="6BA0B87F">
            <w:pPr>
              <w:jc w:val="center"/>
              <w:rPr>
                <w:rFonts w:hint="default" w:ascii="Times New Roman" w:hAnsi="Times New Roman" w:cs="Times New Roman"/>
                <w:b/>
                <w:bCs/>
                <w:kern w:val="0"/>
                <w:sz w:val="20"/>
                <w:szCs w:val="20"/>
              </w:rPr>
            </w:pPr>
          </w:p>
        </w:tc>
        <w:tc>
          <w:tcPr>
            <w:tcW w:w="818" w:type="dxa"/>
            <w:vAlign w:val="center"/>
          </w:tcPr>
          <w:p w14:paraId="50B9C7BA">
            <w:pPr>
              <w:jc w:val="center"/>
              <w:rPr>
                <w:rFonts w:hint="default" w:ascii="Times New Roman" w:hAnsi="Times New Roman" w:cs="Times New Roman"/>
                <w:b/>
                <w:bCs/>
                <w:kern w:val="0"/>
                <w:sz w:val="20"/>
                <w:szCs w:val="20"/>
              </w:rPr>
            </w:pPr>
          </w:p>
        </w:tc>
        <w:tc>
          <w:tcPr>
            <w:tcW w:w="706" w:type="dxa"/>
          </w:tcPr>
          <w:p w14:paraId="5B856786">
            <w:pPr>
              <w:jc w:val="center"/>
              <w:rPr>
                <w:rFonts w:hint="default" w:ascii="Times New Roman" w:hAnsi="Times New Roman" w:cs="Times New Roman"/>
                <w:b/>
                <w:bCs/>
                <w:kern w:val="0"/>
                <w:sz w:val="20"/>
                <w:szCs w:val="20"/>
              </w:rPr>
            </w:pPr>
          </w:p>
        </w:tc>
        <w:tc>
          <w:tcPr>
            <w:tcW w:w="762" w:type="dxa"/>
          </w:tcPr>
          <w:p w14:paraId="1B96CE88">
            <w:pPr>
              <w:jc w:val="center"/>
              <w:rPr>
                <w:rFonts w:hint="default" w:ascii="Times New Roman" w:hAnsi="Times New Roman" w:cs="Times New Roman"/>
                <w:b/>
                <w:bCs/>
                <w:kern w:val="0"/>
                <w:sz w:val="20"/>
                <w:szCs w:val="20"/>
              </w:rPr>
            </w:pPr>
          </w:p>
        </w:tc>
        <w:tc>
          <w:tcPr>
            <w:tcW w:w="813" w:type="dxa"/>
          </w:tcPr>
          <w:p w14:paraId="08D483D4">
            <w:pPr>
              <w:jc w:val="center"/>
              <w:rPr>
                <w:rFonts w:hint="default" w:ascii="Times New Roman" w:hAnsi="Times New Roman" w:cs="Times New Roman"/>
                <w:b/>
                <w:bCs/>
                <w:kern w:val="0"/>
                <w:sz w:val="20"/>
                <w:szCs w:val="20"/>
              </w:rPr>
            </w:pPr>
          </w:p>
        </w:tc>
        <w:tc>
          <w:tcPr>
            <w:tcW w:w="779" w:type="dxa"/>
          </w:tcPr>
          <w:p w14:paraId="050F95B1">
            <w:pPr>
              <w:jc w:val="center"/>
              <w:rPr>
                <w:rFonts w:hint="default" w:ascii="Times New Roman" w:hAnsi="Times New Roman" w:cs="Times New Roman"/>
                <w:b/>
                <w:bCs/>
                <w:kern w:val="0"/>
                <w:sz w:val="20"/>
                <w:szCs w:val="20"/>
              </w:rPr>
            </w:pPr>
          </w:p>
        </w:tc>
        <w:tc>
          <w:tcPr>
            <w:tcW w:w="751" w:type="dxa"/>
          </w:tcPr>
          <w:p w14:paraId="3BFB2311">
            <w:pPr>
              <w:jc w:val="center"/>
              <w:rPr>
                <w:rFonts w:hint="default" w:ascii="Times New Roman" w:hAnsi="Times New Roman" w:cs="Times New Roman"/>
                <w:b/>
                <w:bCs/>
                <w:kern w:val="0"/>
                <w:sz w:val="20"/>
                <w:szCs w:val="20"/>
              </w:rPr>
            </w:pPr>
          </w:p>
        </w:tc>
      </w:tr>
    </w:tbl>
    <w:p w14:paraId="13797EDE">
      <w:pPr>
        <w:pStyle w:val="2"/>
        <w:rPr>
          <w:rFonts w:hint="default" w:ascii="Times New Roman" w:hAnsi="Times New Roman" w:cs="Times New Roman"/>
        </w:rPr>
      </w:pPr>
    </w:p>
    <w:p w14:paraId="51E171E4">
      <w:pPr>
        <w:ind w:firstLine="321" w:firstLineChars="100"/>
        <w:jc w:val="center"/>
        <w:rPr>
          <w:rFonts w:hint="default" w:ascii="Times New Roman" w:hAnsi="Times New Roman" w:eastAsia="仿宋" w:cs="Times New Roman"/>
          <w:b/>
          <w:bCs/>
          <w:sz w:val="32"/>
          <w:szCs w:val="32"/>
        </w:rPr>
      </w:pPr>
      <w:r>
        <w:rPr>
          <w:rFonts w:hint="default" w:ascii="Times New Roman" w:hAnsi="Times New Roman" w:eastAsia="仿宋" w:cs="Times New Roman"/>
          <w:b/>
          <w:bCs/>
          <w:sz w:val="32"/>
          <w:szCs w:val="32"/>
        </w:rPr>
        <w:t>表3价格评分表</w:t>
      </w:r>
    </w:p>
    <w:tbl>
      <w:tblPr>
        <w:tblStyle w:val="8"/>
        <w:tblpPr w:leftFromText="180" w:rightFromText="180" w:vertAnchor="text" w:horzAnchor="page" w:tblpX="1551" w:tblpY="64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7"/>
        <w:gridCol w:w="3810"/>
        <w:gridCol w:w="1665"/>
        <w:gridCol w:w="2790"/>
      </w:tblGrid>
      <w:tr w14:paraId="0D963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747" w:type="dxa"/>
            <w:vAlign w:val="center"/>
          </w:tcPr>
          <w:p w14:paraId="307BD0EC">
            <w:pPr>
              <w:jc w:val="center"/>
              <w:rPr>
                <w:rFonts w:hint="eastAsia" w:ascii="Times New Roman" w:hAnsi="Times New Roman" w:eastAsia="宋体" w:cs="Times New Roman"/>
                <w:kern w:val="0"/>
                <w:sz w:val="20"/>
                <w:szCs w:val="20"/>
                <w:lang w:eastAsia="zh-CN"/>
              </w:rPr>
            </w:pPr>
            <w:r>
              <w:rPr>
                <w:rFonts w:hint="eastAsia" w:cs="Times New Roman"/>
                <w:kern w:val="0"/>
                <w:sz w:val="20"/>
                <w:szCs w:val="20"/>
                <w:lang w:eastAsia="zh-CN"/>
              </w:rPr>
              <w:t>序号</w:t>
            </w:r>
          </w:p>
        </w:tc>
        <w:tc>
          <w:tcPr>
            <w:tcW w:w="3810" w:type="dxa"/>
            <w:vAlign w:val="center"/>
          </w:tcPr>
          <w:p w14:paraId="3A4A3320">
            <w:pPr>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供应商</w:t>
            </w:r>
          </w:p>
        </w:tc>
        <w:tc>
          <w:tcPr>
            <w:tcW w:w="1665" w:type="dxa"/>
            <w:vAlign w:val="center"/>
          </w:tcPr>
          <w:p w14:paraId="2C85BB93">
            <w:pPr>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报价</w:t>
            </w:r>
          </w:p>
        </w:tc>
        <w:tc>
          <w:tcPr>
            <w:tcW w:w="2790" w:type="dxa"/>
            <w:vAlign w:val="center"/>
          </w:tcPr>
          <w:p w14:paraId="619EB412">
            <w:pPr>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价格得分（30分）</w:t>
            </w:r>
          </w:p>
        </w:tc>
      </w:tr>
      <w:tr w14:paraId="6CCCF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747" w:type="dxa"/>
            <w:vAlign w:val="center"/>
          </w:tcPr>
          <w:p w14:paraId="74AF7872">
            <w:pPr>
              <w:jc w:val="center"/>
              <w:rPr>
                <w:rFonts w:hint="default" w:ascii="Times New Roman" w:hAnsi="Times New Roman" w:cs="Times New Roman"/>
                <w:kern w:val="0"/>
                <w:sz w:val="20"/>
                <w:szCs w:val="20"/>
              </w:rPr>
            </w:pPr>
          </w:p>
        </w:tc>
        <w:tc>
          <w:tcPr>
            <w:tcW w:w="3810" w:type="dxa"/>
            <w:vAlign w:val="center"/>
          </w:tcPr>
          <w:p w14:paraId="7278FD8A">
            <w:pPr>
              <w:jc w:val="center"/>
              <w:rPr>
                <w:rFonts w:hint="default" w:ascii="Times New Roman" w:hAnsi="Times New Roman" w:cs="Times New Roman"/>
                <w:kern w:val="0"/>
                <w:sz w:val="20"/>
                <w:szCs w:val="20"/>
              </w:rPr>
            </w:pPr>
          </w:p>
        </w:tc>
        <w:tc>
          <w:tcPr>
            <w:tcW w:w="1665" w:type="dxa"/>
            <w:vAlign w:val="center"/>
          </w:tcPr>
          <w:p w14:paraId="44D1512C">
            <w:pPr>
              <w:jc w:val="center"/>
              <w:rPr>
                <w:rFonts w:hint="default" w:ascii="Times New Roman" w:hAnsi="Times New Roman" w:cs="Times New Roman"/>
                <w:kern w:val="0"/>
                <w:sz w:val="20"/>
                <w:szCs w:val="20"/>
              </w:rPr>
            </w:pPr>
          </w:p>
        </w:tc>
        <w:tc>
          <w:tcPr>
            <w:tcW w:w="2790" w:type="dxa"/>
            <w:vAlign w:val="center"/>
          </w:tcPr>
          <w:p w14:paraId="4F7B623D">
            <w:pPr>
              <w:jc w:val="center"/>
              <w:rPr>
                <w:rFonts w:hint="default" w:ascii="Times New Roman" w:hAnsi="Times New Roman" w:cs="Times New Roman"/>
                <w:kern w:val="0"/>
                <w:sz w:val="20"/>
                <w:szCs w:val="20"/>
              </w:rPr>
            </w:pPr>
          </w:p>
        </w:tc>
      </w:tr>
      <w:tr w14:paraId="2B3D7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747" w:type="dxa"/>
            <w:vAlign w:val="center"/>
          </w:tcPr>
          <w:p w14:paraId="18164414">
            <w:pPr>
              <w:jc w:val="center"/>
              <w:rPr>
                <w:rFonts w:hint="default" w:ascii="Times New Roman" w:hAnsi="Times New Roman" w:cs="Times New Roman"/>
                <w:kern w:val="0"/>
                <w:sz w:val="20"/>
                <w:szCs w:val="20"/>
              </w:rPr>
            </w:pPr>
          </w:p>
        </w:tc>
        <w:tc>
          <w:tcPr>
            <w:tcW w:w="3810" w:type="dxa"/>
            <w:vAlign w:val="center"/>
          </w:tcPr>
          <w:p w14:paraId="244E38B3">
            <w:pPr>
              <w:jc w:val="center"/>
              <w:rPr>
                <w:rFonts w:hint="default" w:ascii="Times New Roman" w:hAnsi="Times New Roman" w:cs="Times New Roman"/>
                <w:kern w:val="0"/>
                <w:sz w:val="20"/>
                <w:szCs w:val="20"/>
              </w:rPr>
            </w:pPr>
          </w:p>
        </w:tc>
        <w:tc>
          <w:tcPr>
            <w:tcW w:w="1665" w:type="dxa"/>
            <w:vAlign w:val="center"/>
          </w:tcPr>
          <w:p w14:paraId="53D219F8">
            <w:pPr>
              <w:jc w:val="center"/>
              <w:rPr>
                <w:rFonts w:hint="default" w:ascii="Times New Roman" w:hAnsi="Times New Roman" w:cs="Times New Roman"/>
                <w:kern w:val="0"/>
                <w:sz w:val="20"/>
                <w:szCs w:val="20"/>
              </w:rPr>
            </w:pPr>
          </w:p>
        </w:tc>
        <w:tc>
          <w:tcPr>
            <w:tcW w:w="2790" w:type="dxa"/>
            <w:vAlign w:val="center"/>
          </w:tcPr>
          <w:p w14:paraId="124D848A">
            <w:pPr>
              <w:jc w:val="center"/>
              <w:rPr>
                <w:rFonts w:hint="default" w:ascii="Times New Roman" w:hAnsi="Times New Roman" w:cs="Times New Roman"/>
                <w:kern w:val="0"/>
                <w:sz w:val="20"/>
                <w:szCs w:val="20"/>
              </w:rPr>
            </w:pPr>
          </w:p>
        </w:tc>
      </w:tr>
      <w:tr w14:paraId="21277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747" w:type="dxa"/>
            <w:vAlign w:val="center"/>
          </w:tcPr>
          <w:p w14:paraId="18189A5E">
            <w:pPr>
              <w:jc w:val="center"/>
              <w:rPr>
                <w:rFonts w:hint="default" w:ascii="Times New Roman" w:hAnsi="Times New Roman" w:cs="Times New Roman"/>
                <w:kern w:val="0"/>
                <w:sz w:val="20"/>
                <w:szCs w:val="20"/>
              </w:rPr>
            </w:pPr>
          </w:p>
        </w:tc>
        <w:tc>
          <w:tcPr>
            <w:tcW w:w="3810" w:type="dxa"/>
            <w:vAlign w:val="center"/>
          </w:tcPr>
          <w:p w14:paraId="62532758">
            <w:pPr>
              <w:jc w:val="center"/>
              <w:rPr>
                <w:rFonts w:hint="default" w:ascii="Times New Roman" w:hAnsi="Times New Roman" w:cs="Times New Roman"/>
                <w:kern w:val="0"/>
                <w:sz w:val="20"/>
                <w:szCs w:val="20"/>
              </w:rPr>
            </w:pPr>
          </w:p>
        </w:tc>
        <w:tc>
          <w:tcPr>
            <w:tcW w:w="1665" w:type="dxa"/>
            <w:vAlign w:val="center"/>
          </w:tcPr>
          <w:p w14:paraId="16606A9F">
            <w:pPr>
              <w:jc w:val="center"/>
              <w:rPr>
                <w:rFonts w:hint="default" w:ascii="Times New Roman" w:hAnsi="Times New Roman" w:cs="Times New Roman"/>
                <w:kern w:val="0"/>
                <w:sz w:val="20"/>
                <w:szCs w:val="20"/>
              </w:rPr>
            </w:pPr>
          </w:p>
        </w:tc>
        <w:tc>
          <w:tcPr>
            <w:tcW w:w="2790" w:type="dxa"/>
            <w:vAlign w:val="center"/>
          </w:tcPr>
          <w:p w14:paraId="04817A6C">
            <w:pPr>
              <w:jc w:val="center"/>
              <w:rPr>
                <w:rFonts w:hint="default" w:ascii="Times New Roman" w:hAnsi="Times New Roman" w:cs="Times New Roman"/>
                <w:kern w:val="0"/>
                <w:sz w:val="20"/>
                <w:szCs w:val="20"/>
              </w:rPr>
            </w:pPr>
          </w:p>
        </w:tc>
      </w:tr>
    </w:tbl>
    <w:p w14:paraId="0E8CD890">
      <w:pPr>
        <w:ind w:firstLine="321" w:firstLineChars="100"/>
        <w:jc w:val="center"/>
        <w:rPr>
          <w:rFonts w:hint="default" w:ascii="Times New Roman" w:hAnsi="Times New Roman" w:eastAsia="仿宋" w:cs="Times New Roman"/>
          <w:b/>
          <w:bCs/>
          <w:sz w:val="32"/>
          <w:szCs w:val="32"/>
        </w:rPr>
      </w:pPr>
    </w:p>
    <w:p w14:paraId="7BE64044">
      <w:pPr>
        <w:jc w:val="center"/>
        <w:rPr>
          <w:rFonts w:hint="default" w:ascii="Times New Roman" w:hAnsi="Times New Roman" w:eastAsia="仿宋" w:cs="Times New Roman"/>
          <w:b/>
          <w:bCs/>
          <w:sz w:val="32"/>
          <w:szCs w:val="32"/>
        </w:rPr>
      </w:pPr>
      <w:r>
        <w:rPr>
          <w:rFonts w:hint="default" w:ascii="Times New Roman" w:hAnsi="Times New Roman" w:eastAsia="仿宋" w:cs="Times New Roman"/>
          <w:b/>
          <w:bCs/>
          <w:sz w:val="32"/>
          <w:szCs w:val="32"/>
        </w:rPr>
        <w:t>表4综合评分</w:t>
      </w:r>
    </w:p>
    <w:tbl>
      <w:tblPr>
        <w:tblStyle w:val="8"/>
        <w:tblpPr w:leftFromText="180" w:rightFromText="180" w:vertAnchor="text" w:horzAnchor="page" w:tblpX="1548" w:tblpY="45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65"/>
        <w:gridCol w:w="1545"/>
        <w:gridCol w:w="1620"/>
        <w:gridCol w:w="1590"/>
        <w:gridCol w:w="1466"/>
      </w:tblGrid>
      <w:tr w14:paraId="20DEE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5" w:hRule="atLeast"/>
        </w:trPr>
        <w:tc>
          <w:tcPr>
            <w:tcW w:w="2865" w:type="dxa"/>
            <w:vAlign w:val="center"/>
          </w:tcPr>
          <w:p w14:paraId="28D12323">
            <w:pPr>
              <w:jc w:val="center"/>
              <w:rPr>
                <w:rFonts w:hint="default" w:ascii="Times New Roman" w:hAnsi="Times New Roman" w:cs="Times New Roman"/>
                <w:color w:val="000000"/>
              </w:rPr>
            </w:pPr>
            <w:r>
              <w:rPr>
                <w:rFonts w:hint="default" w:ascii="Times New Roman" w:hAnsi="Times New Roman" w:cs="Times New Roman"/>
                <w:color w:val="000000"/>
              </w:rPr>
              <w:t>供应商</w:t>
            </w:r>
          </w:p>
        </w:tc>
        <w:tc>
          <w:tcPr>
            <w:tcW w:w="1545" w:type="dxa"/>
            <w:vAlign w:val="center"/>
          </w:tcPr>
          <w:p w14:paraId="677CBA11">
            <w:pPr>
              <w:jc w:val="center"/>
              <w:rPr>
                <w:rFonts w:hint="default" w:ascii="Times New Roman" w:hAnsi="Times New Roman" w:cs="Times New Roman"/>
                <w:color w:val="000000"/>
              </w:rPr>
            </w:pPr>
            <w:r>
              <w:rPr>
                <w:rFonts w:hint="default" w:ascii="Times New Roman" w:hAnsi="Times New Roman" w:cs="Times New Roman"/>
                <w:color w:val="000000"/>
              </w:rPr>
              <w:t>商务技术</w:t>
            </w:r>
          </w:p>
          <w:p w14:paraId="104105D7">
            <w:pPr>
              <w:jc w:val="center"/>
              <w:rPr>
                <w:rFonts w:hint="default" w:ascii="Times New Roman" w:hAnsi="Times New Roman" w:cs="Times New Roman"/>
                <w:color w:val="000000"/>
              </w:rPr>
            </w:pPr>
            <w:r>
              <w:rPr>
                <w:rFonts w:hint="default" w:ascii="Times New Roman" w:hAnsi="Times New Roman" w:cs="Times New Roman"/>
                <w:color w:val="000000"/>
              </w:rPr>
              <w:t>得分均值</w:t>
            </w:r>
          </w:p>
        </w:tc>
        <w:tc>
          <w:tcPr>
            <w:tcW w:w="1620" w:type="dxa"/>
            <w:vAlign w:val="center"/>
          </w:tcPr>
          <w:p w14:paraId="1FF3B6F9">
            <w:pPr>
              <w:jc w:val="center"/>
              <w:rPr>
                <w:rFonts w:hint="default" w:ascii="Times New Roman" w:hAnsi="Times New Roman" w:cs="Times New Roman"/>
                <w:color w:val="000000"/>
              </w:rPr>
            </w:pPr>
            <w:r>
              <w:rPr>
                <w:rFonts w:hint="default" w:ascii="Times New Roman" w:hAnsi="Times New Roman" w:cs="Times New Roman"/>
                <w:color w:val="000000"/>
              </w:rPr>
              <w:t>价格得分</w:t>
            </w:r>
          </w:p>
        </w:tc>
        <w:tc>
          <w:tcPr>
            <w:tcW w:w="1590" w:type="dxa"/>
            <w:vAlign w:val="center"/>
          </w:tcPr>
          <w:p w14:paraId="786258BF">
            <w:pPr>
              <w:jc w:val="center"/>
              <w:rPr>
                <w:rFonts w:hint="default" w:ascii="Times New Roman" w:hAnsi="Times New Roman" w:cs="Times New Roman"/>
                <w:color w:val="000000"/>
              </w:rPr>
            </w:pPr>
            <w:r>
              <w:rPr>
                <w:rFonts w:hint="default" w:ascii="Times New Roman" w:hAnsi="Times New Roman" w:cs="Times New Roman"/>
                <w:color w:val="000000"/>
              </w:rPr>
              <w:t>综合得分</w:t>
            </w:r>
          </w:p>
        </w:tc>
        <w:tc>
          <w:tcPr>
            <w:tcW w:w="1466" w:type="dxa"/>
            <w:vAlign w:val="center"/>
          </w:tcPr>
          <w:p w14:paraId="4638315D">
            <w:pPr>
              <w:jc w:val="center"/>
              <w:rPr>
                <w:rFonts w:hint="default" w:ascii="Times New Roman" w:hAnsi="Times New Roman" w:cs="Times New Roman"/>
                <w:color w:val="000000"/>
              </w:rPr>
            </w:pPr>
            <w:r>
              <w:rPr>
                <w:rFonts w:hint="default" w:ascii="Times New Roman" w:hAnsi="Times New Roman" w:cs="Times New Roman"/>
                <w:color w:val="000000"/>
              </w:rPr>
              <w:t>排名</w:t>
            </w:r>
          </w:p>
        </w:tc>
      </w:tr>
      <w:tr w14:paraId="6C7B6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5" w:hRule="atLeast"/>
        </w:trPr>
        <w:tc>
          <w:tcPr>
            <w:tcW w:w="2865" w:type="dxa"/>
            <w:vAlign w:val="center"/>
          </w:tcPr>
          <w:p w14:paraId="00F44C83">
            <w:pPr>
              <w:ind w:firstLine="321" w:firstLineChars="100"/>
              <w:jc w:val="center"/>
              <w:rPr>
                <w:rFonts w:hint="default" w:ascii="Times New Roman" w:hAnsi="Times New Roman" w:eastAsia="仿宋" w:cs="Times New Roman"/>
                <w:b/>
                <w:bCs/>
                <w:sz w:val="32"/>
                <w:szCs w:val="32"/>
              </w:rPr>
            </w:pPr>
          </w:p>
        </w:tc>
        <w:tc>
          <w:tcPr>
            <w:tcW w:w="1545" w:type="dxa"/>
            <w:vAlign w:val="center"/>
          </w:tcPr>
          <w:p w14:paraId="396B6C24">
            <w:pPr>
              <w:ind w:firstLine="321" w:firstLineChars="100"/>
              <w:jc w:val="center"/>
              <w:rPr>
                <w:rFonts w:hint="default" w:ascii="Times New Roman" w:hAnsi="Times New Roman" w:eastAsia="仿宋" w:cs="Times New Roman"/>
                <w:b/>
                <w:bCs/>
                <w:sz w:val="32"/>
                <w:szCs w:val="32"/>
              </w:rPr>
            </w:pPr>
          </w:p>
        </w:tc>
        <w:tc>
          <w:tcPr>
            <w:tcW w:w="1620" w:type="dxa"/>
            <w:vAlign w:val="center"/>
          </w:tcPr>
          <w:p w14:paraId="077C9CB7">
            <w:pPr>
              <w:ind w:firstLine="321" w:firstLineChars="100"/>
              <w:jc w:val="center"/>
              <w:rPr>
                <w:rFonts w:hint="default" w:ascii="Times New Roman" w:hAnsi="Times New Roman" w:eastAsia="仿宋" w:cs="Times New Roman"/>
                <w:b/>
                <w:bCs/>
                <w:sz w:val="32"/>
                <w:szCs w:val="32"/>
              </w:rPr>
            </w:pPr>
          </w:p>
        </w:tc>
        <w:tc>
          <w:tcPr>
            <w:tcW w:w="1590" w:type="dxa"/>
            <w:vAlign w:val="center"/>
          </w:tcPr>
          <w:p w14:paraId="001432B0">
            <w:pPr>
              <w:ind w:firstLine="321" w:firstLineChars="100"/>
              <w:jc w:val="center"/>
              <w:rPr>
                <w:rFonts w:hint="default" w:ascii="Times New Roman" w:hAnsi="Times New Roman" w:eastAsia="仿宋" w:cs="Times New Roman"/>
                <w:b/>
                <w:bCs/>
                <w:sz w:val="32"/>
                <w:szCs w:val="32"/>
              </w:rPr>
            </w:pPr>
          </w:p>
        </w:tc>
        <w:tc>
          <w:tcPr>
            <w:tcW w:w="1466" w:type="dxa"/>
            <w:vAlign w:val="center"/>
          </w:tcPr>
          <w:p w14:paraId="4FBBCBBE">
            <w:pPr>
              <w:ind w:firstLine="321" w:firstLineChars="100"/>
              <w:jc w:val="center"/>
              <w:rPr>
                <w:rFonts w:hint="default" w:ascii="Times New Roman" w:hAnsi="Times New Roman" w:eastAsia="仿宋" w:cs="Times New Roman"/>
                <w:b/>
                <w:bCs/>
                <w:sz w:val="32"/>
                <w:szCs w:val="32"/>
              </w:rPr>
            </w:pPr>
          </w:p>
        </w:tc>
      </w:tr>
      <w:tr w14:paraId="120CB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5" w:hRule="atLeast"/>
        </w:trPr>
        <w:tc>
          <w:tcPr>
            <w:tcW w:w="2865" w:type="dxa"/>
            <w:vAlign w:val="center"/>
          </w:tcPr>
          <w:p w14:paraId="76AA8D04">
            <w:pPr>
              <w:ind w:firstLine="321" w:firstLineChars="100"/>
              <w:jc w:val="center"/>
              <w:rPr>
                <w:rFonts w:hint="default" w:ascii="Times New Roman" w:hAnsi="Times New Roman" w:eastAsia="仿宋" w:cs="Times New Roman"/>
                <w:b/>
                <w:bCs/>
                <w:sz w:val="32"/>
                <w:szCs w:val="32"/>
              </w:rPr>
            </w:pPr>
          </w:p>
        </w:tc>
        <w:tc>
          <w:tcPr>
            <w:tcW w:w="1545" w:type="dxa"/>
            <w:vAlign w:val="center"/>
          </w:tcPr>
          <w:p w14:paraId="17D3BC06">
            <w:pPr>
              <w:ind w:firstLine="321" w:firstLineChars="100"/>
              <w:jc w:val="center"/>
              <w:rPr>
                <w:rFonts w:hint="default" w:ascii="Times New Roman" w:hAnsi="Times New Roman" w:eastAsia="仿宋" w:cs="Times New Roman"/>
                <w:b/>
                <w:bCs/>
                <w:sz w:val="32"/>
                <w:szCs w:val="32"/>
              </w:rPr>
            </w:pPr>
          </w:p>
        </w:tc>
        <w:tc>
          <w:tcPr>
            <w:tcW w:w="1620" w:type="dxa"/>
            <w:vAlign w:val="center"/>
          </w:tcPr>
          <w:p w14:paraId="0003BCEE">
            <w:pPr>
              <w:ind w:firstLine="321" w:firstLineChars="100"/>
              <w:jc w:val="center"/>
              <w:rPr>
                <w:rFonts w:hint="default" w:ascii="Times New Roman" w:hAnsi="Times New Roman" w:eastAsia="仿宋" w:cs="Times New Roman"/>
                <w:b/>
                <w:bCs/>
                <w:sz w:val="32"/>
                <w:szCs w:val="32"/>
              </w:rPr>
            </w:pPr>
          </w:p>
        </w:tc>
        <w:tc>
          <w:tcPr>
            <w:tcW w:w="1590" w:type="dxa"/>
            <w:vAlign w:val="center"/>
          </w:tcPr>
          <w:p w14:paraId="118C6022">
            <w:pPr>
              <w:ind w:firstLine="321" w:firstLineChars="100"/>
              <w:jc w:val="center"/>
              <w:rPr>
                <w:rFonts w:hint="default" w:ascii="Times New Roman" w:hAnsi="Times New Roman" w:eastAsia="仿宋" w:cs="Times New Roman"/>
                <w:b/>
                <w:bCs/>
                <w:sz w:val="32"/>
                <w:szCs w:val="32"/>
              </w:rPr>
            </w:pPr>
          </w:p>
        </w:tc>
        <w:tc>
          <w:tcPr>
            <w:tcW w:w="1466" w:type="dxa"/>
            <w:vAlign w:val="center"/>
          </w:tcPr>
          <w:p w14:paraId="3AE964B2">
            <w:pPr>
              <w:ind w:firstLine="321" w:firstLineChars="100"/>
              <w:jc w:val="center"/>
              <w:rPr>
                <w:rFonts w:hint="default" w:ascii="Times New Roman" w:hAnsi="Times New Roman" w:eastAsia="仿宋" w:cs="Times New Roman"/>
                <w:b/>
                <w:bCs/>
                <w:sz w:val="32"/>
                <w:szCs w:val="32"/>
              </w:rPr>
            </w:pPr>
          </w:p>
        </w:tc>
      </w:tr>
      <w:tr w14:paraId="64EE5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5" w:hRule="atLeast"/>
        </w:trPr>
        <w:tc>
          <w:tcPr>
            <w:tcW w:w="2865" w:type="dxa"/>
            <w:vAlign w:val="center"/>
          </w:tcPr>
          <w:p w14:paraId="6C27F0D8">
            <w:pPr>
              <w:ind w:firstLine="321" w:firstLineChars="100"/>
              <w:jc w:val="center"/>
              <w:rPr>
                <w:rFonts w:hint="default" w:ascii="Times New Roman" w:hAnsi="Times New Roman" w:eastAsia="仿宋" w:cs="Times New Roman"/>
                <w:b/>
                <w:bCs/>
                <w:sz w:val="32"/>
                <w:szCs w:val="32"/>
              </w:rPr>
            </w:pPr>
          </w:p>
        </w:tc>
        <w:tc>
          <w:tcPr>
            <w:tcW w:w="1545" w:type="dxa"/>
            <w:vAlign w:val="center"/>
          </w:tcPr>
          <w:p w14:paraId="3A510378">
            <w:pPr>
              <w:ind w:firstLine="321" w:firstLineChars="100"/>
              <w:jc w:val="center"/>
              <w:rPr>
                <w:rFonts w:hint="default" w:ascii="Times New Roman" w:hAnsi="Times New Roman" w:eastAsia="仿宋" w:cs="Times New Roman"/>
                <w:b/>
                <w:bCs/>
                <w:sz w:val="32"/>
                <w:szCs w:val="32"/>
              </w:rPr>
            </w:pPr>
          </w:p>
        </w:tc>
        <w:tc>
          <w:tcPr>
            <w:tcW w:w="1620" w:type="dxa"/>
            <w:vAlign w:val="center"/>
          </w:tcPr>
          <w:p w14:paraId="4498941D">
            <w:pPr>
              <w:ind w:firstLine="321" w:firstLineChars="100"/>
              <w:jc w:val="center"/>
              <w:rPr>
                <w:rFonts w:hint="default" w:ascii="Times New Roman" w:hAnsi="Times New Roman" w:eastAsia="仿宋" w:cs="Times New Roman"/>
                <w:b/>
                <w:bCs/>
                <w:sz w:val="32"/>
                <w:szCs w:val="32"/>
              </w:rPr>
            </w:pPr>
          </w:p>
        </w:tc>
        <w:tc>
          <w:tcPr>
            <w:tcW w:w="1590" w:type="dxa"/>
            <w:vAlign w:val="center"/>
          </w:tcPr>
          <w:p w14:paraId="189D6E99">
            <w:pPr>
              <w:ind w:firstLine="321" w:firstLineChars="100"/>
              <w:jc w:val="center"/>
              <w:rPr>
                <w:rFonts w:hint="default" w:ascii="Times New Roman" w:hAnsi="Times New Roman" w:eastAsia="仿宋" w:cs="Times New Roman"/>
                <w:b/>
                <w:bCs/>
                <w:sz w:val="32"/>
                <w:szCs w:val="32"/>
              </w:rPr>
            </w:pPr>
          </w:p>
        </w:tc>
        <w:tc>
          <w:tcPr>
            <w:tcW w:w="1466" w:type="dxa"/>
            <w:vAlign w:val="center"/>
          </w:tcPr>
          <w:p w14:paraId="4A59C107">
            <w:pPr>
              <w:ind w:firstLine="321" w:firstLineChars="100"/>
              <w:jc w:val="center"/>
              <w:rPr>
                <w:rFonts w:hint="default" w:ascii="Times New Roman" w:hAnsi="Times New Roman" w:eastAsia="仿宋" w:cs="Times New Roman"/>
                <w:b/>
                <w:bCs/>
                <w:sz w:val="32"/>
                <w:szCs w:val="32"/>
              </w:rPr>
            </w:pPr>
          </w:p>
        </w:tc>
      </w:tr>
    </w:tbl>
    <w:p w14:paraId="6C1ADE21">
      <w:pPr>
        <w:numPr>
          <w:ilvl w:val="0"/>
          <w:numId w:val="1"/>
        </w:numPr>
        <w:spacing w:line="360" w:lineRule="auto"/>
        <w:ind w:firstLine="643" w:firstLineChars="200"/>
        <w:outlineLvl w:val="2"/>
        <w:rPr>
          <w:rFonts w:hint="default" w:ascii="Times New Roman" w:hAnsi="Times New Roman" w:eastAsia="楷体" w:cs="Times New Roman"/>
          <w:b/>
          <w:bCs/>
          <w:sz w:val="32"/>
          <w:szCs w:val="32"/>
        </w:rPr>
      </w:pPr>
      <w:r>
        <w:rPr>
          <w:rFonts w:hint="default" w:ascii="Times New Roman" w:hAnsi="Times New Roman" w:eastAsia="楷体" w:cs="Times New Roman"/>
          <w:b/>
          <w:bCs/>
          <w:sz w:val="32"/>
          <w:szCs w:val="32"/>
        </w:rPr>
        <w:t>确定中标候选供应商</w:t>
      </w:r>
    </w:p>
    <w:p w14:paraId="43704042">
      <w:pPr>
        <w:spacing w:line="360" w:lineRule="auto"/>
        <w:ind w:firstLine="640" w:firstLineChars="200"/>
        <w:outlineLvl w:val="2"/>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供应商综合得分相同的，在满足采购人所有特定要求的基础上，推荐能提供更优的承保方案的供应商为候选供应商。</w:t>
      </w:r>
    </w:p>
    <w:p w14:paraId="1ED29F81">
      <w:pPr>
        <w:spacing w:line="360" w:lineRule="auto"/>
        <w:ind w:firstLine="640" w:firstLineChars="200"/>
        <w:outlineLvl w:val="2"/>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供应商综合得分不相同的，推荐综合得分最高的供应商为候选供应商。</w:t>
      </w:r>
    </w:p>
    <w:p w14:paraId="2366F268">
      <w:pPr>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四、评审结果公示</w:t>
      </w:r>
    </w:p>
    <w:p w14:paraId="5A3BBB8C">
      <w:pPr>
        <w:spacing w:line="360" w:lineRule="auto"/>
        <w:ind w:firstLine="640" w:firstLineChars="200"/>
        <w:outlineLvl w:val="2"/>
        <w:rPr>
          <w:rFonts w:hint="default" w:ascii="Times New Roman" w:hAnsi="Times New Roman" w:eastAsia="仿宋" w:cs="Times New Roman"/>
          <w:sz w:val="32"/>
          <w:szCs w:val="32"/>
        </w:rPr>
      </w:pPr>
      <w:r>
        <w:rPr>
          <w:rFonts w:hint="default" w:ascii="Times New Roman" w:hAnsi="Times New Roman" w:eastAsia="仿宋" w:cs="Times New Roman"/>
          <w:sz w:val="32"/>
          <w:szCs w:val="32"/>
        </w:rPr>
        <w:t>评审结果在江门市人民政府门户网站江门市农业农村局</w:t>
      </w:r>
      <w:r>
        <w:rPr>
          <w:rFonts w:hint="eastAsia" w:eastAsia="仿宋" w:cs="Times New Roman"/>
          <w:sz w:val="32"/>
          <w:szCs w:val="32"/>
          <w:lang w:val="en-US" w:eastAsia="zh-CN"/>
        </w:rPr>
        <w:t>信息频道</w:t>
      </w:r>
      <w:r>
        <w:rPr>
          <w:rFonts w:hint="default" w:ascii="Times New Roman" w:hAnsi="Times New Roman" w:eastAsia="仿宋" w:cs="Times New Roman"/>
          <w:sz w:val="32"/>
          <w:szCs w:val="32"/>
        </w:rPr>
        <w:t>公示5日。</w:t>
      </w:r>
    </w:p>
    <w:p w14:paraId="35A5BDF5">
      <w:pPr>
        <w:rPr>
          <w:rFonts w:hint="default" w:ascii="Times New Roman" w:hAnsi="Times New Roman" w:cs="Times New Roman"/>
        </w:rPr>
      </w:pPr>
    </w:p>
    <w:p w14:paraId="2170346A">
      <w:pPr>
        <w:tabs>
          <w:tab w:val="left" w:pos="1155"/>
        </w:tabs>
        <w:rPr>
          <w:rFonts w:hint="default" w:ascii="Times New Roman" w:hAnsi="Times New Roman" w:eastAsia="仿宋_GB2312" w:cs="Times New Roman"/>
          <w:sz w:val="32"/>
          <w:szCs w:val="32"/>
        </w:rPr>
      </w:pPr>
    </w:p>
    <w:p w14:paraId="51511BE1">
      <w:pPr>
        <w:spacing w:line="360" w:lineRule="auto"/>
        <w:jc w:val="right"/>
        <w:outlineLvl w:val="2"/>
        <w:rPr>
          <w:rFonts w:hint="default" w:ascii="Times New Roman" w:hAnsi="Times New Roman" w:eastAsia="仿宋" w:cs="Times New Roman"/>
          <w:sz w:val="32"/>
          <w:szCs w:val="32"/>
        </w:rPr>
      </w:pPr>
      <w:r>
        <w:rPr>
          <w:rFonts w:hint="default" w:ascii="Times New Roman" w:hAnsi="Times New Roman" w:eastAsia="仿宋" w:cs="Times New Roman"/>
          <w:sz w:val="32"/>
          <w:szCs w:val="32"/>
        </w:rPr>
        <w:t>江门市农业科技创新中心</w:t>
      </w:r>
    </w:p>
    <w:p w14:paraId="407F4B74">
      <w:pPr>
        <w:spacing w:line="360" w:lineRule="auto"/>
        <w:ind w:firstLine="640" w:firstLineChars="200"/>
        <w:jc w:val="left"/>
        <w:outlineLvl w:val="2"/>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xml:space="preserve">                            </w:t>
      </w:r>
      <w:r>
        <w:rPr>
          <w:rFonts w:hint="eastAsia" w:eastAsia="仿宋" w:cs="Times New Roman"/>
          <w:sz w:val="32"/>
          <w:szCs w:val="32"/>
          <w:lang w:val="en-US" w:eastAsia="zh-CN"/>
        </w:rPr>
        <w:t xml:space="preserve">       </w:t>
      </w:r>
      <w:r>
        <w:rPr>
          <w:rFonts w:hint="default" w:ascii="Times New Roman" w:hAnsi="Times New Roman" w:eastAsia="仿宋" w:cs="Times New Roman"/>
          <w:sz w:val="32"/>
          <w:szCs w:val="32"/>
        </w:rPr>
        <w:t>202</w:t>
      </w:r>
      <w:r>
        <w:rPr>
          <w:rFonts w:hint="default" w:ascii="Times New Roman" w:hAnsi="Times New Roman" w:eastAsia="仿宋" w:cs="Times New Roman"/>
          <w:sz w:val="32"/>
          <w:szCs w:val="32"/>
          <w:lang w:val="en-US" w:eastAsia="zh-CN"/>
        </w:rPr>
        <w:t>6</w:t>
      </w:r>
      <w:r>
        <w:rPr>
          <w:rFonts w:hint="default" w:ascii="Times New Roman" w:hAnsi="Times New Roman" w:eastAsia="仿宋" w:cs="Times New Roman"/>
          <w:sz w:val="32"/>
          <w:szCs w:val="32"/>
        </w:rPr>
        <w:t>年</w:t>
      </w:r>
      <w:r>
        <w:rPr>
          <w:rFonts w:hint="eastAsia" w:eastAsia="仿宋" w:cs="Times New Roman"/>
          <w:sz w:val="32"/>
          <w:szCs w:val="32"/>
          <w:lang w:val="en-US" w:eastAsia="zh-CN"/>
        </w:rPr>
        <w:t>8</w:t>
      </w:r>
      <w:r>
        <w:rPr>
          <w:rFonts w:hint="default" w:ascii="Times New Roman" w:hAnsi="Times New Roman" w:eastAsia="仿宋" w:cs="Times New Roman"/>
          <w:sz w:val="32"/>
          <w:szCs w:val="32"/>
        </w:rPr>
        <w:t>月</w:t>
      </w:r>
      <w:r>
        <w:rPr>
          <w:rFonts w:hint="eastAsia" w:eastAsia="仿宋" w:cs="Times New Roman"/>
          <w:sz w:val="32"/>
          <w:szCs w:val="32"/>
          <w:lang w:val="en-US" w:eastAsia="zh-CN"/>
        </w:rPr>
        <w:t>12</w:t>
      </w:r>
      <w:bookmarkStart w:id="0" w:name="_GoBack"/>
      <w:bookmarkEnd w:id="0"/>
      <w:r>
        <w:rPr>
          <w:rFonts w:hint="default" w:ascii="Times New Roman" w:hAnsi="Times New Roman" w:eastAsia="仿宋" w:cs="Times New Roman"/>
          <w:sz w:val="32"/>
          <w:szCs w:val="32"/>
        </w:rPr>
        <w:t>日</w:t>
      </w:r>
    </w:p>
    <w:sectPr>
      <w:headerReference r:id="rId3" w:type="default"/>
      <w:pgSz w:w="11906" w:h="16838"/>
      <w:pgMar w:top="1440" w:right="1417" w:bottom="1440" w:left="141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46293B">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C03D8B7"/>
    <w:multiLevelType w:val="singleLevel"/>
    <w:tmpl w:val="6C03D8B7"/>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documentProtection w:enforcement="0"/>
  <w:defaultTabStop w:val="420"/>
  <w:doNotHyphenateCaps/>
  <w:drawingGridVerticalSpacing w:val="156"/>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A5NzBhNzBkY2M4Y2ZkNDZkMjNiOWE5ODc5YWJiZTEifQ=="/>
  </w:docVars>
  <w:rsids>
    <w:rsidRoot w:val="7B904393"/>
    <w:rsid w:val="00060055"/>
    <w:rsid w:val="002D340A"/>
    <w:rsid w:val="003B5A4E"/>
    <w:rsid w:val="004D6899"/>
    <w:rsid w:val="00607A72"/>
    <w:rsid w:val="006D1E5D"/>
    <w:rsid w:val="008143D6"/>
    <w:rsid w:val="00BA4A86"/>
    <w:rsid w:val="00BD3600"/>
    <w:rsid w:val="00E4777D"/>
    <w:rsid w:val="00F21CE7"/>
    <w:rsid w:val="00F311B4"/>
    <w:rsid w:val="014A15AA"/>
    <w:rsid w:val="01956027"/>
    <w:rsid w:val="01A97D41"/>
    <w:rsid w:val="02C6153D"/>
    <w:rsid w:val="03221481"/>
    <w:rsid w:val="03D80B70"/>
    <w:rsid w:val="03FB660C"/>
    <w:rsid w:val="045C354F"/>
    <w:rsid w:val="04D07A99"/>
    <w:rsid w:val="053120B8"/>
    <w:rsid w:val="057D264B"/>
    <w:rsid w:val="06F9721C"/>
    <w:rsid w:val="070F61CC"/>
    <w:rsid w:val="08624EAC"/>
    <w:rsid w:val="08A447FD"/>
    <w:rsid w:val="08C2389F"/>
    <w:rsid w:val="09067F2D"/>
    <w:rsid w:val="09B01C47"/>
    <w:rsid w:val="0A2914F1"/>
    <w:rsid w:val="0A344626"/>
    <w:rsid w:val="0A857D22"/>
    <w:rsid w:val="0ACC0D02"/>
    <w:rsid w:val="0C5177C6"/>
    <w:rsid w:val="0C700313"/>
    <w:rsid w:val="0CC16150"/>
    <w:rsid w:val="0CDF2F6F"/>
    <w:rsid w:val="0CE118E4"/>
    <w:rsid w:val="0D86163D"/>
    <w:rsid w:val="0E0D7F6B"/>
    <w:rsid w:val="0E250E55"/>
    <w:rsid w:val="0F0200F5"/>
    <w:rsid w:val="0F1255A3"/>
    <w:rsid w:val="0FCF38D7"/>
    <w:rsid w:val="101D1E3B"/>
    <w:rsid w:val="113533B9"/>
    <w:rsid w:val="12F65714"/>
    <w:rsid w:val="13456EA6"/>
    <w:rsid w:val="14A62AA5"/>
    <w:rsid w:val="15EC276B"/>
    <w:rsid w:val="16F2564D"/>
    <w:rsid w:val="184E382C"/>
    <w:rsid w:val="18FB794D"/>
    <w:rsid w:val="19471AF7"/>
    <w:rsid w:val="1A206AE7"/>
    <w:rsid w:val="1B0B13D3"/>
    <w:rsid w:val="1B940D94"/>
    <w:rsid w:val="1BE72147"/>
    <w:rsid w:val="1CF00880"/>
    <w:rsid w:val="1D1C78C7"/>
    <w:rsid w:val="200902A2"/>
    <w:rsid w:val="206B7FE1"/>
    <w:rsid w:val="20B4528D"/>
    <w:rsid w:val="20B85736"/>
    <w:rsid w:val="21FE759C"/>
    <w:rsid w:val="2229270F"/>
    <w:rsid w:val="22714556"/>
    <w:rsid w:val="22E37D6E"/>
    <w:rsid w:val="24D657F6"/>
    <w:rsid w:val="26B635FE"/>
    <w:rsid w:val="27941A6E"/>
    <w:rsid w:val="27D44F0E"/>
    <w:rsid w:val="27FA56CD"/>
    <w:rsid w:val="287C2081"/>
    <w:rsid w:val="28FB5BF4"/>
    <w:rsid w:val="293F4487"/>
    <w:rsid w:val="294D73C7"/>
    <w:rsid w:val="2A19534F"/>
    <w:rsid w:val="2AC1385C"/>
    <w:rsid w:val="2B136AEA"/>
    <w:rsid w:val="2B48462C"/>
    <w:rsid w:val="2C610E53"/>
    <w:rsid w:val="2DCC7575"/>
    <w:rsid w:val="2DE42613"/>
    <w:rsid w:val="2F392EAF"/>
    <w:rsid w:val="313E763F"/>
    <w:rsid w:val="3172765E"/>
    <w:rsid w:val="33F04DEB"/>
    <w:rsid w:val="340239AB"/>
    <w:rsid w:val="34606612"/>
    <w:rsid w:val="36C07924"/>
    <w:rsid w:val="37A74959"/>
    <w:rsid w:val="38705E92"/>
    <w:rsid w:val="393D49F6"/>
    <w:rsid w:val="397419D5"/>
    <w:rsid w:val="39794538"/>
    <w:rsid w:val="399A1E48"/>
    <w:rsid w:val="3AD1189A"/>
    <w:rsid w:val="3B4C0179"/>
    <w:rsid w:val="3B726BC5"/>
    <w:rsid w:val="3C0C2E19"/>
    <w:rsid w:val="3CD74797"/>
    <w:rsid w:val="3DFC22C2"/>
    <w:rsid w:val="3EEC234B"/>
    <w:rsid w:val="412C1E99"/>
    <w:rsid w:val="41B22A47"/>
    <w:rsid w:val="41CC4B69"/>
    <w:rsid w:val="4234679B"/>
    <w:rsid w:val="437457EE"/>
    <w:rsid w:val="439E2535"/>
    <w:rsid w:val="4418604C"/>
    <w:rsid w:val="46767799"/>
    <w:rsid w:val="46C92000"/>
    <w:rsid w:val="46CC47AD"/>
    <w:rsid w:val="46E91FE6"/>
    <w:rsid w:val="47E86474"/>
    <w:rsid w:val="48233009"/>
    <w:rsid w:val="4A731145"/>
    <w:rsid w:val="4B7778D4"/>
    <w:rsid w:val="4C365A00"/>
    <w:rsid w:val="4CB848EB"/>
    <w:rsid w:val="4E8C00C6"/>
    <w:rsid w:val="4EAF1A9A"/>
    <w:rsid w:val="4EFE032C"/>
    <w:rsid w:val="4FAC52FD"/>
    <w:rsid w:val="4FF80155"/>
    <w:rsid w:val="51BD63A4"/>
    <w:rsid w:val="51BF0246"/>
    <w:rsid w:val="52134CDF"/>
    <w:rsid w:val="530B3464"/>
    <w:rsid w:val="541B7C39"/>
    <w:rsid w:val="54421C08"/>
    <w:rsid w:val="54FA755E"/>
    <w:rsid w:val="56F43135"/>
    <w:rsid w:val="572653E5"/>
    <w:rsid w:val="57B41ECF"/>
    <w:rsid w:val="57D00194"/>
    <w:rsid w:val="58150BC0"/>
    <w:rsid w:val="581667FF"/>
    <w:rsid w:val="583A0B86"/>
    <w:rsid w:val="58664A0B"/>
    <w:rsid w:val="595B3C5E"/>
    <w:rsid w:val="5A424BC6"/>
    <w:rsid w:val="5A717049"/>
    <w:rsid w:val="5AAD1584"/>
    <w:rsid w:val="5ABD553F"/>
    <w:rsid w:val="5B9404C9"/>
    <w:rsid w:val="5C243387"/>
    <w:rsid w:val="5E2535D8"/>
    <w:rsid w:val="5EBD08E6"/>
    <w:rsid w:val="5ECF26F0"/>
    <w:rsid w:val="5EDD5CB5"/>
    <w:rsid w:val="5F337F89"/>
    <w:rsid w:val="5F4B136B"/>
    <w:rsid w:val="5F4E4E5A"/>
    <w:rsid w:val="5FCD135E"/>
    <w:rsid w:val="60636404"/>
    <w:rsid w:val="63424833"/>
    <w:rsid w:val="636429FB"/>
    <w:rsid w:val="64633CEC"/>
    <w:rsid w:val="64990EAF"/>
    <w:rsid w:val="64DF052F"/>
    <w:rsid w:val="654F3671"/>
    <w:rsid w:val="666D606B"/>
    <w:rsid w:val="688D4045"/>
    <w:rsid w:val="694D4C3D"/>
    <w:rsid w:val="6A427BAA"/>
    <w:rsid w:val="6AB75B07"/>
    <w:rsid w:val="6AF177E7"/>
    <w:rsid w:val="6B9145AA"/>
    <w:rsid w:val="6C7270AD"/>
    <w:rsid w:val="6D5F15C1"/>
    <w:rsid w:val="6E581500"/>
    <w:rsid w:val="6F836B40"/>
    <w:rsid w:val="6F927492"/>
    <w:rsid w:val="7060279C"/>
    <w:rsid w:val="707B1384"/>
    <w:rsid w:val="71567ACA"/>
    <w:rsid w:val="72261430"/>
    <w:rsid w:val="72AB75C7"/>
    <w:rsid w:val="7479637A"/>
    <w:rsid w:val="765D1C43"/>
    <w:rsid w:val="784A468E"/>
    <w:rsid w:val="786B31B2"/>
    <w:rsid w:val="7B450F0D"/>
    <w:rsid w:val="7B904393"/>
    <w:rsid w:val="7BD876D3"/>
    <w:rsid w:val="7C6D17F8"/>
    <w:rsid w:val="7C961A20"/>
    <w:rsid w:val="7CCF434D"/>
    <w:rsid w:val="7DFA7D8C"/>
    <w:rsid w:val="7EFB2456"/>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1"/>
    <w:autoRedefine/>
    <w:qFormat/>
    <w:uiPriority w:val="99"/>
    <w:pPr>
      <w:spacing w:line="480" w:lineRule="atLeast"/>
    </w:pPr>
    <w:rPr>
      <w:rFonts w:ascii="楷体_GB2312" w:eastAsia="楷体_GB2312" w:cs="楷体_GB2312"/>
      <w:b/>
      <w:bCs/>
      <w:sz w:val="30"/>
      <w:szCs w:val="30"/>
    </w:rPr>
  </w:style>
  <w:style w:type="paragraph" w:styleId="3">
    <w:name w:val="Body Text Indent"/>
    <w:basedOn w:val="1"/>
    <w:link w:val="12"/>
    <w:autoRedefine/>
    <w:qFormat/>
    <w:uiPriority w:val="99"/>
    <w:pPr>
      <w:autoSpaceDE w:val="0"/>
      <w:autoSpaceDN w:val="0"/>
      <w:adjustRightInd w:val="0"/>
      <w:spacing w:line="480" w:lineRule="exact"/>
      <w:ind w:left="850" w:hanging="249"/>
      <w:textAlignment w:val="baseline"/>
    </w:pPr>
    <w:rPr>
      <w:rFonts w:ascii="仿宋_GB2312" w:eastAsia="仿宋_GB2312" w:cs="仿宋_GB2312"/>
      <w:kern w:val="0"/>
      <w:sz w:val="28"/>
      <w:szCs w:val="28"/>
    </w:rPr>
  </w:style>
  <w:style w:type="paragraph" w:styleId="4">
    <w:name w:val="footer"/>
    <w:basedOn w:val="1"/>
    <w:link w:val="15"/>
    <w:autoRedefine/>
    <w:qFormat/>
    <w:uiPriority w:val="99"/>
    <w:pPr>
      <w:tabs>
        <w:tab w:val="center" w:pos="4153"/>
        <w:tab w:val="right" w:pos="8306"/>
      </w:tabs>
      <w:snapToGrid w:val="0"/>
      <w:jc w:val="left"/>
    </w:pPr>
    <w:rPr>
      <w:sz w:val="18"/>
      <w:szCs w:val="18"/>
    </w:rPr>
  </w:style>
  <w:style w:type="paragraph" w:styleId="5">
    <w:name w:val="header"/>
    <w:basedOn w:val="1"/>
    <w:link w:val="13"/>
    <w:autoRedefine/>
    <w:semiHidden/>
    <w:qFormat/>
    <w:uiPriority w:val="99"/>
    <w:pPr>
      <w:pBdr>
        <w:bottom w:val="single" w:color="auto" w:sz="6" w:space="1"/>
      </w:pBdr>
      <w:tabs>
        <w:tab w:val="center" w:pos="4153"/>
        <w:tab w:val="right" w:pos="8306"/>
      </w:tabs>
      <w:snapToGrid w:val="0"/>
      <w:jc w:val="center"/>
    </w:pPr>
    <w:rPr>
      <w:kern w:val="0"/>
      <w:sz w:val="18"/>
      <w:szCs w:val="18"/>
    </w:rPr>
  </w:style>
  <w:style w:type="paragraph" w:styleId="6">
    <w:name w:val="Normal (Web)"/>
    <w:basedOn w:val="1"/>
    <w:autoRedefine/>
    <w:qFormat/>
    <w:uiPriority w:val="99"/>
    <w:pPr>
      <w:spacing w:beforeAutospacing="1" w:afterAutospacing="1"/>
      <w:jc w:val="left"/>
    </w:pPr>
    <w:rPr>
      <w:kern w:val="0"/>
      <w:sz w:val="24"/>
      <w:szCs w:val="24"/>
    </w:rPr>
  </w:style>
  <w:style w:type="paragraph" w:styleId="7">
    <w:name w:val="Body Text First Indent 2"/>
    <w:basedOn w:val="3"/>
    <w:link w:val="14"/>
    <w:autoRedefine/>
    <w:qFormat/>
    <w:uiPriority w:val="99"/>
    <w:pPr>
      <w:ind w:firstLine="420" w:firstLineChars="200"/>
    </w:pPr>
  </w:style>
  <w:style w:type="character" w:styleId="10">
    <w:name w:val="Emphasis"/>
    <w:basedOn w:val="9"/>
    <w:autoRedefine/>
    <w:qFormat/>
    <w:locked/>
    <w:uiPriority w:val="0"/>
    <w:rPr>
      <w:i/>
    </w:rPr>
  </w:style>
  <w:style w:type="character" w:customStyle="1" w:styleId="11">
    <w:name w:val="正文文本 字符"/>
    <w:basedOn w:val="9"/>
    <w:link w:val="2"/>
    <w:autoRedefine/>
    <w:semiHidden/>
    <w:qFormat/>
    <w:uiPriority w:val="99"/>
    <w:rPr>
      <w:szCs w:val="21"/>
    </w:rPr>
  </w:style>
  <w:style w:type="character" w:customStyle="1" w:styleId="12">
    <w:name w:val="正文文本缩进 字符"/>
    <w:basedOn w:val="9"/>
    <w:link w:val="3"/>
    <w:autoRedefine/>
    <w:semiHidden/>
    <w:qFormat/>
    <w:uiPriority w:val="99"/>
    <w:rPr>
      <w:szCs w:val="21"/>
    </w:rPr>
  </w:style>
  <w:style w:type="character" w:customStyle="1" w:styleId="13">
    <w:name w:val="页眉 字符"/>
    <w:basedOn w:val="9"/>
    <w:link w:val="5"/>
    <w:autoRedefine/>
    <w:semiHidden/>
    <w:qFormat/>
    <w:uiPriority w:val="99"/>
    <w:rPr>
      <w:sz w:val="18"/>
      <w:szCs w:val="18"/>
    </w:rPr>
  </w:style>
  <w:style w:type="character" w:customStyle="1" w:styleId="14">
    <w:name w:val="正文文本首行缩进 2 字符"/>
    <w:basedOn w:val="12"/>
    <w:link w:val="7"/>
    <w:autoRedefine/>
    <w:semiHidden/>
    <w:qFormat/>
    <w:uiPriority w:val="99"/>
    <w:rPr>
      <w:szCs w:val="21"/>
    </w:rPr>
  </w:style>
  <w:style w:type="character" w:customStyle="1" w:styleId="15">
    <w:name w:val="页脚 字符"/>
    <w:basedOn w:val="9"/>
    <w:link w:val="4"/>
    <w:autoRedefine/>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CXZX</Company>
  <Pages>7</Pages>
  <Words>1963</Words>
  <Characters>2065</Characters>
  <Lines>23</Lines>
  <Paragraphs>6</Paragraphs>
  <TotalTime>34</TotalTime>
  <ScaleCrop>false</ScaleCrop>
  <LinksUpToDate>false</LinksUpToDate>
  <CharactersWithSpaces>2078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2021-03-08T02:31:00Z</dcterms:created>
  <dc:creator>Administrator</dc:creator>
  <cp:lastModifiedBy>源1420645436</cp:lastModifiedBy>
  <cp:lastPrinted>2024-04-24T08:46:00Z</cp:lastPrinted>
  <dcterms:modified xsi:type="dcterms:W3CDTF">2026-08-12T02:06:01Z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393D6C60624D432193CBC99E5C585A4C_13</vt:lpwstr>
  </property>
  <property fmtid="{D5CDD505-2E9C-101B-9397-08002B2CF9AE}" pid="4" name="KSOTemplateDocerSaveRecord">
    <vt:lpwstr>eyJoZGlkIjoiYzFhNGE2MDFlYTRiZmU5MGY2NjNhM2UyYjQxMzhjOWIiLCJ1c2VySWQiOiIyODI2Njk4OSJ9</vt:lpwstr>
  </property>
</Properties>
</file>