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1397B"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附件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1</w:t>
      </w:r>
    </w:p>
    <w:p w14:paraId="62333CD5">
      <w:pPr>
        <w:jc w:val="center"/>
        <w:rPr>
          <w:rFonts w:hint="eastAsia" w:asci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highlight w:val="none"/>
        </w:rPr>
        <w:t>资格性</w:t>
      </w:r>
      <w:r>
        <w:rPr>
          <w:rFonts w:hint="eastAsia" w:asci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审查</w:t>
      </w:r>
      <w:r>
        <w:rPr>
          <w:rFonts w:hint="eastAsia" w:ascii="仿宋_GB2312" w:eastAsia="仿宋_GB2312" w:cs="仿宋_GB2312"/>
          <w:b/>
          <w:bCs/>
          <w:sz w:val="32"/>
          <w:szCs w:val="32"/>
          <w:highlight w:val="none"/>
        </w:rPr>
        <w:t>表</w:t>
      </w:r>
    </w:p>
    <w:tbl>
      <w:tblPr>
        <w:tblStyle w:val="5"/>
        <w:tblW w:w="4959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6702"/>
        <w:gridCol w:w="1628"/>
        <w:gridCol w:w="1628"/>
        <w:gridCol w:w="1628"/>
        <w:gridCol w:w="1629"/>
      </w:tblGrid>
      <w:tr w14:paraId="26C78E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300" w:type="pct"/>
            <w:noWrap w:val="0"/>
            <w:vAlign w:val="center"/>
          </w:tcPr>
          <w:p w14:paraId="0A420C4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序号</w:t>
            </w:r>
          </w:p>
        </w:tc>
        <w:tc>
          <w:tcPr>
            <w:tcW w:w="2383" w:type="pct"/>
            <w:tcBorders>
              <w:top w:val="single" w:color="auto" w:sz="12" w:space="0"/>
              <w:bottom w:val="single" w:color="auto" w:sz="6" w:space="0"/>
              <w:tl2br w:val="single" w:color="auto" w:sz="4" w:space="0"/>
            </w:tcBorders>
            <w:noWrap w:val="0"/>
            <w:vAlign w:val="center"/>
          </w:tcPr>
          <w:p w14:paraId="26078E28">
            <w:pPr>
              <w:rPr>
                <w:rFonts w:hint="eastAsia"/>
                <w:b/>
              </w:rPr>
            </w:pPr>
            <w:r>
              <w:rPr>
                <w:rFonts w:hint="eastAsia" w:ascii="仿宋_GB2312" w:eastAsia="仿宋_GB2312"/>
              </w:rPr>
              <w:t xml:space="preserve">               </w:t>
            </w:r>
            <w:r>
              <w:rPr>
                <w:rFonts w:hint="eastAsia" w:ascii="仿宋_GB2312" w:eastAsia="仿宋_GB2312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投标人</w:t>
            </w:r>
          </w:p>
          <w:p w14:paraId="298530CC">
            <w:pPr>
              <w:ind w:firstLine="482" w:firstLineChars="20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评审内容</w:t>
            </w:r>
          </w:p>
          <w:p w14:paraId="6287B4EF">
            <w:pPr>
              <w:rPr>
                <w:rFonts w:hint="eastAsia" w:ascii="仿宋_GB2312" w:eastAsia="仿宋_GB2312"/>
              </w:rPr>
            </w:pPr>
          </w:p>
        </w:tc>
        <w:tc>
          <w:tcPr>
            <w:tcW w:w="578" w:type="pct"/>
            <w:noWrap w:val="0"/>
            <w:vAlign w:val="center"/>
          </w:tcPr>
          <w:p w14:paraId="410F272C">
            <w:pPr>
              <w:rPr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578" w:type="pct"/>
            <w:noWrap w:val="0"/>
            <w:vAlign w:val="center"/>
          </w:tcPr>
          <w:p w14:paraId="5CDA0031">
            <w:pPr>
              <w:rPr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578" w:type="pct"/>
            <w:tcBorders>
              <w:right w:val="single" w:color="auto" w:sz="4" w:space="0"/>
            </w:tcBorders>
            <w:noWrap w:val="0"/>
            <w:vAlign w:val="center"/>
          </w:tcPr>
          <w:p w14:paraId="425B09F8">
            <w:pPr>
              <w:rPr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579" w:type="pct"/>
            <w:tcBorders>
              <w:left w:val="single" w:color="auto" w:sz="4" w:space="0"/>
            </w:tcBorders>
            <w:noWrap w:val="0"/>
            <w:vAlign w:val="center"/>
          </w:tcPr>
          <w:p w14:paraId="0296608F">
            <w:pPr>
              <w:rPr>
                <w:rFonts w:hint="eastAsia" w:ascii="仿宋_GB2312" w:eastAsia="仿宋_GB2312"/>
              </w:rPr>
            </w:pPr>
          </w:p>
        </w:tc>
      </w:tr>
      <w:tr w14:paraId="01A98C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300" w:type="pct"/>
            <w:noWrap w:val="0"/>
            <w:vAlign w:val="center"/>
          </w:tcPr>
          <w:p w14:paraId="53F9080A">
            <w:pPr>
              <w:pStyle w:val="4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(一)</w:t>
            </w:r>
          </w:p>
        </w:tc>
        <w:tc>
          <w:tcPr>
            <w:tcW w:w="2383" w:type="pct"/>
            <w:noWrap w:val="0"/>
            <w:vAlign w:val="center"/>
          </w:tcPr>
          <w:p w14:paraId="61129B86">
            <w:pPr>
              <w:pStyle w:val="4"/>
              <w:rPr>
                <w:rFonts w:hint="eastAsia" w:ascii="仿宋_GB2312" w:eastAsia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具备《中华人民共和国政府采购法》第二十二条规定的条件及《中华人民共和国政府采购法实施条例》第十七条的规定的条件</w:t>
            </w:r>
            <w:r>
              <w:rPr>
                <w:rFonts w:hint="eastAsia" w:ascii="仿宋_GB2312" w:eastAsia="仿宋_GB2312"/>
                <w:sz w:val="22"/>
                <w:szCs w:val="22"/>
                <w:lang w:eastAsia="zh-CN"/>
              </w:rPr>
              <w:t>。</w:t>
            </w:r>
          </w:p>
        </w:tc>
        <w:tc>
          <w:tcPr>
            <w:tcW w:w="578" w:type="pct"/>
            <w:noWrap w:val="0"/>
            <w:vAlign w:val="center"/>
          </w:tcPr>
          <w:p w14:paraId="5395797A">
            <w:pPr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578" w:type="pct"/>
            <w:noWrap w:val="0"/>
            <w:vAlign w:val="center"/>
          </w:tcPr>
          <w:p w14:paraId="1C966525">
            <w:pPr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578" w:type="pct"/>
            <w:tcBorders>
              <w:right w:val="single" w:color="auto" w:sz="4" w:space="0"/>
            </w:tcBorders>
            <w:noWrap w:val="0"/>
            <w:vAlign w:val="center"/>
          </w:tcPr>
          <w:p w14:paraId="4ABE60B0">
            <w:pPr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579" w:type="pct"/>
            <w:tcBorders>
              <w:left w:val="single" w:color="auto" w:sz="4" w:space="0"/>
            </w:tcBorders>
            <w:noWrap w:val="0"/>
            <w:vAlign w:val="center"/>
          </w:tcPr>
          <w:p w14:paraId="397DDEDD">
            <w:pPr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5D8377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300" w:type="pct"/>
            <w:noWrap w:val="0"/>
            <w:vAlign w:val="center"/>
          </w:tcPr>
          <w:p w14:paraId="5F05E256">
            <w:pPr>
              <w:pStyle w:val="4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(二)</w:t>
            </w:r>
          </w:p>
        </w:tc>
        <w:tc>
          <w:tcPr>
            <w:tcW w:w="2383" w:type="pct"/>
            <w:noWrap w:val="0"/>
            <w:vAlign w:val="center"/>
          </w:tcPr>
          <w:p w14:paraId="092D4646">
            <w:pPr>
              <w:pStyle w:val="4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imes New Roman" w:eastAsia="仿宋_GB2312" w:cs="Calibri"/>
                <w:kern w:val="2"/>
                <w:sz w:val="22"/>
                <w:szCs w:val="22"/>
                <w:lang w:val="en-US" w:eastAsia="zh-CN" w:bidi="ar"/>
              </w:rPr>
              <w:t>具有独立承担民事责任及完成本项目合同的能力</w:t>
            </w:r>
            <w:r>
              <w:rPr>
                <w:rFonts w:hint="eastAsia" w:ascii="仿宋_GB2312" w:eastAsia="仿宋_GB2312" w:cs="Calibri"/>
                <w:kern w:val="2"/>
                <w:sz w:val="22"/>
                <w:szCs w:val="22"/>
                <w:lang w:val="en-US" w:eastAsia="zh-CN" w:bidi="ar"/>
              </w:rPr>
              <w:t>。</w:t>
            </w:r>
          </w:p>
        </w:tc>
        <w:tc>
          <w:tcPr>
            <w:tcW w:w="578" w:type="pct"/>
            <w:noWrap w:val="0"/>
            <w:vAlign w:val="center"/>
          </w:tcPr>
          <w:p w14:paraId="7BF8253B">
            <w:pPr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578" w:type="pct"/>
            <w:noWrap w:val="0"/>
            <w:vAlign w:val="center"/>
          </w:tcPr>
          <w:p w14:paraId="5573F60B">
            <w:pPr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578" w:type="pct"/>
            <w:tcBorders>
              <w:right w:val="single" w:color="auto" w:sz="4" w:space="0"/>
            </w:tcBorders>
            <w:noWrap w:val="0"/>
            <w:vAlign w:val="center"/>
          </w:tcPr>
          <w:p w14:paraId="0C2FF232">
            <w:pPr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579" w:type="pct"/>
            <w:tcBorders>
              <w:left w:val="single" w:color="auto" w:sz="4" w:space="0"/>
            </w:tcBorders>
            <w:noWrap w:val="0"/>
            <w:vAlign w:val="center"/>
          </w:tcPr>
          <w:p w14:paraId="4933EDE3">
            <w:pPr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2EF779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300" w:type="pct"/>
            <w:noWrap w:val="0"/>
            <w:vAlign w:val="center"/>
          </w:tcPr>
          <w:p w14:paraId="23931457">
            <w:pPr>
              <w:pStyle w:val="4"/>
              <w:jc w:val="center"/>
              <w:rPr>
                <w:rFonts w:hint="default" w:ascii="仿宋_GB2312" w:hAnsi="Times New Roman" w:eastAsia="仿宋_GB2312" w:cs="Calibri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Calibri"/>
                <w:kern w:val="2"/>
                <w:sz w:val="22"/>
                <w:szCs w:val="22"/>
                <w:lang w:val="en-US" w:eastAsia="zh-CN" w:bidi="ar"/>
              </w:rPr>
              <w:t>（三）</w:t>
            </w:r>
          </w:p>
        </w:tc>
        <w:tc>
          <w:tcPr>
            <w:tcW w:w="2383" w:type="pct"/>
            <w:noWrap w:val="0"/>
            <w:vAlign w:val="center"/>
          </w:tcPr>
          <w:p w14:paraId="7A8377AC">
            <w:pPr>
              <w:pStyle w:val="4"/>
              <w:jc w:val="left"/>
              <w:rPr>
                <w:rFonts w:hint="eastAsia" w:ascii="仿宋_GB2312" w:hAnsi="Times New Roman" w:eastAsia="仿宋_GB2312" w:cs="Calibri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  <w:t>具备环境保护行政主管部门颁发的《危险废物经营许可证》，核准经营范围包含HW49类危险废弃物处置资质，且在有效期内。</w:t>
            </w:r>
          </w:p>
        </w:tc>
        <w:tc>
          <w:tcPr>
            <w:tcW w:w="578" w:type="pct"/>
            <w:noWrap w:val="0"/>
            <w:vAlign w:val="center"/>
          </w:tcPr>
          <w:p w14:paraId="7D29DE98">
            <w:pPr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578" w:type="pct"/>
            <w:noWrap w:val="0"/>
            <w:vAlign w:val="center"/>
          </w:tcPr>
          <w:p w14:paraId="0742DAB2">
            <w:pPr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578" w:type="pct"/>
            <w:tcBorders>
              <w:right w:val="single" w:color="auto" w:sz="4" w:space="0"/>
            </w:tcBorders>
            <w:noWrap w:val="0"/>
            <w:vAlign w:val="center"/>
          </w:tcPr>
          <w:p w14:paraId="79930FD8">
            <w:pPr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579" w:type="pct"/>
            <w:tcBorders>
              <w:left w:val="single" w:color="auto" w:sz="4" w:space="0"/>
            </w:tcBorders>
            <w:noWrap w:val="0"/>
            <w:vAlign w:val="center"/>
          </w:tcPr>
          <w:p w14:paraId="43279800">
            <w:pPr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362819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300" w:type="pct"/>
            <w:noWrap w:val="0"/>
            <w:vAlign w:val="center"/>
          </w:tcPr>
          <w:p w14:paraId="590063EC">
            <w:pPr>
              <w:pStyle w:val="4"/>
              <w:jc w:val="center"/>
              <w:rPr>
                <w:rFonts w:hint="eastAsia" w:ascii="仿宋_GB2312" w:hAnsi="Times New Roman" w:eastAsia="仿宋_GB2312" w:cs="Calibri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Calibri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仿宋_GB2312" w:eastAsia="仿宋_GB2312" w:cs="Calibri"/>
                <w:kern w:val="2"/>
                <w:sz w:val="22"/>
                <w:szCs w:val="22"/>
                <w:lang w:val="en-US" w:eastAsia="zh-CN" w:bidi="ar"/>
              </w:rPr>
              <w:t>四</w:t>
            </w:r>
            <w:r>
              <w:rPr>
                <w:rFonts w:hint="eastAsia" w:ascii="仿宋_GB2312" w:hAnsi="Times New Roman" w:eastAsia="仿宋_GB2312" w:cs="Calibri"/>
                <w:kern w:val="2"/>
                <w:sz w:val="22"/>
                <w:szCs w:val="22"/>
                <w:lang w:val="en-US" w:eastAsia="zh-CN" w:bidi="ar"/>
              </w:rPr>
              <w:t>）</w:t>
            </w:r>
          </w:p>
        </w:tc>
        <w:tc>
          <w:tcPr>
            <w:tcW w:w="2383" w:type="pct"/>
            <w:noWrap w:val="0"/>
            <w:vAlign w:val="center"/>
          </w:tcPr>
          <w:p w14:paraId="0EFD756A">
            <w:pPr>
              <w:pStyle w:val="4"/>
              <w:jc w:val="left"/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eastAsia="仿宋_GB2312"/>
                <w:kern w:val="2"/>
                <w:sz w:val="22"/>
                <w:szCs w:val="22"/>
                <w:lang w:val="en-US" w:eastAsia="zh-CN"/>
              </w:rPr>
              <w:t>具备《中华人民共和国道路运输经营许可证》（经营范围含道路危险货物运输）或与有《道路运输经营许可证》（经营范围含道路危险货物运输）的运输单位所签订的委托运输证明</w:t>
            </w:r>
          </w:p>
        </w:tc>
        <w:tc>
          <w:tcPr>
            <w:tcW w:w="578" w:type="pct"/>
            <w:noWrap w:val="0"/>
            <w:vAlign w:val="center"/>
          </w:tcPr>
          <w:p w14:paraId="406612C0">
            <w:pPr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578" w:type="pct"/>
            <w:noWrap w:val="0"/>
            <w:vAlign w:val="center"/>
          </w:tcPr>
          <w:p w14:paraId="15B2356C">
            <w:pPr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578" w:type="pct"/>
            <w:tcBorders>
              <w:right w:val="single" w:color="auto" w:sz="4" w:space="0"/>
            </w:tcBorders>
            <w:noWrap w:val="0"/>
            <w:vAlign w:val="center"/>
          </w:tcPr>
          <w:p w14:paraId="085871B1">
            <w:pPr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579" w:type="pct"/>
            <w:tcBorders>
              <w:left w:val="single" w:color="auto" w:sz="4" w:space="0"/>
            </w:tcBorders>
            <w:noWrap w:val="0"/>
            <w:vAlign w:val="center"/>
          </w:tcPr>
          <w:p w14:paraId="05C21041">
            <w:pPr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1F2F4E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300" w:type="pct"/>
            <w:noWrap w:val="0"/>
            <w:vAlign w:val="center"/>
          </w:tcPr>
          <w:p w14:paraId="1433F64B">
            <w:pPr>
              <w:pStyle w:val="4"/>
              <w:jc w:val="center"/>
              <w:rPr>
                <w:rFonts w:hint="eastAsia" w:ascii="仿宋_GB2312" w:hAnsi="Times New Roman" w:eastAsia="仿宋_GB2312" w:cs="Calibri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Calibri"/>
                <w:kern w:val="2"/>
                <w:sz w:val="22"/>
                <w:szCs w:val="22"/>
                <w:lang w:val="en-US" w:eastAsia="zh-CN" w:bidi="ar"/>
              </w:rPr>
              <w:t>(</w:t>
            </w:r>
            <w:r>
              <w:rPr>
                <w:rFonts w:hint="eastAsia" w:ascii="仿宋_GB2312" w:eastAsia="仿宋_GB2312" w:cs="Calibri"/>
                <w:kern w:val="2"/>
                <w:sz w:val="22"/>
                <w:szCs w:val="22"/>
                <w:lang w:val="en-US" w:eastAsia="zh-CN" w:bidi="ar"/>
              </w:rPr>
              <w:t>五</w:t>
            </w:r>
            <w:r>
              <w:rPr>
                <w:rFonts w:hint="eastAsia" w:ascii="仿宋_GB2312" w:hAnsi="Times New Roman" w:eastAsia="仿宋_GB2312" w:cs="Calibri"/>
                <w:kern w:val="2"/>
                <w:sz w:val="22"/>
                <w:szCs w:val="22"/>
                <w:lang w:val="en-US" w:eastAsia="zh-CN" w:bidi="ar"/>
              </w:rPr>
              <w:t>)</w:t>
            </w:r>
          </w:p>
        </w:tc>
        <w:tc>
          <w:tcPr>
            <w:tcW w:w="2383" w:type="pct"/>
            <w:noWrap w:val="0"/>
            <w:vAlign w:val="center"/>
          </w:tcPr>
          <w:p w14:paraId="010A4448">
            <w:pPr>
              <w:pStyle w:val="4"/>
              <w:jc w:val="left"/>
              <w:rPr>
                <w:rFonts w:hint="eastAsia" w:ascii="仿宋_GB2312" w:hAnsi="Times New Roman" w:eastAsia="仿宋_GB2312" w:cs="Calibri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Calibri"/>
                <w:kern w:val="2"/>
                <w:sz w:val="22"/>
                <w:szCs w:val="22"/>
                <w:lang w:val="en-US" w:eastAsia="zh-CN" w:bidi="ar"/>
              </w:rPr>
              <w:t>未被“信用中国”网站（www.creditchina.gov.cn）列入失信被执行人、重大税收违法案件当事人名单、政府采购严重失信行为记录名单。</w:t>
            </w:r>
          </w:p>
        </w:tc>
        <w:tc>
          <w:tcPr>
            <w:tcW w:w="578" w:type="pct"/>
            <w:noWrap w:val="0"/>
            <w:vAlign w:val="center"/>
          </w:tcPr>
          <w:p w14:paraId="3A4A4F6C">
            <w:pPr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578" w:type="pct"/>
            <w:noWrap w:val="0"/>
            <w:vAlign w:val="center"/>
          </w:tcPr>
          <w:p w14:paraId="49078E5C">
            <w:pPr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578" w:type="pct"/>
            <w:tcBorders>
              <w:right w:val="single" w:color="auto" w:sz="4" w:space="0"/>
            </w:tcBorders>
            <w:noWrap w:val="0"/>
            <w:vAlign w:val="center"/>
          </w:tcPr>
          <w:p w14:paraId="0B964D16">
            <w:pPr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579" w:type="pct"/>
            <w:tcBorders>
              <w:left w:val="single" w:color="auto" w:sz="4" w:space="0"/>
            </w:tcBorders>
            <w:noWrap w:val="0"/>
            <w:vAlign w:val="center"/>
          </w:tcPr>
          <w:p w14:paraId="60CAD543">
            <w:pPr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76AF8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683" w:type="pct"/>
            <w:gridSpan w:val="2"/>
            <w:noWrap w:val="0"/>
            <w:vAlign w:val="center"/>
          </w:tcPr>
          <w:p w14:paraId="59C12BA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是否通过</w:t>
            </w:r>
          </w:p>
        </w:tc>
        <w:tc>
          <w:tcPr>
            <w:tcW w:w="578" w:type="pct"/>
            <w:noWrap w:val="0"/>
            <w:vAlign w:val="center"/>
          </w:tcPr>
          <w:p w14:paraId="26BE9476">
            <w:pP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noWrap w:val="0"/>
            <w:vAlign w:val="center"/>
          </w:tcPr>
          <w:p w14:paraId="7E4AD20F">
            <w:pP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578" w:type="pct"/>
            <w:tcBorders>
              <w:right w:val="single" w:color="auto" w:sz="4" w:space="0"/>
            </w:tcBorders>
            <w:noWrap w:val="0"/>
            <w:vAlign w:val="center"/>
          </w:tcPr>
          <w:p w14:paraId="2291F9EE">
            <w:pPr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579" w:type="pct"/>
            <w:tcBorders>
              <w:left w:val="single" w:color="auto" w:sz="4" w:space="0"/>
            </w:tcBorders>
            <w:noWrap w:val="0"/>
            <w:vAlign w:val="center"/>
          </w:tcPr>
          <w:p w14:paraId="71DF6121">
            <w:pPr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</w:tbl>
    <w:p w14:paraId="1EAFA999">
      <w:pPr>
        <w:jc w:val="left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在表格中，单项通过标注为“√”，单项不通过标志为“×”。全部评审内容通过应在“是否通过”栏填“通过”；有一个不通过应在“是否通过”栏填“不通过”。</w:t>
      </w:r>
    </w:p>
    <w:p w14:paraId="0821AC75">
      <w:pPr>
        <w:ind w:firstLine="3855" w:firstLineChars="1600"/>
        <w:jc w:val="left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签名：                                       </w:t>
      </w:r>
      <w:r>
        <w:rPr>
          <w:rFonts w:hint="eastAsia" w:ascii="宋体" w:hAnsi="宋体" w:eastAsia="宋体" w:cs="宋体"/>
          <w:b/>
          <w:bCs/>
          <w:sz w:val="24"/>
        </w:rPr>
        <w:t>日期：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    </w:t>
      </w:r>
      <w:r>
        <w:rPr>
          <w:rFonts w:hint="eastAsia" w:ascii="宋体" w:hAnsi="宋体" w:eastAsia="宋体" w:cs="宋体"/>
          <w:b/>
          <w:bCs/>
          <w:sz w:val="24"/>
        </w:rPr>
        <w:t xml:space="preserve">                                                                         </w:t>
      </w:r>
    </w:p>
    <w:p w14:paraId="35067952">
      <w:pPr>
        <w:rPr>
          <w:rFonts w:hint="default" w:asci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ascii="仿宋_GB2312" w:hAnsi="Calibri" w:eastAsia="仿宋_GB2312" w:cs="仿宋_GB2312"/>
          <w:b/>
          <w:bCs/>
          <w:sz w:val="24"/>
          <w:szCs w:val="24"/>
        </w:rPr>
        <w:br w:type="page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附件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2</w:t>
      </w:r>
    </w:p>
    <w:p w14:paraId="5D75836D">
      <w:pPr>
        <w:jc w:val="center"/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综合评分表</w:t>
      </w:r>
    </w:p>
    <w:tbl>
      <w:tblPr>
        <w:tblStyle w:val="5"/>
        <w:tblW w:w="5081" w:type="pct"/>
        <w:tblInd w:w="-43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190"/>
        <w:gridCol w:w="6443"/>
        <w:gridCol w:w="1438"/>
        <w:gridCol w:w="1438"/>
        <w:gridCol w:w="1438"/>
        <w:gridCol w:w="1438"/>
      </w:tblGrid>
      <w:tr w14:paraId="3D1BA9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tblHeader/>
        </w:trPr>
        <w:tc>
          <w:tcPr>
            <w:tcW w:w="354" w:type="pct"/>
            <w:vAlign w:val="center"/>
          </w:tcPr>
          <w:p w14:paraId="6311327E">
            <w:pPr>
              <w:snapToGrid w:val="0"/>
              <w:spacing w:line="288" w:lineRule="auto"/>
              <w:jc w:val="center"/>
              <w:rPr>
                <w:rFonts w:hint="eastAsia" w:cs="宋体" w:asciiTheme="minorEastAsia" w:hAnsiTheme="minorEastAsia"/>
                <w:b/>
                <w:sz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b/>
                <w:sz w:val="24"/>
                <w:lang w:eastAsia="zh-CN"/>
              </w:rPr>
              <w:t>评审</w:t>
            </w:r>
          </w:p>
          <w:p w14:paraId="1A03C726">
            <w:pPr>
              <w:snapToGrid w:val="0"/>
              <w:spacing w:line="288" w:lineRule="auto"/>
              <w:jc w:val="center"/>
              <w:rPr>
                <w:rFonts w:hint="eastAsia" w:cs="宋体" w:asciiTheme="minorEastAsia" w:hAnsiTheme="minorEastAsia" w:eastAsiaTheme="minorEastAsia"/>
                <w:b/>
                <w:sz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b/>
                <w:sz w:val="24"/>
                <w:lang w:eastAsia="zh-CN"/>
              </w:rPr>
              <w:t>因素</w:t>
            </w:r>
          </w:p>
        </w:tc>
        <w:tc>
          <w:tcPr>
            <w:tcW w:w="2648" w:type="pct"/>
            <w:gridSpan w:val="2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12" w:space="0"/>
                  </wpsCustomData:diagonal>
                </wpsCustomData:diagonals>
              </mc:Choice>
            </mc:AlternateContent>
          </w:tcPr>
          <w:p w14:paraId="2B2F1EBC">
            <w:pPr>
              <w:snapToGrid w:val="0"/>
              <w:spacing w:line="240" w:lineRule="auto"/>
              <w:jc w:val="center"/>
              <w:rPr>
                <w:rFonts w:hint="eastAsia" w:cs="宋体" w:asciiTheme="minorEastAsia" w:hAnsiTheme="minorEastAsia"/>
                <w:b/>
                <w:sz w:val="24"/>
                <w:lang w:eastAsia="zh-CN"/>
              </w:rPr>
            </w:pPr>
          </w:p>
          <w:p w14:paraId="43AA39A1">
            <w:pPr>
              <w:snapToGrid w:val="0"/>
              <w:spacing w:line="240" w:lineRule="auto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cs="宋体" w:asciiTheme="minorEastAsia" w:hAnsiTheme="minorEastAsia" w:eastAsiaTheme="minorEastAsia"/>
                <w:b/>
                <w:sz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b/>
                <w:sz w:val="24"/>
                <w:lang w:eastAsia="zh-CN"/>
              </w:rPr>
              <w:t>评审内容</w:t>
            </w:r>
          </w:p>
          <w:p w14:paraId="5D9E4B57">
            <w:pPr>
              <w:snapToGrid w:val="0"/>
              <w:spacing w:line="288" w:lineRule="auto"/>
              <w:jc w:val="center"/>
              <w:rPr>
                <w:rFonts w:hint="eastAsia" w:cs="宋体" w:asciiTheme="minorEastAsia" w:hAnsiTheme="minorEastAsia" w:eastAsiaTheme="minorEastAsia"/>
                <w:b/>
                <w:sz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b/>
                <w:sz w:val="24"/>
                <w:lang w:val="en-US" w:eastAsia="zh-CN"/>
              </w:rPr>
              <w:t xml:space="preserve">       </w:t>
            </w:r>
            <w:r>
              <w:rPr>
                <w:rFonts w:hint="eastAsia" w:cs="宋体" w:asciiTheme="minorEastAsia" w:hAnsiTheme="minorEastAsia"/>
                <w:b/>
                <w:sz w:val="24"/>
                <w:lang w:eastAsia="zh-CN"/>
              </w:rPr>
              <w:t>投标人</w:t>
            </w:r>
          </w:p>
        </w:tc>
        <w:tc>
          <w:tcPr>
            <w:tcW w:w="499" w:type="pct"/>
            <w:vAlign w:val="center"/>
          </w:tcPr>
          <w:p w14:paraId="57982502">
            <w:pPr>
              <w:snapToGrid w:val="0"/>
              <w:spacing w:line="288" w:lineRule="auto"/>
              <w:jc w:val="both"/>
              <w:rPr>
                <w:rFonts w:hint="default" w:cs="宋体" w:asciiTheme="minorEastAsia" w:hAnsiTheme="minorEastAsia" w:eastAsiaTheme="minorEastAsia"/>
                <w:b/>
                <w:sz w:val="24"/>
                <w:lang w:val="en-US" w:eastAsia="zh-CN"/>
              </w:rPr>
            </w:pPr>
          </w:p>
        </w:tc>
        <w:tc>
          <w:tcPr>
            <w:tcW w:w="499" w:type="pct"/>
            <w:vAlign w:val="center"/>
          </w:tcPr>
          <w:p w14:paraId="7AAE1C34">
            <w:pPr>
              <w:snapToGrid w:val="0"/>
              <w:spacing w:line="288" w:lineRule="auto"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99" w:type="pct"/>
            <w:tcBorders>
              <w:right w:val="single" w:color="auto" w:sz="4" w:space="0"/>
            </w:tcBorders>
            <w:vAlign w:val="center"/>
          </w:tcPr>
          <w:p w14:paraId="093F3B8C">
            <w:pPr>
              <w:snapToGrid w:val="0"/>
              <w:spacing w:line="288" w:lineRule="auto"/>
              <w:jc w:val="center"/>
              <w:rPr>
                <w:rFonts w:hint="eastAsia" w:cs="宋体" w:asciiTheme="minorEastAsia" w:hAnsiTheme="minorEastAsia" w:eastAsia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99" w:type="pct"/>
            <w:tcBorders>
              <w:left w:val="single" w:color="auto" w:sz="4" w:space="0"/>
            </w:tcBorders>
            <w:vAlign w:val="center"/>
          </w:tcPr>
          <w:p w14:paraId="1B15E647">
            <w:pPr>
              <w:snapToGrid w:val="0"/>
              <w:spacing w:line="288" w:lineRule="auto"/>
              <w:jc w:val="center"/>
              <w:rPr>
                <w:rFonts w:hint="eastAsia" w:cs="宋体" w:asciiTheme="minorEastAsia" w:hAnsiTheme="minorEastAsia" w:eastAsia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6AE55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</w:trPr>
        <w:tc>
          <w:tcPr>
            <w:tcW w:w="354" w:type="pct"/>
            <w:vMerge w:val="restart"/>
            <w:vAlign w:val="center"/>
          </w:tcPr>
          <w:p w14:paraId="0903DEA2">
            <w:pPr>
              <w:numPr>
                <w:ilvl w:val="0"/>
                <w:numId w:val="0"/>
              </w:numPr>
              <w:tabs>
                <w:tab w:val="left" w:pos="176"/>
                <w:tab w:val="left" w:pos="612"/>
              </w:tabs>
              <w:ind w:leftChars="0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技术</w:t>
            </w:r>
          </w:p>
          <w:p w14:paraId="170359A5">
            <w:pPr>
              <w:numPr>
                <w:ilvl w:val="0"/>
                <w:numId w:val="0"/>
              </w:numPr>
              <w:tabs>
                <w:tab w:val="left" w:pos="176"/>
                <w:tab w:val="left" w:pos="612"/>
              </w:tabs>
              <w:ind w:left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部分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18C0B88E">
            <w:pPr>
              <w:tabs>
                <w:tab w:val="left" w:pos="567"/>
              </w:tabs>
              <w:snapToGrid w:val="0"/>
              <w:spacing w:line="288" w:lineRule="auto"/>
              <w:jc w:val="center"/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  <w:t>供应商资质(</w:t>
            </w:r>
            <w:r>
              <w:rPr>
                <w:rFonts w:hint="eastAsia" w:asci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</w:t>
            </w:r>
            <w:r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  <w:t>0分）</w:t>
            </w:r>
          </w:p>
        </w:tc>
        <w:tc>
          <w:tcPr>
            <w:tcW w:w="2235" w:type="pct"/>
            <w:shd w:val="clear" w:color="auto" w:fill="auto"/>
            <w:vAlign w:val="center"/>
          </w:tcPr>
          <w:p w14:paraId="189B6A7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  <w:t>根据竞标单位资质是否齐全、信誉度是否良好等情况。优20-16分， 中15-10分，差9-0分。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771C850">
            <w:pPr>
              <w:tabs>
                <w:tab w:val="left" w:pos="567"/>
              </w:tabs>
              <w:snapToGrid w:val="0"/>
              <w:spacing w:line="288" w:lineRule="auto"/>
              <w:jc w:val="center"/>
              <w:rPr>
                <w:rFonts w:hint="default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99" w:type="pct"/>
            <w:shd w:val="clear" w:color="auto" w:fill="auto"/>
            <w:vAlign w:val="center"/>
          </w:tcPr>
          <w:p w14:paraId="3DE1563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99" w:type="pct"/>
            <w:tcBorders>
              <w:right w:val="single" w:color="auto" w:sz="4" w:space="0"/>
            </w:tcBorders>
            <w:vAlign w:val="center"/>
          </w:tcPr>
          <w:p w14:paraId="11A094E9">
            <w:pPr>
              <w:tabs>
                <w:tab w:val="left" w:pos="567"/>
              </w:tabs>
              <w:snapToGrid w:val="0"/>
              <w:spacing w:line="288" w:lineRule="auto"/>
              <w:rPr>
                <w:rFonts w:hint="eastAsia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99" w:type="pct"/>
            <w:tcBorders>
              <w:left w:val="single" w:color="auto" w:sz="4" w:space="0"/>
            </w:tcBorders>
            <w:vAlign w:val="center"/>
          </w:tcPr>
          <w:p w14:paraId="50FCF82F">
            <w:pPr>
              <w:tabs>
                <w:tab w:val="left" w:pos="567"/>
              </w:tabs>
              <w:snapToGrid w:val="0"/>
              <w:spacing w:line="288" w:lineRule="auto"/>
              <w:rPr>
                <w:rFonts w:hint="eastAsia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0B3A8B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1" w:hRule="atLeast"/>
        </w:trPr>
        <w:tc>
          <w:tcPr>
            <w:tcW w:w="354" w:type="pct"/>
            <w:vMerge w:val="continue"/>
            <w:vAlign w:val="center"/>
          </w:tcPr>
          <w:p w14:paraId="5E3EFCA3">
            <w:pPr>
              <w:numPr>
                <w:ilvl w:val="0"/>
                <w:numId w:val="0"/>
              </w:numPr>
              <w:tabs>
                <w:tab w:val="left" w:pos="176"/>
                <w:tab w:val="left" w:pos="612"/>
              </w:tabs>
              <w:ind w:leftChars="0"/>
              <w:jc w:val="both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 w14:paraId="750DD10A">
            <w:pPr>
              <w:tabs>
                <w:tab w:val="left" w:pos="567"/>
              </w:tabs>
              <w:snapToGrid w:val="0"/>
              <w:spacing w:line="288" w:lineRule="auto"/>
              <w:jc w:val="center"/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  <w:t>服务内容</w:t>
            </w:r>
          </w:p>
          <w:p w14:paraId="0BB6B6CE">
            <w:pPr>
              <w:tabs>
                <w:tab w:val="left" w:pos="567"/>
              </w:tabs>
              <w:snapToGrid w:val="0"/>
              <w:spacing w:line="288" w:lineRule="auto"/>
              <w:jc w:val="center"/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  <w:t>（20分）</w:t>
            </w:r>
          </w:p>
        </w:tc>
        <w:tc>
          <w:tcPr>
            <w:tcW w:w="2235" w:type="pct"/>
            <w:shd w:val="clear" w:color="auto" w:fill="auto"/>
            <w:vAlign w:val="center"/>
          </w:tcPr>
          <w:p w14:paraId="57D04E5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  <w:t>服务期内，供应商须提供2次危险废物收运全流程服务，单次服务涵盖危废现场分类、打包整理、贴标、搬运、装车及运输等全部工作内容。横向对比各投标人的投标材料，根据提供材料酌情给分：优20-16分， 中15-10分，差9-0分。</w:t>
            </w:r>
          </w:p>
        </w:tc>
        <w:tc>
          <w:tcPr>
            <w:tcW w:w="499" w:type="pct"/>
            <w:vAlign w:val="center"/>
          </w:tcPr>
          <w:p w14:paraId="551D14E0">
            <w:pPr>
              <w:tabs>
                <w:tab w:val="left" w:pos="567"/>
              </w:tabs>
              <w:snapToGrid w:val="0"/>
              <w:spacing w:line="288" w:lineRule="auto"/>
              <w:rPr>
                <w:rFonts w:hint="default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99" w:type="pct"/>
            <w:vAlign w:val="center"/>
          </w:tcPr>
          <w:p w14:paraId="4D131D0F">
            <w:pPr>
              <w:tabs>
                <w:tab w:val="left" w:pos="567"/>
              </w:tabs>
              <w:snapToGrid w:val="0"/>
              <w:spacing w:line="288" w:lineRule="auto"/>
              <w:rPr>
                <w:rFonts w:hint="eastAsia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99" w:type="pct"/>
            <w:tcBorders>
              <w:right w:val="single" w:color="auto" w:sz="4" w:space="0"/>
            </w:tcBorders>
            <w:vAlign w:val="center"/>
          </w:tcPr>
          <w:p w14:paraId="29B00C28">
            <w:pPr>
              <w:tabs>
                <w:tab w:val="left" w:pos="567"/>
              </w:tabs>
              <w:snapToGrid w:val="0"/>
              <w:spacing w:line="288" w:lineRule="auto"/>
              <w:rPr>
                <w:rFonts w:hint="eastAsia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99" w:type="pct"/>
            <w:tcBorders>
              <w:left w:val="single" w:color="auto" w:sz="4" w:space="0"/>
            </w:tcBorders>
            <w:vAlign w:val="center"/>
          </w:tcPr>
          <w:p w14:paraId="0AA44360">
            <w:pPr>
              <w:tabs>
                <w:tab w:val="left" w:pos="567"/>
              </w:tabs>
              <w:snapToGrid w:val="0"/>
              <w:spacing w:line="288" w:lineRule="auto"/>
              <w:rPr>
                <w:rFonts w:hint="eastAsia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342A51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</w:trPr>
        <w:tc>
          <w:tcPr>
            <w:tcW w:w="354" w:type="pct"/>
            <w:vMerge w:val="restart"/>
            <w:vAlign w:val="center"/>
          </w:tcPr>
          <w:p w14:paraId="7CD4B8D4">
            <w:pPr>
              <w:numPr>
                <w:ilvl w:val="0"/>
                <w:numId w:val="0"/>
              </w:numPr>
              <w:tabs>
                <w:tab w:val="left" w:pos="176"/>
                <w:tab w:val="left" w:pos="612"/>
              </w:tabs>
              <w:ind w:leftChars="0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商务</w:t>
            </w:r>
          </w:p>
          <w:p w14:paraId="32B4165D">
            <w:pPr>
              <w:numPr>
                <w:ilvl w:val="0"/>
                <w:numId w:val="0"/>
              </w:numPr>
              <w:tabs>
                <w:tab w:val="left" w:pos="176"/>
                <w:tab w:val="left" w:pos="612"/>
              </w:tabs>
              <w:ind w:left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部分</w:t>
            </w:r>
          </w:p>
          <w:p w14:paraId="12784BD7">
            <w:pPr>
              <w:numPr>
                <w:ilvl w:val="0"/>
                <w:numId w:val="0"/>
              </w:numPr>
              <w:tabs>
                <w:tab w:val="left" w:pos="176"/>
                <w:tab w:val="left" w:pos="612"/>
              </w:tabs>
              <w:ind w:leftChars="0"/>
              <w:jc w:val="both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413" w:type="pct"/>
            <w:vAlign w:val="center"/>
          </w:tcPr>
          <w:p w14:paraId="32332A5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  <w:t>服务承诺(20分）</w:t>
            </w:r>
          </w:p>
        </w:tc>
        <w:tc>
          <w:tcPr>
            <w:tcW w:w="2235" w:type="pct"/>
            <w:vAlign w:val="center"/>
          </w:tcPr>
          <w:p w14:paraId="61DA078A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  <w:t>考查、对比服务计划是否详细、合理，是否能够承诺针对本项目提供及时、优质、专业的服务要求。横向对比各投标人的投标材料，根据提供材料酌情给分：优20-16分，中15-10分，差9-0分。</w:t>
            </w:r>
          </w:p>
        </w:tc>
        <w:tc>
          <w:tcPr>
            <w:tcW w:w="499" w:type="pct"/>
            <w:vAlign w:val="center"/>
          </w:tcPr>
          <w:p w14:paraId="47471328">
            <w:pPr>
              <w:tabs>
                <w:tab w:val="left" w:pos="567"/>
              </w:tabs>
              <w:snapToGrid w:val="0"/>
              <w:spacing w:line="288" w:lineRule="auto"/>
              <w:rPr>
                <w:rFonts w:hint="eastAsia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99" w:type="pct"/>
            <w:vAlign w:val="center"/>
          </w:tcPr>
          <w:p w14:paraId="65A22E78">
            <w:pPr>
              <w:tabs>
                <w:tab w:val="left" w:pos="567"/>
              </w:tabs>
              <w:snapToGrid w:val="0"/>
              <w:spacing w:line="288" w:lineRule="auto"/>
              <w:rPr>
                <w:rFonts w:hint="eastAsia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99" w:type="pct"/>
            <w:tcBorders>
              <w:right w:val="single" w:color="auto" w:sz="4" w:space="0"/>
            </w:tcBorders>
            <w:vAlign w:val="center"/>
          </w:tcPr>
          <w:p w14:paraId="1F5248FE">
            <w:pPr>
              <w:tabs>
                <w:tab w:val="left" w:pos="567"/>
              </w:tabs>
              <w:snapToGrid w:val="0"/>
              <w:spacing w:line="288" w:lineRule="auto"/>
              <w:rPr>
                <w:rFonts w:hint="eastAsia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99" w:type="pct"/>
            <w:tcBorders>
              <w:left w:val="single" w:color="auto" w:sz="4" w:space="0"/>
            </w:tcBorders>
            <w:vAlign w:val="center"/>
          </w:tcPr>
          <w:p w14:paraId="08C3D7F8">
            <w:pPr>
              <w:tabs>
                <w:tab w:val="left" w:pos="567"/>
              </w:tabs>
              <w:snapToGrid w:val="0"/>
              <w:spacing w:line="288" w:lineRule="auto"/>
              <w:rPr>
                <w:rFonts w:hint="eastAsia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58F620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2" w:hRule="atLeast"/>
        </w:trPr>
        <w:tc>
          <w:tcPr>
            <w:tcW w:w="354" w:type="pct"/>
            <w:vMerge w:val="continue"/>
            <w:vAlign w:val="center"/>
          </w:tcPr>
          <w:p w14:paraId="09698FD9">
            <w:pPr>
              <w:numPr>
                <w:ilvl w:val="0"/>
                <w:numId w:val="0"/>
              </w:numPr>
              <w:tabs>
                <w:tab w:val="left" w:pos="176"/>
                <w:tab w:val="left" w:pos="612"/>
              </w:tabs>
              <w:ind w:leftChars="0"/>
              <w:jc w:val="both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413" w:type="pct"/>
            <w:vAlign w:val="center"/>
          </w:tcPr>
          <w:p w14:paraId="58F3FCA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  <w:t>经营业绩</w:t>
            </w:r>
            <w:r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  <w:t>（10分）</w:t>
            </w:r>
          </w:p>
        </w:tc>
        <w:tc>
          <w:tcPr>
            <w:tcW w:w="2235" w:type="pct"/>
            <w:vAlign w:val="center"/>
          </w:tcPr>
          <w:p w14:paraId="1860C0B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both"/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  <w:t>提供2023年以来的同类项目业绩,每提交一份合同或证明材料得5分，最高得10分。提供不完整或者未按要求提供的不得分。</w:t>
            </w:r>
          </w:p>
        </w:tc>
        <w:tc>
          <w:tcPr>
            <w:tcW w:w="499" w:type="pct"/>
            <w:vAlign w:val="center"/>
          </w:tcPr>
          <w:p w14:paraId="1E468815">
            <w:pPr>
              <w:numPr>
                <w:ilvl w:val="0"/>
                <w:numId w:val="0"/>
              </w:numPr>
              <w:tabs>
                <w:tab w:val="left" w:pos="176"/>
                <w:tab w:val="left" w:pos="612"/>
              </w:tabs>
              <w:ind w:leftChars="0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 w14:paraId="4BCDA232">
            <w:pPr>
              <w:tabs>
                <w:tab w:val="left" w:pos="567"/>
              </w:tabs>
              <w:snapToGrid w:val="0"/>
              <w:spacing w:line="288" w:lineRule="auto"/>
              <w:rPr>
                <w:rFonts w:hint="eastAsia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99" w:type="pct"/>
            <w:vAlign w:val="center"/>
          </w:tcPr>
          <w:p w14:paraId="3EFC4022">
            <w:pPr>
              <w:tabs>
                <w:tab w:val="left" w:pos="567"/>
              </w:tabs>
              <w:snapToGrid w:val="0"/>
              <w:spacing w:line="288" w:lineRule="auto"/>
              <w:rPr>
                <w:rFonts w:hint="eastAsia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99" w:type="pct"/>
            <w:tcBorders>
              <w:right w:val="single" w:color="auto" w:sz="4" w:space="0"/>
            </w:tcBorders>
            <w:vAlign w:val="center"/>
          </w:tcPr>
          <w:p w14:paraId="0716E2AA">
            <w:pPr>
              <w:tabs>
                <w:tab w:val="left" w:pos="567"/>
              </w:tabs>
              <w:snapToGrid w:val="0"/>
              <w:spacing w:line="288" w:lineRule="auto"/>
              <w:rPr>
                <w:rFonts w:hint="eastAsia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99" w:type="pct"/>
            <w:tcBorders>
              <w:left w:val="single" w:color="auto" w:sz="4" w:space="0"/>
            </w:tcBorders>
            <w:vAlign w:val="center"/>
          </w:tcPr>
          <w:p w14:paraId="30349502">
            <w:pPr>
              <w:tabs>
                <w:tab w:val="left" w:pos="567"/>
              </w:tabs>
              <w:snapToGrid w:val="0"/>
              <w:spacing w:line="288" w:lineRule="auto"/>
              <w:rPr>
                <w:rFonts w:hint="eastAsia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BA764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atLeast"/>
        </w:trPr>
        <w:tc>
          <w:tcPr>
            <w:tcW w:w="354" w:type="pct"/>
            <w:tcBorders>
              <w:top w:val="single" w:color="auto" w:sz="4" w:space="0"/>
            </w:tcBorders>
            <w:vAlign w:val="center"/>
          </w:tcPr>
          <w:p w14:paraId="719CF9A5">
            <w:pPr>
              <w:numPr>
                <w:ilvl w:val="0"/>
                <w:numId w:val="0"/>
              </w:numPr>
              <w:tabs>
                <w:tab w:val="left" w:pos="176"/>
                <w:tab w:val="left" w:pos="612"/>
              </w:tabs>
              <w:ind w:leftChars="0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价格</w:t>
            </w:r>
          </w:p>
          <w:p w14:paraId="08BFA23F">
            <w:pPr>
              <w:numPr>
                <w:ilvl w:val="0"/>
                <w:numId w:val="0"/>
              </w:numPr>
              <w:tabs>
                <w:tab w:val="left" w:pos="176"/>
                <w:tab w:val="left" w:pos="612"/>
              </w:tabs>
              <w:ind w:leftChars="0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部分</w:t>
            </w:r>
          </w:p>
        </w:tc>
        <w:tc>
          <w:tcPr>
            <w:tcW w:w="413" w:type="pct"/>
            <w:vAlign w:val="center"/>
          </w:tcPr>
          <w:p w14:paraId="54A6838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  <w:t>投标价</w:t>
            </w:r>
          </w:p>
          <w:p w14:paraId="3B1AE24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  <w:t>格得分</w:t>
            </w:r>
          </w:p>
          <w:p w14:paraId="06A0341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  <w:t>(30分)</w:t>
            </w:r>
          </w:p>
        </w:tc>
        <w:tc>
          <w:tcPr>
            <w:tcW w:w="2235" w:type="pct"/>
            <w:tcBorders>
              <w:right w:val="single" w:color="auto" w:sz="4" w:space="0"/>
            </w:tcBorders>
            <w:vAlign w:val="center"/>
          </w:tcPr>
          <w:p w14:paraId="0A1814A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kern w:val="2"/>
                <w:sz w:val="21"/>
                <w:szCs w:val="21"/>
                <w:lang w:val="en-US" w:eastAsia="zh-CN" w:bidi="ar-SA"/>
              </w:rPr>
              <w:t>报价得分=投标最低价/投标人报价×30</w:t>
            </w:r>
          </w:p>
        </w:tc>
        <w:tc>
          <w:tcPr>
            <w:tcW w:w="499" w:type="pct"/>
            <w:tcBorders>
              <w:left w:val="single" w:color="auto" w:sz="4" w:space="0"/>
            </w:tcBorders>
            <w:vAlign w:val="center"/>
          </w:tcPr>
          <w:p w14:paraId="5942FDEE">
            <w:pPr>
              <w:keepNext w:val="0"/>
              <w:keepLines w:val="0"/>
              <w:pageBreakBefore w:val="0"/>
              <w:widowControl w:val="0"/>
              <w:tabs>
                <w:tab w:val="left" w:pos="5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99" w:type="pct"/>
            <w:vAlign w:val="center"/>
          </w:tcPr>
          <w:p w14:paraId="29755280">
            <w:pPr>
              <w:tabs>
                <w:tab w:val="left" w:pos="567"/>
              </w:tabs>
              <w:snapToGrid w:val="0"/>
              <w:spacing w:line="288" w:lineRule="auto"/>
              <w:rPr>
                <w:rFonts w:hint="eastAsia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99" w:type="pct"/>
            <w:vAlign w:val="center"/>
          </w:tcPr>
          <w:p w14:paraId="5FB010A4">
            <w:pPr>
              <w:tabs>
                <w:tab w:val="left" w:pos="567"/>
              </w:tabs>
              <w:snapToGrid w:val="0"/>
              <w:spacing w:line="288" w:lineRule="auto"/>
              <w:rPr>
                <w:rFonts w:hint="eastAsia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99" w:type="pct"/>
            <w:vAlign w:val="center"/>
          </w:tcPr>
          <w:p w14:paraId="5FDE442B">
            <w:pPr>
              <w:tabs>
                <w:tab w:val="left" w:pos="567"/>
              </w:tabs>
              <w:snapToGrid w:val="0"/>
              <w:spacing w:line="288" w:lineRule="auto"/>
              <w:rPr>
                <w:rFonts w:hint="eastAsia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70614B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3003" w:type="pct"/>
            <w:gridSpan w:val="3"/>
            <w:tcBorders>
              <w:right w:val="single" w:color="auto" w:sz="4" w:space="0"/>
            </w:tcBorders>
            <w:vAlign w:val="center"/>
          </w:tcPr>
          <w:p w14:paraId="21D29BF4">
            <w:pPr>
              <w:tabs>
                <w:tab w:val="left" w:pos="567"/>
              </w:tabs>
              <w:snapToGrid w:val="0"/>
              <w:spacing w:line="288" w:lineRule="auto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得分</w:t>
            </w:r>
          </w:p>
        </w:tc>
        <w:tc>
          <w:tcPr>
            <w:tcW w:w="499" w:type="pct"/>
            <w:tcBorders>
              <w:left w:val="single" w:color="auto" w:sz="4" w:space="0"/>
            </w:tcBorders>
            <w:vAlign w:val="center"/>
          </w:tcPr>
          <w:p w14:paraId="0E74B976">
            <w:pPr>
              <w:tabs>
                <w:tab w:val="left" w:pos="567"/>
              </w:tabs>
              <w:snapToGrid w:val="0"/>
              <w:spacing w:line="288" w:lineRule="auto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99" w:type="pct"/>
            <w:vAlign w:val="center"/>
          </w:tcPr>
          <w:p w14:paraId="65A63D9A">
            <w:pPr>
              <w:tabs>
                <w:tab w:val="left" w:pos="567"/>
              </w:tabs>
              <w:snapToGrid w:val="0"/>
              <w:spacing w:line="288" w:lineRule="auto"/>
              <w:rPr>
                <w:rFonts w:hint="eastAsia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99" w:type="pct"/>
            <w:vAlign w:val="center"/>
          </w:tcPr>
          <w:p w14:paraId="098F877B">
            <w:pPr>
              <w:tabs>
                <w:tab w:val="left" w:pos="567"/>
              </w:tabs>
              <w:snapToGrid w:val="0"/>
              <w:spacing w:line="288" w:lineRule="auto"/>
              <w:rPr>
                <w:rFonts w:hint="eastAsia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99" w:type="pct"/>
            <w:vAlign w:val="center"/>
          </w:tcPr>
          <w:p w14:paraId="52612325">
            <w:pPr>
              <w:tabs>
                <w:tab w:val="left" w:pos="567"/>
              </w:tabs>
              <w:snapToGrid w:val="0"/>
              <w:spacing w:line="288" w:lineRule="auto"/>
              <w:rPr>
                <w:rFonts w:hint="eastAsia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24ED5E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</w:trPr>
        <w:tc>
          <w:tcPr>
            <w:tcW w:w="3003" w:type="pct"/>
            <w:gridSpan w:val="3"/>
            <w:tcBorders>
              <w:right w:val="single" w:color="auto" w:sz="4" w:space="0"/>
            </w:tcBorders>
            <w:vAlign w:val="center"/>
          </w:tcPr>
          <w:p w14:paraId="6CF7366D">
            <w:pPr>
              <w:tabs>
                <w:tab w:val="left" w:pos="567"/>
              </w:tabs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排名</w:t>
            </w:r>
          </w:p>
        </w:tc>
        <w:tc>
          <w:tcPr>
            <w:tcW w:w="499" w:type="pct"/>
            <w:tcBorders>
              <w:left w:val="single" w:color="auto" w:sz="4" w:space="0"/>
            </w:tcBorders>
            <w:vAlign w:val="center"/>
          </w:tcPr>
          <w:p w14:paraId="19A2AF33">
            <w:pPr>
              <w:tabs>
                <w:tab w:val="left" w:pos="567"/>
              </w:tabs>
              <w:snapToGrid w:val="0"/>
              <w:spacing w:line="288" w:lineRule="auto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99" w:type="pct"/>
            <w:vAlign w:val="center"/>
          </w:tcPr>
          <w:p w14:paraId="5269C156">
            <w:pPr>
              <w:tabs>
                <w:tab w:val="left" w:pos="567"/>
              </w:tabs>
              <w:snapToGrid w:val="0"/>
              <w:spacing w:line="288" w:lineRule="auto"/>
              <w:rPr>
                <w:rFonts w:hint="eastAsia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99" w:type="pct"/>
            <w:vAlign w:val="center"/>
          </w:tcPr>
          <w:p w14:paraId="62B50DD0">
            <w:pPr>
              <w:tabs>
                <w:tab w:val="left" w:pos="567"/>
              </w:tabs>
              <w:snapToGrid w:val="0"/>
              <w:spacing w:line="288" w:lineRule="auto"/>
              <w:rPr>
                <w:rFonts w:hint="eastAsia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99" w:type="pct"/>
            <w:vAlign w:val="center"/>
          </w:tcPr>
          <w:p w14:paraId="19701AD3">
            <w:pPr>
              <w:tabs>
                <w:tab w:val="left" w:pos="567"/>
              </w:tabs>
              <w:snapToGrid w:val="0"/>
              <w:spacing w:line="288" w:lineRule="auto"/>
              <w:rPr>
                <w:rFonts w:hint="eastAsia" w:ascii="仿宋_GB2312" w:eastAsia="仿宋_GB2312" w:cs="仿宋_GB2312" w:hAnsiTheme="minorHAnsi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1061C7DE">
      <w:pPr>
        <w:jc w:val="left"/>
        <w:rPr>
          <w:rFonts w:hint="eastAsia" w:ascii="仿宋_GB2312" w:eastAsia="仿宋_GB2312" w:cs="仿宋_GB2312" w:hAnsiTheme="minorHAnsi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_GB2312" w:eastAsia="仿宋_GB2312" w:cs="仿宋_GB2312" w:hAnsiTheme="minorHAnsi"/>
          <w:kern w:val="2"/>
          <w:sz w:val="21"/>
          <w:szCs w:val="21"/>
          <w:highlight w:val="none"/>
          <w:lang w:val="en-US" w:eastAsia="zh-CN" w:bidi="ar-SA"/>
        </w:rPr>
        <w:t>备注：投标报价得分四舍五入后，小数点后保留两位有效数。</w:t>
      </w:r>
    </w:p>
    <w:p w14:paraId="5DBC33F4">
      <w:pPr>
        <w:ind w:firstLine="3213" w:firstLineChars="1000"/>
      </w:pPr>
      <w:r>
        <w:rPr>
          <w:rFonts w:hint="eastAsia" w:ascii="仿宋_GB2312" w:hAnsi="Calibri" w:eastAsia="仿宋_GB2312" w:cs="仿宋_GB2312"/>
          <w:b/>
          <w:bCs/>
          <w:sz w:val="32"/>
          <w:szCs w:val="32"/>
        </w:rPr>
        <w:t xml:space="preserve">签名：                            </w:t>
      </w:r>
      <w:r>
        <w:rPr>
          <w:rFonts w:hint="eastAsia" w:ascii="仿宋_GB2312" w:eastAsia="仿宋_GB2312" w:cs="仿宋_GB2312"/>
          <w:b/>
          <w:bCs/>
          <w:sz w:val="32"/>
          <w:szCs w:val="24"/>
        </w:rPr>
        <w:t>日期：</w:t>
      </w:r>
      <w:r>
        <w:rPr>
          <w:rFonts w:hint="eastAsia" w:ascii="仿宋_GB2312" w:hAnsi="Calibri" w:eastAsia="仿宋_GB2312" w:cs="仿宋_GB2312"/>
          <w:b/>
          <w:bCs/>
          <w:sz w:val="32"/>
          <w:szCs w:val="32"/>
        </w:rPr>
        <w:t xml:space="preserve">   </w:t>
      </w:r>
    </w:p>
    <w:sectPr>
      <w:headerReference r:id="rId3" w:type="default"/>
      <w:footerReference r:id="rId4" w:type="default"/>
      <w:pgSz w:w="16838" w:h="11906" w:orient="landscape"/>
      <w:pgMar w:top="1134" w:right="1440" w:bottom="1134" w:left="1440" w:header="851" w:footer="992" w:gutter="0"/>
      <w:pgNumType w:fmt="numberInDash" w:start="5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71D33">
    <w:pPr>
      <w:pStyle w:val="2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06D91B"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06D91B"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EE423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047E3"/>
    <w:rsid w:val="01CB7E2E"/>
    <w:rsid w:val="15987352"/>
    <w:rsid w:val="2351456F"/>
    <w:rsid w:val="36DB3A64"/>
    <w:rsid w:val="3AD25B9A"/>
    <w:rsid w:val="3D0F3EBA"/>
    <w:rsid w:val="3F743CEA"/>
    <w:rsid w:val="4AB82D7A"/>
    <w:rsid w:val="4D7862D8"/>
    <w:rsid w:val="50350B5F"/>
    <w:rsid w:val="60236776"/>
    <w:rsid w:val="65F047E3"/>
    <w:rsid w:val="67E3634B"/>
    <w:rsid w:val="69CE4AA1"/>
    <w:rsid w:val="6B932CEF"/>
    <w:rsid w:val="71924CB8"/>
    <w:rsid w:val="7EF2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3">
    <w:name w:val="header"/>
    <w:basedOn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List Paragraph"/>
    <w:basedOn w:val="1"/>
    <w:qFormat/>
    <w:uiPriority w:val="34"/>
    <w:pPr>
      <w:snapToGrid w:val="0"/>
      <w:ind w:firstLine="420" w:firstLineChars="200"/>
      <w:jc w:val="center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644</Words>
  <Characters>703</Characters>
  <Lines>0</Lines>
  <Paragraphs>0</Paragraphs>
  <TotalTime>0</TotalTime>
  <ScaleCrop>false</ScaleCrop>
  <LinksUpToDate>false</LinksUpToDate>
  <CharactersWithSpaces>866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2026-01-22T06:52:00Z</dcterms:created>
  <dc:creator>Administrator</dc:creator>
  <cp:lastModifiedBy>Administrator</cp:lastModifiedBy>
  <cp:lastPrinted>2026-01-30T03:17:00Z</cp:lastPrinted>
  <dcterms:modified xsi:type="dcterms:W3CDTF">2026-08-12T09:21:16Z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eyJoZGlkIjoiMmU3N2UwYWY2MWVmNDk0MjE3MjQyOTM1MGQ0ZmEzOWQiLCJ1c2VySWQiOiI0NDg2NTAzNTQifQ==</vt:lpwstr>
  </property>
  <property fmtid="{D5CDD505-2E9C-101B-9397-08002B2CF9AE}" pid="4" name="ICV">
    <vt:lpwstr>0F3E5192DAA04609A01AB616997A619D_13</vt:lpwstr>
  </property>
</Properties>
</file>