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DC1B4D">
      <w:pPr>
        <w:snapToGrid w:val="0"/>
        <w:spacing w:line="312" w:lineRule="auto"/>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bookmarkStart w:id="0" w:name="_GoBack"/>
      <w:bookmarkEnd w:id="0"/>
      <w:r>
        <w:rPr>
          <w:rFonts w:hint="eastAsia" w:ascii="仿宋_GB2312" w:hAnsi="仿宋_GB2312" w:eastAsia="仿宋_GB2312" w:cs="仿宋_GB2312"/>
          <w:sz w:val="32"/>
          <w:szCs w:val="32"/>
          <w:lang w:val="en-US" w:eastAsia="zh-CN"/>
        </w:rPr>
        <w:t>1</w:t>
      </w:r>
    </w:p>
    <w:p w14:paraId="50EF3E46">
      <w:pPr>
        <w:jc w:val="center"/>
        <w:rPr>
          <w:rFonts w:hint="eastAsia" w:ascii="宋体" w:hAnsi="宋体"/>
          <w:b/>
          <w:sz w:val="44"/>
          <w:szCs w:val="44"/>
        </w:rPr>
      </w:pPr>
      <w:r>
        <w:rPr>
          <w:rFonts w:hint="eastAsia" w:ascii="宋体" w:hAnsi="宋体"/>
          <w:b/>
          <w:sz w:val="44"/>
          <w:szCs w:val="44"/>
        </w:rPr>
        <w:t>江门市农业科技创新中心</w:t>
      </w:r>
    </w:p>
    <w:p w14:paraId="2482A7F8">
      <w:pPr>
        <w:jc w:val="center"/>
        <w:rPr>
          <w:rFonts w:ascii="宋体" w:hAnsi="宋体"/>
          <w:b/>
          <w:sz w:val="44"/>
          <w:szCs w:val="44"/>
        </w:rPr>
      </w:pPr>
      <w:r>
        <w:rPr>
          <w:rFonts w:hint="eastAsia" w:ascii="宋体" w:hAnsi="宋体"/>
          <w:b/>
          <w:sz w:val="44"/>
          <w:szCs w:val="44"/>
          <w:lang w:eastAsia="zh-CN"/>
        </w:rPr>
        <w:t>粮食智慧农场设施设备</w:t>
      </w:r>
      <w:r>
        <w:rPr>
          <w:rFonts w:hint="eastAsia" w:ascii="宋体" w:hAnsi="宋体"/>
          <w:b/>
          <w:sz w:val="44"/>
          <w:szCs w:val="44"/>
        </w:rPr>
        <w:t>采购项目采购评审方案</w:t>
      </w:r>
    </w:p>
    <w:p w14:paraId="1AF3010A">
      <w:pPr>
        <w:rPr>
          <w:rFonts w:ascii="仿宋" w:hAnsi="仿宋" w:eastAsia="仿宋"/>
          <w:b/>
          <w:bCs/>
          <w:sz w:val="32"/>
          <w:szCs w:val="32"/>
        </w:rPr>
      </w:pPr>
    </w:p>
    <w:p w14:paraId="1DCD9894">
      <w:pPr>
        <w:ind w:firstLine="640" w:firstLineChars="200"/>
        <w:jc w:val="left"/>
        <w:rPr>
          <w:rFonts w:ascii="黑体" w:hAnsi="黑体" w:eastAsia="黑体" w:cs="仿宋"/>
          <w:sz w:val="32"/>
          <w:lang w:bidi="ar"/>
        </w:rPr>
      </w:pPr>
      <w:r>
        <w:rPr>
          <w:rFonts w:hint="eastAsia" w:ascii="黑体" w:hAnsi="黑体" w:eastAsia="黑体" w:cs="仿宋"/>
          <w:sz w:val="32"/>
          <w:lang w:bidi="ar"/>
        </w:rPr>
        <w:t>一、评审标准和方法</w:t>
      </w:r>
    </w:p>
    <w:p w14:paraId="7D9CA50A">
      <w:pPr>
        <w:ind w:firstLine="643" w:firstLineChars="200"/>
        <w:jc w:val="left"/>
        <w:rPr>
          <w:rFonts w:ascii="楷体_GB2312" w:hAnsi="仿宋" w:eastAsia="楷体_GB2312" w:cs="仿宋"/>
          <w:b/>
          <w:bCs/>
          <w:sz w:val="32"/>
          <w:lang w:bidi="ar"/>
        </w:rPr>
      </w:pPr>
      <w:r>
        <w:rPr>
          <w:rFonts w:hint="eastAsia" w:ascii="楷体_GB2312" w:hAnsi="仿宋" w:eastAsia="楷体_GB2312" w:cs="仿宋"/>
          <w:b/>
          <w:bCs/>
          <w:sz w:val="32"/>
          <w:lang w:eastAsia="zh-CN" w:bidi="ar"/>
        </w:rPr>
        <w:t>（一）</w:t>
      </w:r>
      <w:r>
        <w:rPr>
          <w:rFonts w:hint="eastAsia" w:ascii="楷体_GB2312" w:hAnsi="仿宋" w:eastAsia="楷体_GB2312" w:cs="仿宋"/>
          <w:b/>
          <w:bCs/>
          <w:sz w:val="32"/>
          <w:lang w:bidi="ar"/>
        </w:rPr>
        <w:t>说明</w:t>
      </w:r>
    </w:p>
    <w:p w14:paraId="116D49B5">
      <w:pPr>
        <w:spacing w:line="59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1.供应商</w:t>
      </w:r>
      <w:r>
        <w:rPr>
          <w:rFonts w:hint="eastAsia" w:ascii="仿宋_GB2312" w:hAnsi="仿宋_GB2312" w:eastAsia="仿宋_GB2312" w:cs="仿宋_GB2312"/>
          <w:sz w:val="32"/>
          <w:szCs w:val="32"/>
        </w:rPr>
        <w:t>必须具备《中华人民共和国政府采购法》第二十二条规定的条件，并按照《资格性评审表》的评审内容的要求如实提供证明材料并应加盖投标方公章，若</w:t>
      </w:r>
      <w:r>
        <w:rPr>
          <w:rFonts w:hint="eastAsia" w:ascii="仿宋_GB2312" w:hAnsi="仿宋_GB2312" w:eastAsia="仿宋_GB2312" w:cs="仿宋_GB2312"/>
          <w:sz w:val="32"/>
          <w:szCs w:val="32"/>
          <w:lang w:eastAsia="zh-CN"/>
        </w:rPr>
        <w:t>供应商</w:t>
      </w:r>
      <w:r>
        <w:rPr>
          <w:rFonts w:hint="eastAsia" w:ascii="仿宋_GB2312" w:hAnsi="仿宋_GB2312" w:eastAsia="仿宋_GB2312" w:cs="仿宋_GB2312"/>
          <w:sz w:val="32"/>
          <w:szCs w:val="32"/>
        </w:rPr>
        <w:t>不满足《资格性评审表》中任何情形之一的，则资格性审查不通过。</w:t>
      </w:r>
    </w:p>
    <w:p w14:paraId="1B3125D9">
      <w:pPr>
        <w:spacing w:line="59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2.评分：评审</w:t>
      </w:r>
      <w:r>
        <w:rPr>
          <w:rFonts w:hint="default" w:ascii="仿宋_GB2312" w:eastAsia="仿宋_GB2312" w:cs="仿宋_GB2312"/>
          <w:sz w:val="32"/>
          <w:szCs w:val="32"/>
          <w:lang w:val="en-US" w:eastAsia="zh-CN"/>
        </w:rPr>
        <w:t>小组成员由江门市农业科技创新中心</w:t>
      </w:r>
      <w:r>
        <w:rPr>
          <w:rFonts w:hint="eastAsia" w:ascii="仿宋_GB2312" w:eastAsia="仿宋_GB2312" w:cs="仿宋_GB2312"/>
          <w:sz w:val="32"/>
          <w:szCs w:val="32"/>
          <w:lang w:val="en-US" w:eastAsia="zh-CN"/>
        </w:rPr>
        <w:t>职工组成，共</w:t>
      </w:r>
      <w:r>
        <w:rPr>
          <w:rFonts w:hint="default" w:ascii="仿宋_GB2312" w:eastAsia="仿宋_GB2312" w:cs="仿宋_GB2312"/>
          <w:sz w:val="32"/>
          <w:szCs w:val="32"/>
          <w:lang w:val="en-US" w:eastAsia="zh-CN"/>
        </w:rPr>
        <w:t>5名（其中财务人员不少于1名）</w:t>
      </w:r>
      <w:r>
        <w:rPr>
          <w:rFonts w:hint="eastAsia" w:ascii="仿宋_GB2312" w:eastAsia="仿宋_GB2312" w:cs="仿宋_GB2312"/>
          <w:sz w:val="32"/>
          <w:szCs w:val="32"/>
          <w:lang w:val="en-US" w:eastAsia="zh-CN"/>
        </w:rPr>
        <w:t>，评审小组各成员分值的算术平均值（四舍五入后，小数点后保留两位有效数）。</w:t>
      </w:r>
    </w:p>
    <w:p w14:paraId="08DA5437">
      <w:pPr>
        <w:spacing w:line="59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3.供应</w:t>
      </w:r>
      <w:r>
        <w:rPr>
          <w:rFonts w:hint="eastAsia" w:ascii="仿宋_GB2312" w:hAnsi="Calibri" w:eastAsia="仿宋_GB2312" w:cs="仿宋_GB2312"/>
          <w:kern w:val="2"/>
          <w:sz w:val="32"/>
          <w:szCs w:val="32"/>
          <w:lang w:val="en-US" w:eastAsia="zh-CN" w:bidi="ar-SA"/>
        </w:rPr>
        <w:t>商</w:t>
      </w:r>
      <w:r>
        <w:rPr>
          <w:rFonts w:hint="eastAsia" w:ascii="仿宋_GB2312" w:eastAsia="仿宋_GB2312" w:cs="仿宋_GB2312"/>
          <w:sz w:val="32"/>
          <w:szCs w:val="32"/>
        </w:rPr>
        <w:t>应如实提交</w:t>
      </w:r>
      <w:r>
        <w:rPr>
          <w:rFonts w:hint="eastAsia" w:ascii="仿宋_GB2312" w:eastAsia="仿宋_GB2312" w:cs="仿宋_GB2312"/>
          <w:sz w:val="32"/>
          <w:szCs w:val="32"/>
          <w:lang w:eastAsia="zh-CN"/>
        </w:rPr>
        <w:t>表</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要求提交的相关各类证明、资料等并应加盖</w:t>
      </w:r>
      <w:r>
        <w:rPr>
          <w:rFonts w:hint="eastAsia" w:ascii="仿宋_GB2312" w:eastAsia="仿宋_GB2312" w:cs="仿宋_GB2312"/>
          <w:sz w:val="32"/>
          <w:szCs w:val="32"/>
          <w:lang w:eastAsia="zh-CN"/>
        </w:rPr>
        <w:t>供应商</w:t>
      </w:r>
      <w:r>
        <w:rPr>
          <w:rFonts w:hint="eastAsia" w:ascii="仿宋_GB2312" w:eastAsia="仿宋_GB2312" w:cs="仿宋_GB2312"/>
          <w:sz w:val="32"/>
          <w:szCs w:val="32"/>
        </w:rPr>
        <w:t>公章，</w:t>
      </w:r>
      <w:r>
        <w:rPr>
          <w:rFonts w:hint="eastAsia" w:ascii="仿宋_GB2312" w:eastAsia="仿宋_GB2312" w:cs="仿宋_GB2312"/>
          <w:sz w:val="32"/>
          <w:szCs w:val="32"/>
          <w:lang w:eastAsia="zh-CN"/>
        </w:rPr>
        <w:t>供应商</w:t>
      </w:r>
      <w:r>
        <w:rPr>
          <w:rFonts w:hint="eastAsia" w:ascii="仿宋_GB2312" w:eastAsia="仿宋_GB2312" w:cs="仿宋_GB2312"/>
          <w:sz w:val="32"/>
          <w:szCs w:val="32"/>
        </w:rPr>
        <w:t>如未按要求提交的，该项评分为零分。</w:t>
      </w:r>
    </w:p>
    <w:p w14:paraId="0EE85792">
      <w:pPr>
        <w:ind w:firstLine="643" w:firstLineChars="200"/>
        <w:jc w:val="left"/>
        <w:rPr>
          <w:rFonts w:ascii="楷体_GB2312" w:hAnsi="仿宋" w:eastAsia="楷体_GB2312" w:cs="仿宋"/>
          <w:b/>
          <w:bCs/>
          <w:sz w:val="32"/>
          <w:lang w:bidi="ar"/>
        </w:rPr>
      </w:pPr>
      <w:r>
        <w:rPr>
          <w:rFonts w:hint="eastAsia" w:ascii="楷体_GB2312" w:hAnsi="仿宋" w:eastAsia="楷体_GB2312" w:cs="仿宋"/>
          <w:b/>
          <w:bCs/>
          <w:sz w:val="32"/>
          <w:lang w:eastAsia="zh-CN" w:bidi="ar"/>
        </w:rPr>
        <w:t>（二）</w:t>
      </w:r>
      <w:r>
        <w:rPr>
          <w:rFonts w:hint="eastAsia" w:ascii="楷体_GB2312" w:hAnsi="仿宋" w:eastAsia="楷体_GB2312" w:cs="仿宋"/>
          <w:b/>
          <w:bCs/>
          <w:sz w:val="32"/>
          <w:lang w:bidi="ar"/>
        </w:rPr>
        <w:t>评审标准</w:t>
      </w:r>
    </w:p>
    <w:p w14:paraId="7307BCDE">
      <w:pPr>
        <w:spacing w:line="596"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auto"/>
          <w:sz w:val="32"/>
          <w:szCs w:val="32"/>
          <w:highlight w:val="none"/>
          <w:lang w:eastAsia="zh-CN"/>
        </w:rPr>
        <w:t>采购方组织不少于三家符合资格条件的供应商提交响应文件，对响应文件进行公开唱标（评审过程中只有两家符合资格条件的可以继续进行）。</w:t>
      </w:r>
    </w:p>
    <w:p w14:paraId="6C451C1E">
      <w:pPr>
        <w:spacing w:line="59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资格性审查：评审小组对</w:t>
      </w:r>
      <w:r>
        <w:rPr>
          <w:rFonts w:hint="eastAsia" w:ascii="仿宋_GB2312" w:hAnsi="仿宋_GB2312" w:eastAsia="仿宋_GB2312" w:cs="仿宋_GB2312"/>
          <w:sz w:val="32"/>
          <w:szCs w:val="32"/>
          <w:lang w:eastAsia="zh-CN"/>
        </w:rPr>
        <w:t>供应商</w:t>
      </w:r>
      <w:r>
        <w:rPr>
          <w:rFonts w:hint="eastAsia" w:ascii="仿宋_GB2312" w:hAnsi="仿宋_GB2312" w:eastAsia="仿宋_GB2312" w:cs="仿宋_GB2312"/>
          <w:sz w:val="32"/>
          <w:szCs w:val="32"/>
        </w:rPr>
        <w:t>的资格进行审查，详见《资格性</w:t>
      </w:r>
      <w:r>
        <w:rPr>
          <w:rFonts w:hint="eastAsia" w:ascii="仿宋_GB2312" w:hAnsi="仿宋_GB2312" w:eastAsia="仿宋_GB2312" w:cs="仿宋_GB2312"/>
          <w:sz w:val="32"/>
          <w:szCs w:val="32"/>
          <w:lang w:val="en-US" w:eastAsia="zh-CN"/>
        </w:rPr>
        <w:t>审查</w:t>
      </w:r>
      <w:r>
        <w:rPr>
          <w:rFonts w:hint="eastAsia" w:ascii="仿宋_GB2312" w:hAnsi="仿宋_GB2312" w:eastAsia="仿宋_GB2312" w:cs="仿宋_GB2312"/>
          <w:sz w:val="32"/>
          <w:szCs w:val="32"/>
        </w:rPr>
        <w:t>表》。未通过资格性审查的</w:t>
      </w:r>
      <w:r>
        <w:rPr>
          <w:rFonts w:hint="eastAsia" w:ascii="仿宋_GB2312" w:hAnsi="仿宋_GB2312" w:eastAsia="仿宋_GB2312" w:cs="仿宋_GB2312"/>
          <w:sz w:val="32"/>
          <w:szCs w:val="32"/>
          <w:lang w:eastAsia="zh-CN"/>
        </w:rPr>
        <w:t>供应商</w:t>
      </w:r>
      <w:r>
        <w:rPr>
          <w:rFonts w:hint="eastAsia" w:ascii="仿宋_GB2312" w:hAnsi="仿宋_GB2312" w:eastAsia="仿宋_GB2312" w:cs="仿宋_GB2312"/>
          <w:sz w:val="32"/>
          <w:szCs w:val="32"/>
        </w:rPr>
        <w:t>，不进入评审程序。</w:t>
      </w:r>
    </w:p>
    <w:p w14:paraId="1AEB5092">
      <w:pPr>
        <w:spacing w:line="596"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3.详细评审：评审小组对资格性审查合格的报价文件进行评审。供应商给予不少于二次的报价。具体评审要求详见《评分表》。</w:t>
      </w:r>
    </w:p>
    <w:p w14:paraId="0064B42A">
      <w:pPr>
        <w:widowControl/>
        <w:snapToGrid w:val="0"/>
        <w:spacing w:line="596" w:lineRule="exact"/>
        <w:ind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评审时，评审小组各成员应当独立对每个</w:t>
      </w:r>
      <w:r>
        <w:rPr>
          <w:rFonts w:hint="eastAsia" w:ascii="仿宋_GB2312" w:hAnsi="仿宋_GB2312" w:eastAsia="仿宋_GB2312" w:cs="仿宋_GB2312"/>
          <w:sz w:val="32"/>
          <w:szCs w:val="32"/>
          <w:lang w:eastAsia="zh-CN"/>
        </w:rPr>
        <w:t>供应商</w:t>
      </w:r>
      <w:r>
        <w:rPr>
          <w:rFonts w:hint="eastAsia" w:ascii="仿宋_GB2312" w:hAnsi="仿宋_GB2312" w:eastAsia="仿宋_GB2312" w:cs="仿宋_GB2312"/>
          <w:sz w:val="32"/>
          <w:szCs w:val="32"/>
        </w:rPr>
        <w:t>的报价文件进行评价，并汇总每个供应商的得分。</w:t>
      </w:r>
    </w:p>
    <w:p w14:paraId="277010E8">
      <w:pPr>
        <w:ind w:firstLine="643" w:firstLineChars="200"/>
        <w:jc w:val="left"/>
        <w:rPr>
          <w:rFonts w:hint="eastAsia" w:ascii="楷体_GB2312" w:hAnsi="仿宋" w:eastAsia="楷体_GB2312" w:cs="仿宋"/>
          <w:b/>
          <w:bCs/>
          <w:sz w:val="32"/>
          <w:lang w:bidi="ar"/>
        </w:rPr>
      </w:pPr>
      <w:r>
        <w:rPr>
          <w:rFonts w:hint="eastAsia" w:ascii="楷体_GB2312" w:hAnsi="仿宋" w:eastAsia="楷体_GB2312" w:cs="仿宋"/>
          <w:b/>
          <w:bCs/>
          <w:sz w:val="32"/>
          <w:lang w:eastAsia="zh-CN" w:bidi="ar"/>
        </w:rPr>
        <w:t>（三）</w:t>
      </w:r>
      <w:r>
        <w:rPr>
          <w:rFonts w:hint="eastAsia" w:ascii="楷体_GB2312" w:hAnsi="仿宋" w:eastAsia="楷体_GB2312" w:cs="仿宋"/>
          <w:b/>
          <w:bCs/>
          <w:sz w:val="32"/>
          <w:lang w:bidi="ar"/>
        </w:rPr>
        <w:t>评</w:t>
      </w:r>
      <w:r>
        <w:rPr>
          <w:rFonts w:hint="eastAsia" w:ascii="楷体_GB2312" w:hAnsi="仿宋" w:eastAsia="楷体_GB2312" w:cs="仿宋"/>
          <w:b/>
          <w:bCs/>
          <w:sz w:val="32"/>
          <w:lang w:val="en-US" w:eastAsia="zh-CN" w:bidi="ar"/>
        </w:rPr>
        <w:t>分</w:t>
      </w:r>
      <w:r>
        <w:rPr>
          <w:rFonts w:hint="eastAsia" w:ascii="楷体_GB2312" w:hAnsi="仿宋" w:eastAsia="楷体_GB2312" w:cs="仿宋"/>
          <w:b/>
          <w:bCs/>
          <w:sz w:val="32"/>
          <w:lang w:bidi="ar"/>
        </w:rPr>
        <w:t>方法</w:t>
      </w:r>
    </w:p>
    <w:p w14:paraId="42FDEF0F">
      <w:pPr>
        <w:ind w:firstLine="640" w:firstLineChars="200"/>
        <w:rPr>
          <w:rFonts w:hint="eastAsia" w:ascii="仿宋_GB2312" w:hAnsi="仿宋" w:eastAsia="仿宋_GB2312"/>
          <w:sz w:val="32"/>
          <w:szCs w:val="32"/>
        </w:rPr>
      </w:pPr>
      <w:r>
        <w:rPr>
          <w:rFonts w:hint="eastAsia" w:ascii="仿宋_GB2312" w:eastAsia="仿宋_GB2312" w:cs="仿宋_GB2312"/>
          <w:sz w:val="32"/>
          <w:szCs w:val="32"/>
        </w:rPr>
        <w:t>采用综合评分方法</w:t>
      </w:r>
      <w:r>
        <w:rPr>
          <w:rFonts w:hint="eastAsia" w:ascii="仿宋_GB2312" w:eastAsia="仿宋_GB2312" w:cs="仿宋_GB2312"/>
          <w:sz w:val="32"/>
          <w:szCs w:val="32"/>
          <w:lang w:eastAsia="zh-CN"/>
        </w:rPr>
        <w:t>，</w:t>
      </w:r>
      <w:r>
        <w:rPr>
          <w:rFonts w:hint="eastAsia" w:ascii="仿宋_GB2312" w:eastAsia="仿宋_GB2312" w:cs="仿宋_GB2312"/>
          <w:sz w:val="32"/>
          <w:szCs w:val="32"/>
        </w:rPr>
        <w:t>评审小组各成员根据评审办法并结合</w:t>
      </w:r>
      <w:r>
        <w:rPr>
          <w:rFonts w:hint="eastAsia" w:ascii="仿宋_GB2312" w:eastAsia="仿宋_GB2312" w:cs="仿宋_GB2312"/>
          <w:sz w:val="32"/>
          <w:szCs w:val="32"/>
          <w:lang w:eastAsia="zh-CN"/>
        </w:rPr>
        <w:t>供应商</w:t>
      </w:r>
      <w:r>
        <w:rPr>
          <w:rFonts w:hint="eastAsia" w:ascii="仿宋_GB2312" w:eastAsia="仿宋_GB2312" w:cs="仿宋_GB2312"/>
          <w:sz w:val="32"/>
          <w:szCs w:val="32"/>
        </w:rPr>
        <w:t>实际情况分别就各项指标进行独立打分。对各个评审小组成员的</w:t>
      </w:r>
      <w:r>
        <w:rPr>
          <w:rFonts w:hint="eastAsia" w:ascii="仿宋_GB2312" w:eastAsia="仿宋_GB2312" w:cs="仿宋_GB2312"/>
          <w:sz w:val="32"/>
          <w:szCs w:val="32"/>
          <w:lang w:eastAsia="zh-CN"/>
        </w:rPr>
        <w:t>评</w:t>
      </w:r>
      <w:r>
        <w:rPr>
          <w:rFonts w:hint="eastAsia" w:ascii="仿宋_GB2312" w:eastAsia="仿宋_GB2312" w:cs="仿宋_GB2312"/>
          <w:sz w:val="32"/>
          <w:szCs w:val="32"/>
        </w:rPr>
        <w:t>分</w:t>
      </w:r>
      <w:r>
        <w:rPr>
          <w:rFonts w:hint="eastAsia" w:ascii="仿宋_GB2312" w:eastAsia="仿宋_GB2312" w:cs="仿宋_GB2312"/>
          <w:sz w:val="32"/>
          <w:szCs w:val="32"/>
          <w:lang w:eastAsia="zh-CN"/>
        </w:rPr>
        <w:t>得分</w:t>
      </w:r>
      <w:r>
        <w:rPr>
          <w:rFonts w:hint="eastAsia" w:ascii="仿宋_GB2312" w:eastAsia="仿宋_GB2312" w:cs="仿宋_GB2312"/>
          <w:sz w:val="32"/>
          <w:szCs w:val="32"/>
        </w:rPr>
        <w:t>取平均值。评审小组</w:t>
      </w:r>
      <w:r>
        <w:rPr>
          <w:rFonts w:hint="eastAsia" w:ascii="仿宋_GB2312" w:hAnsi="仿宋" w:eastAsia="仿宋_GB2312"/>
          <w:sz w:val="32"/>
          <w:szCs w:val="32"/>
        </w:rPr>
        <w:t>根据</w:t>
      </w:r>
      <w:r>
        <w:rPr>
          <w:rFonts w:hint="eastAsia" w:ascii="仿宋_GB2312" w:hAnsi="仿宋" w:eastAsia="仿宋_GB2312"/>
          <w:sz w:val="32"/>
          <w:szCs w:val="32"/>
          <w:lang w:eastAsia="zh-CN"/>
        </w:rPr>
        <w:t>供应商</w:t>
      </w:r>
      <w:r>
        <w:rPr>
          <w:rFonts w:hint="eastAsia" w:ascii="仿宋_GB2312" w:hAnsi="仿宋" w:eastAsia="仿宋_GB2312"/>
          <w:sz w:val="32"/>
          <w:szCs w:val="32"/>
        </w:rPr>
        <w:t>综合得分进行排名，综合得分最高者，推荐为中标候选供应商</w:t>
      </w:r>
      <w:r>
        <w:rPr>
          <w:rFonts w:hint="eastAsia" w:ascii="仿宋_GB2312" w:eastAsia="仿宋_GB2312" w:cs="仿宋_GB2312"/>
          <w:sz w:val="32"/>
          <w:szCs w:val="32"/>
        </w:rPr>
        <w:t>（综合得分相同的，按报价由低到高顺序推荐。综合得分</w:t>
      </w:r>
      <w:r>
        <w:rPr>
          <w:rFonts w:hint="eastAsia" w:ascii="仿宋_GB2312" w:eastAsia="仿宋_GB2312" w:cs="仿宋_GB2312"/>
          <w:color w:val="auto"/>
          <w:sz w:val="32"/>
          <w:szCs w:val="32"/>
          <w:lang w:val="en-US" w:eastAsia="zh-CN"/>
        </w:rPr>
        <w:t>相同</w:t>
      </w:r>
      <w:r>
        <w:rPr>
          <w:rFonts w:hint="eastAsia" w:ascii="仿宋_GB2312" w:eastAsia="仿宋_GB2312" w:cs="仿宋_GB2312"/>
          <w:color w:val="auto"/>
          <w:sz w:val="32"/>
          <w:szCs w:val="32"/>
        </w:rPr>
        <w:t>且</w:t>
      </w:r>
      <w:r>
        <w:rPr>
          <w:rFonts w:hint="eastAsia" w:ascii="仿宋_GB2312" w:eastAsia="仿宋_GB2312" w:cs="仿宋_GB2312"/>
          <w:sz w:val="32"/>
          <w:szCs w:val="32"/>
        </w:rPr>
        <w:t>最后报价相同的，供应商进行再次报价，报价最低者推荐为中标候选供应商）</w:t>
      </w:r>
      <w:r>
        <w:rPr>
          <w:rFonts w:hint="eastAsia" w:ascii="仿宋_GB2312" w:hAnsi="仿宋" w:eastAsia="仿宋_GB2312"/>
          <w:sz w:val="32"/>
          <w:szCs w:val="32"/>
        </w:rPr>
        <w:t>。</w:t>
      </w:r>
    </w:p>
    <w:p w14:paraId="7A37AA46">
      <w:pPr>
        <w:ind w:firstLine="640" w:firstLineChars="200"/>
        <w:jc w:val="left"/>
        <w:rPr>
          <w:rFonts w:ascii="黑体" w:hAnsi="黑体" w:eastAsia="黑体" w:cs="仿宋"/>
          <w:sz w:val="32"/>
          <w:lang w:bidi="ar"/>
        </w:rPr>
      </w:pPr>
      <w:r>
        <w:rPr>
          <w:rFonts w:hint="eastAsia" w:ascii="黑体" w:hAnsi="黑体" w:eastAsia="黑体" w:cs="仿宋"/>
          <w:sz w:val="32"/>
          <w:lang w:bidi="ar"/>
        </w:rPr>
        <w:t>二、评审结果公示</w:t>
      </w:r>
    </w:p>
    <w:p w14:paraId="2BD79F78">
      <w:pPr>
        <w:spacing w:line="596" w:lineRule="exact"/>
        <w:ind w:firstLine="640" w:firstLineChars="200"/>
        <w:rPr>
          <w:sz w:val="28"/>
          <w:szCs w:val="28"/>
        </w:rPr>
      </w:pPr>
      <w:r>
        <w:rPr>
          <w:rFonts w:hint="eastAsia" w:ascii="仿宋_GB2312" w:hAnsi="仿宋_GB2312" w:eastAsia="仿宋_GB2312" w:cs="仿宋_GB2312"/>
          <w:sz w:val="32"/>
          <w:szCs w:val="32"/>
          <w:highlight w:val="none"/>
          <w:lang w:val="en-US" w:eastAsia="zh-CN"/>
        </w:rPr>
        <w:t>评审工作结束后</w:t>
      </w:r>
      <w:r>
        <w:rPr>
          <w:rFonts w:hint="eastAsia" w:ascii="仿宋_GB2312" w:hAnsi="仿宋_GB2312" w:eastAsia="仿宋_GB2312" w:cs="仿宋_GB2312"/>
          <w:sz w:val="32"/>
          <w:szCs w:val="32"/>
          <w:highlight w:val="none"/>
        </w:rPr>
        <w:t>，在</w:t>
      </w:r>
      <w:r>
        <w:rPr>
          <w:rFonts w:hint="eastAsia" w:ascii="仿宋_GB2312" w:hAnsi="仿宋_GB2312" w:eastAsia="仿宋_GB2312" w:cs="仿宋_GB2312"/>
          <w:sz w:val="32"/>
          <w:szCs w:val="32"/>
          <w:highlight w:val="none"/>
          <w:lang w:val="en-US" w:eastAsia="zh-CN"/>
        </w:rPr>
        <w:t>江门市政府门户网站江门市农业农村局频道</w:t>
      </w:r>
      <w:r>
        <w:rPr>
          <w:rFonts w:hint="eastAsia" w:ascii="仿宋_GB2312" w:hAnsi="仿宋_GB2312" w:eastAsia="仿宋_GB2312" w:cs="仿宋_GB2312"/>
          <w:sz w:val="32"/>
          <w:szCs w:val="32"/>
          <w:highlight w:val="none"/>
        </w:rPr>
        <w:t>上对</w:t>
      </w:r>
      <w:r>
        <w:rPr>
          <w:rFonts w:hint="eastAsia" w:ascii="仿宋_GB2312" w:hAnsi="仿宋_GB2312" w:eastAsia="仿宋_GB2312" w:cs="仿宋_GB2312"/>
          <w:sz w:val="32"/>
          <w:szCs w:val="32"/>
          <w:highlight w:val="none"/>
          <w:lang w:val="en-US" w:eastAsia="zh-CN"/>
        </w:rPr>
        <w:t>评审</w:t>
      </w:r>
      <w:r>
        <w:rPr>
          <w:rFonts w:hint="eastAsia" w:ascii="仿宋_GB2312" w:hAnsi="仿宋_GB2312" w:eastAsia="仿宋_GB2312" w:cs="仿宋_GB2312"/>
          <w:sz w:val="32"/>
          <w:szCs w:val="32"/>
          <w:highlight w:val="none"/>
        </w:rPr>
        <w:t>结果进行公示，公示期</w:t>
      </w:r>
      <w:r>
        <w:rPr>
          <w:rFonts w:hint="eastAsia" w:ascii="仿宋_GB2312" w:hAnsi="仿宋_GB2312" w:eastAsia="仿宋_GB2312" w:cs="仿宋_GB2312"/>
          <w:sz w:val="32"/>
          <w:szCs w:val="32"/>
          <w:highlight w:val="none"/>
          <w:lang w:val="en-US" w:eastAsia="zh-CN"/>
        </w:rPr>
        <w:t>5个工作</w:t>
      </w:r>
      <w:r>
        <w:rPr>
          <w:rFonts w:hint="eastAsia" w:ascii="仿宋_GB2312" w:hAnsi="仿宋_GB2312" w:eastAsia="仿宋_GB2312" w:cs="仿宋_GB2312"/>
          <w:sz w:val="32"/>
          <w:szCs w:val="32"/>
          <w:highlight w:val="none"/>
          <w:lang w:eastAsia="zh-CN"/>
        </w:rPr>
        <w:t>日</w:t>
      </w:r>
      <w:r>
        <w:rPr>
          <w:rFonts w:hint="eastAsia" w:ascii="仿宋_GB2312" w:hAnsi="仿宋_GB2312" w:eastAsia="仿宋_GB2312" w:cs="仿宋_GB2312"/>
          <w:sz w:val="32"/>
          <w:szCs w:val="32"/>
          <w:highlight w:val="none"/>
        </w:rPr>
        <w:t>。</w:t>
      </w:r>
    </w:p>
    <w:p w14:paraId="636008CE">
      <w:pPr>
        <w:ind w:firstLine="640" w:firstLineChars="200"/>
        <w:rPr>
          <w:rFonts w:hint="eastAsia" w:ascii="仿宋_GB2312" w:hAnsi="仿宋" w:eastAsia="仿宋_GB2312"/>
          <w:sz w:val="32"/>
          <w:szCs w:val="32"/>
        </w:rPr>
      </w:pPr>
    </w:p>
    <w:p w14:paraId="5626B3D2">
      <w:pPr>
        <w:ind w:firstLine="640" w:firstLineChars="200"/>
        <w:rPr>
          <w:rFonts w:hint="eastAsia" w:ascii="仿宋_GB2312" w:hAnsi="仿宋" w:eastAsia="仿宋_GB2312"/>
          <w:sz w:val="32"/>
          <w:szCs w:val="32"/>
        </w:rPr>
      </w:pPr>
    </w:p>
    <w:p w14:paraId="3DF6919D">
      <w:pPr>
        <w:ind w:firstLine="640" w:firstLineChars="200"/>
        <w:rPr>
          <w:rFonts w:hint="eastAsia" w:ascii="仿宋_GB2312" w:hAnsi="仿宋" w:eastAsia="仿宋_GB2312"/>
          <w:sz w:val="32"/>
          <w:szCs w:val="32"/>
        </w:rPr>
      </w:pPr>
    </w:p>
    <w:p w14:paraId="06923813">
      <w:pPr>
        <w:ind w:firstLine="640" w:firstLineChars="200"/>
        <w:rPr>
          <w:rFonts w:hint="eastAsia" w:ascii="仿宋_GB2312" w:hAnsi="仿宋" w:eastAsia="仿宋_GB2312"/>
          <w:sz w:val="32"/>
          <w:szCs w:val="32"/>
        </w:rPr>
      </w:pPr>
    </w:p>
    <w:p w14:paraId="4834BD33">
      <w:pPr>
        <w:ind w:firstLine="640" w:firstLineChars="200"/>
        <w:rPr>
          <w:rFonts w:hint="eastAsia" w:ascii="仿宋_GB2312" w:hAnsi="仿宋" w:eastAsia="仿宋_GB2312"/>
          <w:sz w:val="32"/>
          <w:szCs w:val="32"/>
        </w:rPr>
      </w:pPr>
    </w:p>
    <w:p w14:paraId="28AA26F9">
      <w:pPr>
        <w:ind w:firstLine="640" w:firstLineChars="200"/>
        <w:rPr>
          <w:rFonts w:hint="eastAsia" w:ascii="仿宋_GB2312" w:hAnsi="仿宋_GB2312" w:eastAsia="仿宋_GB2312" w:cs="仿宋_GB2312"/>
          <w:color w:val="auto"/>
          <w:sz w:val="32"/>
          <w:szCs w:val="32"/>
          <w:highlight w:val="none"/>
          <w:lang w:val="en-US" w:eastAsia="zh-CN"/>
        </w:rPr>
      </w:pPr>
    </w:p>
    <w:p w14:paraId="07CCB17D">
      <w:pPr>
        <w:spacing w:line="560" w:lineRule="exact"/>
        <w:jc w:val="center"/>
        <w:rPr>
          <w:rFonts w:hint="eastAsia" w:ascii="楷体" w:hAnsi="楷体" w:eastAsia="楷体" w:cs="楷体"/>
          <w:color w:val="auto"/>
          <w:sz w:val="32"/>
          <w:szCs w:val="32"/>
          <w:highlight w:val="none"/>
        </w:rPr>
      </w:pPr>
      <w:r>
        <w:rPr>
          <w:rFonts w:hint="eastAsia" w:ascii="楷体" w:hAnsi="楷体" w:eastAsia="楷体" w:cs="楷体"/>
          <w:color w:val="auto"/>
          <w:sz w:val="32"/>
          <w:szCs w:val="32"/>
          <w:highlight w:val="none"/>
        </w:rPr>
        <w:t>表1：资格性</w:t>
      </w:r>
      <w:r>
        <w:rPr>
          <w:rFonts w:hint="eastAsia" w:ascii="楷体" w:hAnsi="楷体" w:eastAsia="楷体" w:cs="楷体"/>
          <w:color w:val="auto"/>
          <w:sz w:val="32"/>
          <w:szCs w:val="32"/>
          <w:highlight w:val="none"/>
          <w:lang w:val="en-US" w:eastAsia="zh-CN"/>
        </w:rPr>
        <w:t>审查</w:t>
      </w:r>
      <w:r>
        <w:rPr>
          <w:rFonts w:hint="eastAsia" w:ascii="楷体" w:hAnsi="楷体" w:eastAsia="楷体" w:cs="楷体"/>
          <w:color w:val="auto"/>
          <w:sz w:val="32"/>
          <w:szCs w:val="32"/>
          <w:highlight w:val="none"/>
        </w:rPr>
        <w:t>表</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8"/>
        <w:gridCol w:w="7561"/>
      </w:tblGrid>
      <w:tr w14:paraId="77172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2" w:hRule="atLeast"/>
          <w:jc w:val="center"/>
        </w:trPr>
        <w:tc>
          <w:tcPr>
            <w:tcW w:w="978" w:type="dxa"/>
            <w:noWrap w:val="0"/>
            <w:vAlign w:val="center"/>
          </w:tcPr>
          <w:p w14:paraId="7DA9808A">
            <w:pPr>
              <w:spacing w:line="400" w:lineRule="exact"/>
              <w:jc w:val="cente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序号</w:t>
            </w:r>
          </w:p>
        </w:tc>
        <w:tc>
          <w:tcPr>
            <w:tcW w:w="7561" w:type="dxa"/>
            <w:noWrap w:val="0"/>
            <w:vAlign w:val="center"/>
          </w:tcPr>
          <w:p w14:paraId="13965E09">
            <w:pPr>
              <w:spacing w:line="400" w:lineRule="exact"/>
              <w:jc w:val="cente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评 审 内 容</w:t>
            </w:r>
          </w:p>
        </w:tc>
      </w:tr>
      <w:tr w14:paraId="63ADB5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30" w:hRule="atLeast"/>
          <w:jc w:val="center"/>
        </w:trPr>
        <w:tc>
          <w:tcPr>
            <w:tcW w:w="978" w:type="dxa"/>
            <w:noWrap w:val="0"/>
            <w:vAlign w:val="center"/>
          </w:tcPr>
          <w:p w14:paraId="23401C6C">
            <w:pPr>
              <w:pStyle w:val="8"/>
              <w:spacing w:line="400" w:lineRule="exact"/>
              <w:jc w:val="center"/>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1</w:t>
            </w:r>
          </w:p>
        </w:tc>
        <w:tc>
          <w:tcPr>
            <w:tcW w:w="7561" w:type="dxa"/>
            <w:noWrap w:val="0"/>
            <w:vAlign w:val="center"/>
          </w:tcPr>
          <w:p w14:paraId="2FD516D8">
            <w:pPr>
              <w:pStyle w:val="8"/>
              <w:spacing w:line="400" w:lineRule="exact"/>
              <w:jc w:val="both"/>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提供在中华人民共和国境内注册的法人或其他组织的营业执照或事业单位法人证书或社会团体法人登记证书复印件并加盖公章；如国家另有规定的，则从其规定；</w:t>
            </w:r>
          </w:p>
        </w:tc>
      </w:tr>
      <w:tr w14:paraId="69F28C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30" w:hRule="atLeast"/>
          <w:jc w:val="center"/>
        </w:trPr>
        <w:tc>
          <w:tcPr>
            <w:tcW w:w="978" w:type="dxa"/>
            <w:noWrap w:val="0"/>
            <w:vAlign w:val="center"/>
          </w:tcPr>
          <w:p w14:paraId="3C1293BE">
            <w:pPr>
              <w:pStyle w:val="8"/>
              <w:spacing w:line="400" w:lineRule="exact"/>
              <w:jc w:val="center"/>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2</w:t>
            </w:r>
          </w:p>
        </w:tc>
        <w:tc>
          <w:tcPr>
            <w:tcW w:w="7561" w:type="dxa"/>
            <w:noWrap w:val="0"/>
            <w:vAlign w:val="center"/>
          </w:tcPr>
          <w:p w14:paraId="4D0399A1">
            <w:pPr>
              <w:pStyle w:val="8"/>
              <w:spacing w:line="400" w:lineRule="exact"/>
              <w:jc w:val="both"/>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投标方不处于广东省政府采购网（https://gdgpo.czt.gd.gov.cn/）禁止参加政府采购活动时间范围内，提供自查的网页截屏并盖具公章；</w:t>
            </w:r>
          </w:p>
        </w:tc>
      </w:tr>
      <w:tr w14:paraId="560680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57" w:hRule="atLeast"/>
          <w:jc w:val="center"/>
        </w:trPr>
        <w:tc>
          <w:tcPr>
            <w:tcW w:w="978" w:type="dxa"/>
            <w:noWrap w:val="0"/>
            <w:vAlign w:val="center"/>
          </w:tcPr>
          <w:p w14:paraId="56613404">
            <w:pPr>
              <w:pStyle w:val="8"/>
              <w:spacing w:line="400" w:lineRule="exact"/>
              <w:jc w:val="center"/>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3</w:t>
            </w:r>
          </w:p>
        </w:tc>
        <w:tc>
          <w:tcPr>
            <w:tcW w:w="7561" w:type="dxa"/>
            <w:noWrap w:val="0"/>
            <w:vAlign w:val="center"/>
          </w:tcPr>
          <w:p w14:paraId="713B1AC0">
            <w:pPr>
              <w:pStyle w:val="8"/>
              <w:spacing w:line="400" w:lineRule="exact"/>
              <w:jc w:val="both"/>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投标方未被列入“信用中国”网站(</w:t>
            </w:r>
            <w:r>
              <w:rPr>
                <w:rFonts w:hint="eastAsia" w:ascii="仿宋" w:hAnsi="仿宋" w:eastAsia="仿宋" w:cs="仿宋"/>
                <w:color w:val="auto"/>
                <w:kern w:val="0"/>
                <w:sz w:val="28"/>
                <w:szCs w:val="28"/>
                <w:highlight w:val="none"/>
                <w:lang w:val="en-US" w:eastAsia="zh-CN"/>
              </w:rPr>
              <w:fldChar w:fldCharType="begin"/>
            </w:r>
            <w:r>
              <w:rPr>
                <w:rFonts w:hint="eastAsia" w:ascii="仿宋" w:hAnsi="仿宋" w:eastAsia="仿宋" w:cs="仿宋"/>
                <w:color w:val="auto"/>
                <w:kern w:val="0"/>
                <w:sz w:val="28"/>
                <w:szCs w:val="28"/>
                <w:highlight w:val="none"/>
                <w:lang w:val="en-US" w:eastAsia="zh-CN"/>
              </w:rPr>
              <w:instrText xml:space="preserve"> HYPERLINK "http://www.creditchina.gov.cn" </w:instrText>
            </w:r>
            <w:r>
              <w:rPr>
                <w:rFonts w:hint="eastAsia" w:ascii="仿宋" w:hAnsi="仿宋" w:eastAsia="仿宋" w:cs="仿宋"/>
                <w:color w:val="auto"/>
                <w:kern w:val="0"/>
                <w:sz w:val="28"/>
                <w:szCs w:val="28"/>
                <w:highlight w:val="none"/>
                <w:lang w:val="en-US" w:eastAsia="zh-CN"/>
              </w:rPr>
              <w:fldChar w:fldCharType="separate"/>
            </w:r>
            <w:r>
              <w:rPr>
                <w:rFonts w:hint="eastAsia" w:ascii="仿宋" w:hAnsi="仿宋" w:eastAsia="仿宋" w:cs="仿宋"/>
                <w:color w:val="auto"/>
                <w:kern w:val="0"/>
                <w:sz w:val="28"/>
                <w:szCs w:val="28"/>
                <w:highlight w:val="none"/>
                <w:lang w:val="en-US" w:eastAsia="zh-CN"/>
              </w:rPr>
              <w:t>www.creditchina.gov.cn</w:t>
            </w:r>
            <w:r>
              <w:rPr>
                <w:rFonts w:hint="eastAsia" w:ascii="仿宋" w:hAnsi="仿宋" w:eastAsia="仿宋" w:cs="仿宋"/>
                <w:color w:val="auto"/>
                <w:kern w:val="0"/>
                <w:sz w:val="28"/>
                <w:szCs w:val="28"/>
                <w:highlight w:val="none"/>
                <w:lang w:val="en-US" w:eastAsia="zh-CN"/>
              </w:rPr>
              <w:fldChar w:fldCharType="end"/>
            </w:r>
            <w:r>
              <w:rPr>
                <w:rFonts w:hint="eastAsia" w:ascii="仿宋" w:hAnsi="仿宋" w:eastAsia="仿宋" w:cs="仿宋"/>
                <w:color w:val="auto"/>
                <w:kern w:val="0"/>
                <w:sz w:val="28"/>
                <w:szCs w:val="28"/>
                <w:highlight w:val="none"/>
                <w:lang w:val="en-US" w:eastAsia="zh-CN"/>
              </w:rPr>
              <w:t>)以下任何记录名单之一：①失信被执行人；②重大税收违法案件当事人名单；③政府采购严重违法失信行为，提供自查的网页截屏并盖具公章。</w:t>
            </w:r>
          </w:p>
        </w:tc>
      </w:tr>
      <w:tr w14:paraId="4F07B3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57" w:hRule="atLeast"/>
          <w:jc w:val="center"/>
        </w:trPr>
        <w:tc>
          <w:tcPr>
            <w:tcW w:w="978" w:type="dxa"/>
            <w:noWrap w:val="0"/>
            <w:vAlign w:val="center"/>
          </w:tcPr>
          <w:p w14:paraId="1C66EF76">
            <w:pPr>
              <w:pStyle w:val="8"/>
              <w:spacing w:line="400" w:lineRule="exact"/>
              <w:jc w:val="center"/>
              <w:rPr>
                <w:rFonts w:hint="default" w:ascii="仿宋" w:hAnsi="仿宋" w:eastAsia="仿宋" w:cs="仿宋"/>
                <w:color w:val="auto"/>
                <w:kern w:val="0"/>
                <w:sz w:val="28"/>
                <w:szCs w:val="28"/>
                <w:highlight w:val="none"/>
                <w:lang w:eastAsia="zh-CN"/>
              </w:rPr>
            </w:pPr>
            <w:r>
              <w:rPr>
                <w:rFonts w:hint="default" w:ascii="仿宋" w:hAnsi="仿宋" w:eastAsia="仿宋" w:cs="仿宋"/>
                <w:color w:val="auto"/>
                <w:kern w:val="0"/>
                <w:sz w:val="28"/>
                <w:szCs w:val="28"/>
                <w:highlight w:val="none"/>
                <w:lang w:eastAsia="zh-CN"/>
              </w:rPr>
              <w:t>4</w:t>
            </w:r>
          </w:p>
        </w:tc>
        <w:tc>
          <w:tcPr>
            <w:tcW w:w="7561" w:type="dxa"/>
            <w:noWrap w:val="0"/>
            <w:vAlign w:val="center"/>
          </w:tcPr>
          <w:p w14:paraId="6D09DB76">
            <w:pPr>
              <w:pStyle w:val="8"/>
              <w:spacing w:line="400" w:lineRule="exact"/>
              <w:jc w:val="both"/>
              <w:rPr>
                <w:rFonts w:hint="default" w:ascii="仿宋" w:hAnsi="仿宋" w:eastAsia="仿宋" w:cs="仿宋"/>
                <w:color w:val="auto"/>
                <w:kern w:val="0"/>
                <w:sz w:val="28"/>
                <w:szCs w:val="28"/>
                <w:highlight w:val="none"/>
                <w:lang w:eastAsia="zh-CN"/>
              </w:rPr>
            </w:pPr>
            <w:r>
              <w:rPr>
                <w:rFonts w:hint="default" w:ascii="仿宋" w:hAnsi="仿宋" w:eastAsia="仿宋" w:cs="仿宋"/>
                <w:color w:val="auto"/>
                <w:kern w:val="0"/>
                <w:sz w:val="28"/>
                <w:szCs w:val="28"/>
                <w:highlight w:val="none"/>
                <w:lang w:eastAsia="zh-CN"/>
              </w:rPr>
              <w:t>本项目不接受联合体提供报价；</w:t>
            </w:r>
            <w:r>
              <w:rPr>
                <w:rFonts w:hint="eastAsia" w:ascii="仿宋" w:hAnsi="仿宋" w:eastAsia="仿宋" w:cs="仿宋"/>
                <w:color w:val="auto"/>
                <w:kern w:val="0"/>
                <w:sz w:val="28"/>
                <w:szCs w:val="28"/>
                <w:highlight w:val="none"/>
                <w:lang w:eastAsia="zh-CN"/>
              </w:rPr>
              <w:t>投标人所提供的产品必须符合本项目内容所需的要求；投标人需严格按照本公告及相关附件要求提供报价资料及相关佐证证明。</w:t>
            </w:r>
          </w:p>
        </w:tc>
      </w:tr>
    </w:tbl>
    <w:p w14:paraId="6C197762">
      <w:pPr>
        <w:spacing w:line="596" w:lineRule="exact"/>
        <w:ind w:firstLine="640" w:firstLineChars="200"/>
        <w:rPr>
          <w:rFonts w:hint="eastAsia" w:ascii="楷体" w:hAnsi="楷体" w:eastAsia="仿宋_GB2312" w:cs="楷体"/>
          <w:color w:val="auto"/>
          <w:sz w:val="32"/>
          <w:szCs w:val="32"/>
          <w:highlight w:val="none"/>
          <w:lang w:val="en-US" w:eastAsia="zh-CN"/>
        </w:rPr>
      </w:pPr>
    </w:p>
    <w:p w14:paraId="7296A8F4">
      <w:pPr>
        <w:spacing w:line="596" w:lineRule="exact"/>
        <w:ind w:firstLine="640" w:firstLineChars="200"/>
        <w:rPr>
          <w:rFonts w:hint="eastAsia" w:ascii="楷体" w:hAnsi="楷体" w:eastAsia="仿宋_GB2312" w:cs="楷体"/>
          <w:color w:val="auto"/>
          <w:sz w:val="32"/>
          <w:szCs w:val="32"/>
          <w:highlight w:val="none"/>
          <w:lang w:val="en-US" w:eastAsia="zh-CN"/>
        </w:rPr>
      </w:pPr>
    </w:p>
    <w:p w14:paraId="2A6E8934">
      <w:pPr>
        <w:spacing w:line="596" w:lineRule="exact"/>
        <w:ind w:firstLine="640" w:firstLineChars="200"/>
        <w:rPr>
          <w:rFonts w:hint="eastAsia" w:ascii="楷体" w:hAnsi="楷体" w:eastAsia="仿宋_GB2312" w:cs="楷体"/>
          <w:color w:val="auto"/>
          <w:sz w:val="32"/>
          <w:szCs w:val="32"/>
          <w:highlight w:val="none"/>
          <w:lang w:val="en-US" w:eastAsia="zh-CN"/>
        </w:rPr>
      </w:pPr>
    </w:p>
    <w:p w14:paraId="6CF5E7CD">
      <w:pPr>
        <w:spacing w:line="596" w:lineRule="exact"/>
        <w:ind w:firstLine="640" w:firstLineChars="200"/>
        <w:rPr>
          <w:rFonts w:hint="eastAsia" w:ascii="楷体" w:hAnsi="楷体" w:eastAsia="仿宋_GB2312" w:cs="楷体"/>
          <w:color w:val="auto"/>
          <w:sz w:val="32"/>
          <w:szCs w:val="32"/>
          <w:highlight w:val="none"/>
          <w:lang w:val="en-US" w:eastAsia="zh-CN"/>
        </w:rPr>
      </w:pPr>
    </w:p>
    <w:p w14:paraId="6E2068A5">
      <w:pPr>
        <w:spacing w:line="596" w:lineRule="exact"/>
        <w:ind w:firstLine="640" w:firstLineChars="200"/>
        <w:rPr>
          <w:rFonts w:hint="eastAsia" w:ascii="楷体" w:hAnsi="楷体" w:eastAsia="仿宋_GB2312" w:cs="楷体"/>
          <w:color w:val="auto"/>
          <w:sz w:val="32"/>
          <w:szCs w:val="32"/>
          <w:highlight w:val="none"/>
          <w:lang w:val="en-US" w:eastAsia="zh-CN"/>
        </w:rPr>
      </w:pPr>
    </w:p>
    <w:p w14:paraId="1E4DD6C2">
      <w:pPr>
        <w:spacing w:line="596" w:lineRule="exact"/>
        <w:ind w:firstLine="0" w:firstLineChars="0"/>
        <w:rPr>
          <w:rFonts w:hint="eastAsia" w:ascii="楷体" w:hAnsi="楷体" w:eastAsia="仿宋_GB2312" w:cs="楷体"/>
          <w:color w:val="auto"/>
          <w:sz w:val="32"/>
          <w:szCs w:val="32"/>
          <w:highlight w:val="none"/>
          <w:lang w:val="en-US" w:eastAsia="zh-CN"/>
        </w:rPr>
      </w:pPr>
    </w:p>
    <w:p w14:paraId="62937467">
      <w:pPr>
        <w:spacing w:line="560" w:lineRule="exact"/>
        <w:ind w:firstLine="640" w:firstLineChars="200"/>
        <w:jc w:val="center"/>
        <w:rPr>
          <w:rFonts w:ascii="楷体" w:hAnsi="楷体" w:eastAsia="楷体" w:cs="楷体"/>
          <w:color w:val="auto"/>
          <w:sz w:val="32"/>
          <w:szCs w:val="32"/>
          <w:highlight w:val="none"/>
        </w:rPr>
      </w:pPr>
      <w:r>
        <w:rPr>
          <w:rFonts w:hint="eastAsia" w:ascii="楷体" w:hAnsi="楷体" w:eastAsia="楷体" w:cs="楷体"/>
          <w:color w:val="auto"/>
          <w:sz w:val="32"/>
          <w:szCs w:val="32"/>
          <w:highlight w:val="none"/>
          <w:lang w:val="en-US" w:eastAsia="zh-CN"/>
        </w:rPr>
        <w:t>表2：</w:t>
      </w:r>
      <w:r>
        <w:rPr>
          <w:rFonts w:hint="eastAsia" w:ascii="楷体" w:hAnsi="楷体" w:eastAsia="楷体" w:cs="楷体"/>
          <w:color w:val="auto"/>
          <w:sz w:val="32"/>
          <w:szCs w:val="32"/>
          <w:highlight w:val="none"/>
        </w:rPr>
        <w:t>评分</w:t>
      </w:r>
      <w:r>
        <w:rPr>
          <w:rFonts w:hint="eastAsia" w:ascii="楷体" w:hAnsi="楷体" w:eastAsia="楷体" w:cs="楷体"/>
          <w:color w:val="auto"/>
          <w:sz w:val="32"/>
          <w:szCs w:val="32"/>
          <w:highlight w:val="none"/>
          <w:lang w:val="en-US" w:eastAsia="zh-CN"/>
        </w:rPr>
        <w:t>表</w:t>
      </w:r>
      <w:r>
        <w:rPr>
          <w:rFonts w:hint="eastAsia" w:ascii="楷体" w:hAnsi="楷体" w:eastAsia="楷体" w:cs="楷体"/>
          <w:color w:val="auto"/>
          <w:sz w:val="32"/>
          <w:szCs w:val="32"/>
          <w:highlight w:val="none"/>
        </w:rPr>
        <w:t>（共</w:t>
      </w:r>
      <w:r>
        <w:rPr>
          <w:rFonts w:hint="eastAsia" w:ascii="楷体" w:hAnsi="楷体" w:eastAsia="楷体" w:cs="楷体"/>
          <w:color w:val="auto"/>
          <w:sz w:val="32"/>
          <w:szCs w:val="32"/>
          <w:highlight w:val="none"/>
          <w:lang w:val="en-US" w:eastAsia="zh-CN"/>
        </w:rPr>
        <w:t>100</w:t>
      </w:r>
      <w:r>
        <w:rPr>
          <w:rFonts w:hint="eastAsia" w:ascii="楷体" w:hAnsi="楷体" w:eastAsia="楷体" w:cs="楷体"/>
          <w:color w:val="auto"/>
          <w:sz w:val="32"/>
          <w:szCs w:val="32"/>
          <w:highlight w:val="none"/>
        </w:rPr>
        <w:t>分）</w:t>
      </w:r>
    </w:p>
    <w:tbl>
      <w:tblPr>
        <w:tblStyle w:val="10"/>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536"/>
        <w:gridCol w:w="1822"/>
        <w:gridCol w:w="5175"/>
        <w:gridCol w:w="1168"/>
      </w:tblGrid>
      <w:tr w14:paraId="5A7FB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jc w:val="center"/>
        </w:trPr>
        <w:tc>
          <w:tcPr>
            <w:tcW w:w="536" w:type="dxa"/>
            <w:noWrap w:val="0"/>
            <w:vAlign w:val="center"/>
          </w:tcPr>
          <w:p w14:paraId="64A0CABC">
            <w:pPr>
              <w:spacing w:line="400" w:lineRule="exact"/>
              <w:jc w:val="center"/>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类别</w:t>
            </w:r>
          </w:p>
        </w:tc>
        <w:tc>
          <w:tcPr>
            <w:tcW w:w="536" w:type="dxa"/>
            <w:noWrap w:val="0"/>
            <w:vAlign w:val="center"/>
          </w:tcPr>
          <w:p w14:paraId="242F2DE0">
            <w:pPr>
              <w:spacing w:line="400" w:lineRule="exact"/>
              <w:jc w:val="cente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序号</w:t>
            </w:r>
          </w:p>
        </w:tc>
        <w:tc>
          <w:tcPr>
            <w:tcW w:w="1822" w:type="dxa"/>
            <w:noWrap w:val="0"/>
            <w:vAlign w:val="center"/>
          </w:tcPr>
          <w:p w14:paraId="2BBE85DC">
            <w:pPr>
              <w:spacing w:line="400" w:lineRule="exact"/>
              <w:jc w:val="cente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评审内容</w:t>
            </w:r>
          </w:p>
          <w:p w14:paraId="4DF096F6">
            <w:pPr>
              <w:spacing w:line="400" w:lineRule="exact"/>
              <w:jc w:val="cente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及分值</w:t>
            </w:r>
          </w:p>
        </w:tc>
        <w:tc>
          <w:tcPr>
            <w:tcW w:w="5175" w:type="dxa"/>
            <w:noWrap w:val="0"/>
            <w:vAlign w:val="center"/>
          </w:tcPr>
          <w:p w14:paraId="0546D879">
            <w:pPr>
              <w:spacing w:line="400" w:lineRule="exact"/>
              <w:jc w:val="cente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评分内容</w:t>
            </w:r>
          </w:p>
        </w:tc>
        <w:tc>
          <w:tcPr>
            <w:tcW w:w="1168" w:type="dxa"/>
            <w:noWrap w:val="0"/>
            <w:vAlign w:val="center"/>
          </w:tcPr>
          <w:p w14:paraId="0936DDB7">
            <w:pPr>
              <w:spacing w:line="400" w:lineRule="exact"/>
              <w:jc w:val="center"/>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得分</w:t>
            </w:r>
          </w:p>
        </w:tc>
      </w:tr>
      <w:tr w14:paraId="5C0F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536" w:type="dxa"/>
            <w:vMerge w:val="restart"/>
            <w:shd w:val="clear" w:color="auto" w:fill="auto"/>
            <w:noWrap w:val="0"/>
            <w:vAlign w:val="center"/>
          </w:tcPr>
          <w:p w14:paraId="1B86C613">
            <w:pPr>
              <w:spacing w:line="360" w:lineRule="exact"/>
              <w:jc w:val="center"/>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商务评分</w:t>
            </w:r>
          </w:p>
        </w:tc>
        <w:tc>
          <w:tcPr>
            <w:tcW w:w="536" w:type="dxa"/>
            <w:shd w:val="clear" w:color="auto" w:fill="auto"/>
            <w:noWrap w:val="0"/>
            <w:vAlign w:val="center"/>
          </w:tcPr>
          <w:p w14:paraId="72E90663">
            <w:pPr>
              <w:spacing w:line="360" w:lineRule="exact"/>
              <w:jc w:val="center"/>
              <w:rPr>
                <w:rFonts w:hint="default"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1</w:t>
            </w:r>
          </w:p>
        </w:tc>
        <w:tc>
          <w:tcPr>
            <w:tcW w:w="1822" w:type="dxa"/>
            <w:shd w:val="clear" w:color="auto" w:fill="auto"/>
            <w:noWrap w:val="0"/>
            <w:vAlign w:val="center"/>
          </w:tcPr>
          <w:p w14:paraId="64654F3F">
            <w:pPr>
              <w:spacing w:line="360" w:lineRule="exact"/>
              <w:jc w:val="center"/>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eastAsia="zh-CN"/>
              </w:rPr>
              <w:t>售后服务(1</w:t>
            </w:r>
            <w:r>
              <w:rPr>
                <w:rFonts w:hint="eastAsia" w:ascii="仿宋" w:hAnsi="仿宋" w:eastAsia="仿宋" w:cs="仿宋"/>
                <w:color w:val="auto"/>
                <w:kern w:val="0"/>
                <w:sz w:val="28"/>
                <w:szCs w:val="28"/>
                <w:highlight w:val="none"/>
                <w:lang w:val="en-US" w:eastAsia="zh-CN"/>
              </w:rPr>
              <w:t>0</w:t>
            </w:r>
            <w:r>
              <w:rPr>
                <w:rFonts w:hint="eastAsia" w:ascii="仿宋" w:hAnsi="仿宋" w:eastAsia="仿宋" w:cs="仿宋"/>
                <w:color w:val="auto"/>
                <w:kern w:val="0"/>
                <w:sz w:val="28"/>
                <w:szCs w:val="28"/>
                <w:highlight w:val="none"/>
                <w:lang w:eastAsia="zh-CN"/>
              </w:rPr>
              <w:t>.0分)</w:t>
            </w:r>
          </w:p>
        </w:tc>
        <w:tc>
          <w:tcPr>
            <w:tcW w:w="5175" w:type="dxa"/>
            <w:shd w:val="clear" w:color="auto" w:fill="auto"/>
            <w:noWrap w:val="0"/>
            <w:vAlign w:val="center"/>
          </w:tcPr>
          <w:p w14:paraId="60F6095C">
            <w:pPr>
              <w:spacing w:line="360" w:lineRule="exact"/>
              <w:jc w:val="left"/>
              <w:rPr>
                <w:rFonts w:hint="eastAsia" w:ascii="Calibri" w:hAnsi="Calibri" w:eastAsia="宋体" w:cs="Times New Roman"/>
                <w:color w:val="auto"/>
                <w:kern w:val="2"/>
                <w:sz w:val="21"/>
                <w:szCs w:val="24"/>
                <w:highlight w:val="none"/>
                <w:lang w:val="en-US" w:eastAsia="zh-CN" w:bidi="ar-SA"/>
              </w:rPr>
            </w:pPr>
            <w:r>
              <w:rPr>
                <w:rFonts w:hint="eastAsia" w:ascii="仿宋" w:hAnsi="仿宋" w:eastAsia="仿宋" w:cs="仿宋"/>
                <w:color w:val="auto"/>
                <w:kern w:val="0"/>
                <w:sz w:val="28"/>
                <w:szCs w:val="28"/>
                <w:highlight w:val="none"/>
                <w:lang w:val="en-US" w:eastAsia="zh-CN" w:bidi="ar-SA"/>
              </w:rPr>
              <w:t>对比供应商提供的售后服务方案，是否有能力为采购人提供快速、便利、优质的服务。根据提供材料酌情给分：优10-8分，中7-5分，差4-0分。</w:t>
            </w:r>
          </w:p>
        </w:tc>
        <w:tc>
          <w:tcPr>
            <w:tcW w:w="1168" w:type="dxa"/>
            <w:shd w:val="clear" w:color="auto" w:fill="auto"/>
            <w:noWrap w:val="0"/>
            <w:vAlign w:val="center"/>
          </w:tcPr>
          <w:p w14:paraId="0B8797F0">
            <w:pPr>
              <w:spacing w:line="360" w:lineRule="exact"/>
              <w:jc w:val="left"/>
              <w:rPr>
                <w:rFonts w:hint="eastAsia" w:ascii="仿宋" w:hAnsi="仿宋" w:eastAsia="仿宋" w:cs="仿宋"/>
                <w:color w:val="auto"/>
                <w:kern w:val="0"/>
                <w:sz w:val="28"/>
                <w:szCs w:val="28"/>
                <w:highlight w:val="none"/>
                <w:lang w:val="en-US" w:eastAsia="zh-CN" w:bidi="ar-SA"/>
              </w:rPr>
            </w:pPr>
          </w:p>
        </w:tc>
      </w:tr>
      <w:tr w14:paraId="3A4F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536" w:type="dxa"/>
            <w:vMerge w:val="continue"/>
            <w:shd w:val="clear" w:color="auto" w:fill="auto"/>
            <w:noWrap w:val="0"/>
            <w:vAlign w:val="center"/>
          </w:tcPr>
          <w:p w14:paraId="02F759E4">
            <w:pPr>
              <w:spacing w:line="360" w:lineRule="exact"/>
              <w:jc w:val="center"/>
              <w:rPr>
                <w:rFonts w:hint="eastAsia" w:ascii="仿宋" w:hAnsi="仿宋" w:eastAsia="仿宋" w:cs="仿宋"/>
                <w:color w:val="auto"/>
                <w:kern w:val="0"/>
                <w:sz w:val="28"/>
                <w:szCs w:val="28"/>
                <w:highlight w:val="none"/>
                <w:lang w:val="en-US" w:eastAsia="zh-CN"/>
              </w:rPr>
            </w:pPr>
          </w:p>
        </w:tc>
        <w:tc>
          <w:tcPr>
            <w:tcW w:w="536" w:type="dxa"/>
            <w:shd w:val="clear" w:color="auto" w:fill="auto"/>
            <w:noWrap w:val="0"/>
            <w:vAlign w:val="center"/>
          </w:tcPr>
          <w:p w14:paraId="1789B973">
            <w:pPr>
              <w:spacing w:line="360" w:lineRule="exact"/>
              <w:jc w:val="center"/>
              <w:rPr>
                <w:rFonts w:hint="default"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2</w:t>
            </w:r>
          </w:p>
        </w:tc>
        <w:tc>
          <w:tcPr>
            <w:tcW w:w="1822" w:type="dxa"/>
            <w:shd w:val="clear" w:color="auto" w:fill="auto"/>
            <w:noWrap w:val="0"/>
            <w:vAlign w:val="center"/>
          </w:tcPr>
          <w:p w14:paraId="6E6CA295">
            <w:pPr>
              <w:spacing w:line="360" w:lineRule="exact"/>
              <w:jc w:val="center"/>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eastAsia="zh-CN"/>
              </w:rPr>
              <w:t>产品质量保证(</w:t>
            </w:r>
            <w:r>
              <w:rPr>
                <w:rFonts w:hint="eastAsia" w:ascii="仿宋" w:hAnsi="仿宋" w:eastAsia="仿宋" w:cs="仿宋"/>
                <w:color w:val="auto"/>
                <w:kern w:val="0"/>
                <w:sz w:val="28"/>
                <w:szCs w:val="28"/>
                <w:highlight w:val="none"/>
                <w:lang w:val="en-US" w:eastAsia="zh-CN"/>
              </w:rPr>
              <w:t>10</w:t>
            </w:r>
            <w:r>
              <w:rPr>
                <w:rFonts w:hint="eastAsia" w:ascii="仿宋" w:hAnsi="仿宋" w:eastAsia="仿宋" w:cs="仿宋"/>
                <w:color w:val="auto"/>
                <w:kern w:val="0"/>
                <w:sz w:val="28"/>
                <w:szCs w:val="28"/>
                <w:highlight w:val="none"/>
                <w:lang w:eastAsia="zh-CN"/>
              </w:rPr>
              <w:t>.0分)</w:t>
            </w:r>
          </w:p>
        </w:tc>
        <w:tc>
          <w:tcPr>
            <w:tcW w:w="5175" w:type="dxa"/>
            <w:shd w:val="clear" w:color="auto" w:fill="auto"/>
            <w:noWrap w:val="0"/>
            <w:vAlign w:val="center"/>
          </w:tcPr>
          <w:p w14:paraId="69183A34">
            <w:pPr>
              <w:spacing w:line="360" w:lineRule="exact"/>
              <w:jc w:val="left"/>
              <w:rPr>
                <w:rFonts w:hint="eastAsia" w:ascii="仿宋" w:hAnsi="仿宋" w:eastAsia="仿宋" w:cs="仿宋"/>
                <w:color w:val="auto"/>
                <w:kern w:val="0"/>
                <w:sz w:val="28"/>
                <w:szCs w:val="28"/>
                <w:highlight w:val="none"/>
                <w:lang w:val="en-US" w:eastAsia="zh-CN" w:bidi="ar-SA"/>
              </w:rPr>
            </w:pPr>
            <w:r>
              <w:rPr>
                <w:rFonts w:hint="default" w:ascii="仿宋" w:hAnsi="仿宋" w:eastAsia="仿宋" w:cs="仿宋"/>
                <w:color w:val="auto"/>
                <w:kern w:val="0"/>
                <w:sz w:val="28"/>
                <w:szCs w:val="28"/>
                <w:highlight w:val="none"/>
                <w:lang w:val="en-US" w:eastAsia="zh-CN" w:bidi="ar-SA"/>
              </w:rPr>
              <w:t>根据供应商提供的产品质量保证</w:t>
            </w:r>
            <w:r>
              <w:rPr>
                <w:rFonts w:hint="eastAsia" w:ascii="仿宋" w:hAnsi="仿宋" w:eastAsia="仿宋" w:cs="仿宋"/>
                <w:color w:val="auto"/>
                <w:kern w:val="0"/>
                <w:sz w:val="28"/>
                <w:szCs w:val="28"/>
                <w:highlight w:val="none"/>
                <w:lang w:val="en-US" w:eastAsia="zh-CN" w:bidi="ar-SA"/>
              </w:rPr>
              <w:t>证明、出厂合格证、质保期等材料酌情给分：优10-8分，中7-5分，差4-0分。</w:t>
            </w:r>
          </w:p>
        </w:tc>
        <w:tc>
          <w:tcPr>
            <w:tcW w:w="1168" w:type="dxa"/>
            <w:shd w:val="clear" w:color="auto" w:fill="auto"/>
            <w:noWrap w:val="0"/>
            <w:vAlign w:val="center"/>
          </w:tcPr>
          <w:p w14:paraId="40FB510A">
            <w:pPr>
              <w:spacing w:line="360" w:lineRule="exact"/>
              <w:jc w:val="left"/>
              <w:rPr>
                <w:rFonts w:hint="default" w:ascii="仿宋" w:hAnsi="仿宋" w:eastAsia="仿宋" w:cs="仿宋"/>
                <w:color w:val="auto"/>
                <w:kern w:val="0"/>
                <w:sz w:val="28"/>
                <w:szCs w:val="28"/>
                <w:highlight w:val="none"/>
                <w:lang w:val="en-US" w:eastAsia="zh-CN" w:bidi="ar-SA"/>
              </w:rPr>
            </w:pPr>
          </w:p>
        </w:tc>
      </w:tr>
      <w:tr w14:paraId="2A6E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6" w:type="dxa"/>
            <w:vMerge w:val="continue"/>
            <w:shd w:val="clear" w:color="auto" w:fill="auto"/>
            <w:noWrap w:val="0"/>
            <w:vAlign w:val="center"/>
          </w:tcPr>
          <w:p w14:paraId="7782254C">
            <w:pPr>
              <w:spacing w:line="360" w:lineRule="exact"/>
              <w:jc w:val="center"/>
              <w:rPr>
                <w:rFonts w:hint="eastAsia" w:ascii="仿宋" w:hAnsi="仿宋" w:eastAsia="仿宋" w:cs="仿宋"/>
                <w:color w:val="auto"/>
                <w:kern w:val="0"/>
                <w:sz w:val="28"/>
                <w:szCs w:val="28"/>
                <w:highlight w:val="none"/>
                <w:lang w:val="en-US" w:eastAsia="zh-CN"/>
              </w:rPr>
            </w:pPr>
          </w:p>
        </w:tc>
        <w:tc>
          <w:tcPr>
            <w:tcW w:w="536" w:type="dxa"/>
            <w:shd w:val="clear" w:color="auto" w:fill="auto"/>
            <w:noWrap w:val="0"/>
            <w:vAlign w:val="center"/>
          </w:tcPr>
          <w:p w14:paraId="19914E5F">
            <w:pPr>
              <w:spacing w:line="360" w:lineRule="exact"/>
              <w:jc w:val="center"/>
              <w:rPr>
                <w:rFonts w:hint="default"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3</w:t>
            </w:r>
          </w:p>
        </w:tc>
        <w:tc>
          <w:tcPr>
            <w:tcW w:w="1822" w:type="dxa"/>
            <w:shd w:val="clear" w:color="auto" w:fill="auto"/>
            <w:noWrap w:val="0"/>
            <w:vAlign w:val="center"/>
          </w:tcPr>
          <w:p w14:paraId="7425E9DC">
            <w:pPr>
              <w:spacing w:line="360" w:lineRule="exact"/>
              <w:jc w:val="center"/>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eastAsia="zh-CN"/>
              </w:rPr>
              <w:t>同类业绩(</w:t>
            </w:r>
            <w:r>
              <w:rPr>
                <w:rFonts w:hint="eastAsia" w:ascii="仿宋" w:hAnsi="仿宋" w:eastAsia="仿宋" w:cs="仿宋"/>
                <w:color w:val="auto"/>
                <w:kern w:val="0"/>
                <w:sz w:val="28"/>
                <w:szCs w:val="28"/>
                <w:highlight w:val="none"/>
                <w:lang w:val="en-US" w:eastAsia="zh-CN"/>
              </w:rPr>
              <w:t>10</w:t>
            </w:r>
            <w:r>
              <w:rPr>
                <w:rFonts w:hint="eastAsia" w:ascii="仿宋" w:hAnsi="仿宋" w:eastAsia="仿宋" w:cs="仿宋"/>
                <w:color w:val="auto"/>
                <w:kern w:val="0"/>
                <w:sz w:val="28"/>
                <w:szCs w:val="28"/>
                <w:highlight w:val="none"/>
                <w:lang w:eastAsia="zh-CN"/>
              </w:rPr>
              <w:t>.0分)</w:t>
            </w:r>
          </w:p>
        </w:tc>
        <w:tc>
          <w:tcPr>
            <w:tcW w:w="5175" w:type="dxa"/>
            <w:shd w:val="clear" w:color="auto" w:fill="auto"/>
            <w:noWrap w:val="0"/>
            <w:vAlign w:val="center"/>
          </w:tcPr>
          <w:p w14:paraId="1690C29A">
            <w:pPr>
              <w:spacing w:line="360" w:lineRule="exact"/>
              <w:jc w:val="left"/>
              <w:rPr>
                <w:rFonts w:hint="default"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rPr>
              <w:t>供应商提供近三年同类政府采购业绩，每提供1份得5分，满分为10分。注:提供合同或中标书复印件等。</w:t>
            </w:r>
          </w:p>
        </w:tc>
        <w:tc>
          <w:tcPr>
            <w:tcW w:w="1168" w:type="dxa"/>
            <w:shd w:val="clear" w:color="auto" w:fill="auto"/>
            <w:noWrap w:val="0"/>
            <w:vAlign w:val="center"/>
          </w:tcPr>
          <w:p w14:paraId="635A7E06">
            <w:pPr>
              <w:spacing w:line="360" w:lineRule="exact"/>
              <w:jc w:val="left"/>
              <w:rPr>
                <w:rFonts w:hint="eastAsia" w:ascii="仿宋" w:hAnsi="仿宋" w:eastAsia="仿宋" w:cs="仿宋"/>
                <w:color w:val="auto"/>
                <w:kern w:val="0"/>
                <w:sz w:val="28"/>
                <w:szCs w:val="28"/>
                <w:highlight w:val="none"/>
                <w:lang w:val="en-US" w:eastAsia="zh-CN"/>
              </w:rPr>
            </w:pPr>
          </w:p>
        </w:tc>
      </w:tr>
      <w:tr w14:paraId="6286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6" w:type="dxa"/>
            <w:shd w:val="clear" w:color="auto" w:fill="auto"/>
            <w:noWrap w:val="0"/>
            <w:vAlign w:val="center"/>
          </w:tcPr>
          <w:p w14:paraId="309BDEE9">
            <w:pPr>
              <w:spacing w:line="360" w:lineRule="exact"/>
              <w:jc w:val="center"/>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eastAsia="zh-CN"/>
              </w:rPr>
              <w:t>技术评分</w:t>
            </w:r>
          </w:p>
        </w:tc>
        <w:tc>
          <w:tcPr>
            <w:tcW w:w="536" w:type="dxa"/>
            <w:shd w:val="clear" w:color="auto" w:fill="auto"/>
            <w:noWrap w:val="0"/>
            <w:vAlign w:val="center"/>
          </w:tcPr>
          <w:p w14:paraId="405FD4BE">
            <w:pPr>
              <w:spacing w:line="360" w:lineRule="exact"/>
              <w:jc w:val="center"/>
              <w:rPr>
                <w:rFonts w:hint="default"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4</w:t>
            </w:r>
          </w:p>
        </w:tc>
        <w:tc>
          <w:tcPr>
            <w:tcW w:w="1822" w:type="dxa"/>
            <w:shd w:val="clear" w:color="auto" w:fill="auto"/>
            <w:noWrap w:val="0"/>
            <w:vAlign w:val="center"/>
          </w:tcPr>
          <w:p w14:paraId="04F9C073">
            <w:pPr>
              <w:spacing w:line="360" w:lineRule="exact"/>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eastAsia="zh-CN"/>
              </w:rPr>
              <w:t>货物技术 参数指标(40.0分)</w:t>
            </w:r>
            <w:r>
              <w:rPr>
                <w:rFonts w:hint="eastAsia" w:ascii="仿宋" w:hAnsi="仿宋" w:eastAsia="仿宋" w:cs="仿宋"/>
                <w:color w:val="auto"/>
                <w:kern w:val="0"/>
                <w:sz w:val="28"/>
                <w:szCs w:val="28"/>
                <w:highlight w:val="none"/>
                <w:lang w:eastAsia="zh-CN"/>
              </w:rPr>
              <w:tab/>
            </w:r>
          </w:p>
        </w:tc>
        <w:tc>
          <w:tcPr>
            <w:tcW w:w="5175" w:type="dxa"/>
            <w:shd w:val="clear" w:color="auto" w:fill="auto"/>
            <w:noWrap w:val="0"/>
            <w:vAlign w:val="center"/>
          </w:tcPr>
          <w:p w14:paraId="4B3BE7EC">
            <w:pPr>
              <w:numPr>
                <w:ilvl w:val="0"/>
                <w:numId w:val="0"/>
              </w:numPr>
              <w:spacing w:line="360" w:lineRule="exact"/>
              <w:jc w:val="left"/>
              <w:rPr>
                <w:rFonts w:hint="default"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根据供应商提供的技术参数响应表进行评审：1.产品的技术参数完全满足或优于所有指标的得40分；2.产品的技术参数指标，每出现一项负偏离或不响应扣2分，扣完40分为止。</w:t>
            </w:r>
          </w:p>
          <w:p w14:paraId="457114B4">
            <w:pPr>
              <w:numPr>
                <w:ilvl w:val="0"/>
                <w:numId w:val="0"/>
              </w:numPr>
              <w:spacing w:line="360" w:lineRule="exact"/>
              <w:ind w:left="0" w:leftChars="0" w:firstLine="0" w:firstLineChars="0"/>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rPr>
              <w:t>注:产品的技术参数以生产企业提供的产品说明书、生产技术参数为证明文件。</w:t>
            </w:r>
          </w:p>
        </w:tc>
        <w:tc>
          <w:tcPr>
            <w:tcW w:w="1168" w:type="dxa"/>
            <w:shd w:val="clear" w:color="auto" w:fill="auto"/>
            <w:noWrap w:val="0"/>
            <w:vAlign w:val="center"/>
          </w:tcPr>
          <w:p w14:paraId="7F86B029">
            <w:pPr>
              <w:spacing w:line="360" w:lineRule="exact"/>
              <w:jc w:val="left"/>
              <w:rPr>
                <w:rFonts w:hint="eastAsia" w:ascii="仿宋" w:hAnsi="仿宋" w:eastAsia="仿宋" w:cs="仿宋"/>
                <w:color w:val="auto"/>
                <w:kern w:val="0"/>
                <w:sz w:val="28"/>
                <w:szCs w:val="28"/>
                <w:highlight w:val="none"/>
                <w:lang w:val="en-US" w:eastAsia="zh-CN"/>
              </w:rPr>
            </w:pPr>
          </w:p>
        </w:tc>
      </w:tr>
      <w:tr w14:paraId="7FBC5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6" w:type="dxa"/>
            <w:shd w:val="clear" w:color="auto" w:fill="auto"/>
            <w:noWrap w:val="0"/>
            <w:vAlign w:val="center"/>
          </w:tcPr>
          <w:p w14:paraId="1D8E19EF">
            <w:pPr>
              <w:pStyle w:val="8"/>
              <w:spacing w:line="400" w:lineRule="exac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eastAsia="zh-CN"/>
              </w:rPr>
              <w:t>价格评分</w:t>
            </w:r>
          </w:p>
        </w:tc>
        <w:tc>
          <w:tcPr>
            <w:tcW w:w="536" w:type="dxa"/>
            <w:shd w:val="clear" w:color="auto" w:fill="auto"/>
            <w:noWrap w:val="0"/>
            <w:vAlign w:val="center"/>
          </w:tcPr>
          <w:p w14:paraId="204C98A1">
            <w:pPr>
              <w:pStyle w:val="8"/>
              <w:spacing w:line="400" w:lineRule="exact"/>
              <w:rPr>
                <w:rFonts w:hint="default"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5</w:t>
            </w:r>
          </w:p>
        </w:tc>
        <w:tc>
          <w:tcPr>
            <w:tcW w:w="1822" w:type="dxa"/>
            <w:shd w:val="clear" w:color="auto" w:fill="auto"/>
            <w:noWrap w:val="0"/>
            <w:vAlign w:val="center"/>
          </w:tcPr>
          <w:p w14:paraId="4409F5B8">
            <w:pPr>
              <w:pStyle w:val="8"/>
              <w:spacing w:line="400" w:lineRule="exac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eastAsia="zh-CN"/>
              </w:rPr>
              <w:t>投标报价得分</w:t>
            </w:r>
            <w:r>
              <w:rPr>
                <w:rFonts w:hint="eastAsia" w:ascii="仿宋" w:hAnsi="仿宋" w:eastAsia="仿宋" w:cs="仿宋"/>
                <w:color w:val="auto"/>
                <w:kern w:val="0"/>
                <w:sz w:val="28"/>
                <w:szCs w:val="28"/>
                <w:highlight w:val="none"/>
              </w:rPr>
              <w:t>（</w:t>
            </w:r>
            <w:r>
              <w:rPr>
                <w:rFonts w:hint="eastAsia" w:ascii="仿宋" w:hAnsi="仿宋" w:eastAsia="仿宋" w:cs="仿宋"/>
                <w:color w:val="auto"/>
                <w:kern w:val="0"/>
                <w:sz w:val="28"/>
                <w:szCs w:val="28"/>
                <w:highlight w:val="none"/>
                <w:lang w:val="en-US" w:eastAsia="zh-CN"/>
              </w:rPr>
              <w:t>30</w:t>
            </w:r>
            <w:r>
              <w:rPr>
                <w:rFonts w:hint="eastAsia" w:ascii="仿宋" w:hAnsi="仿宋" w:eastAsia="仿宋" w:cs="仿宋"/>
                <w:color w:val="auto"/>
                <w:kern w:val="0"/>
                <w:sz w:val="28"/>
                <w:szCs w:val="28"/>
                <w:highlight w:val="none"/>
              </w:rPr>
              <w:t>分）</w:t>
            </w:r>
          </w:p>
        </w:tc>
        <w:tc>
          <w:tcPr>
            <w:tcW w:w="5175" w:type="dxa"/>
            <w:shd w:val="clear" w:color="auto" w:fill="auto"/>
            <w:noWrap w:val="0"/>
            <w:vAlign w:val="center"/>
          </w:tcPr>
          <w:p w14:paraId="02B8AFA9">
            <w:pPr>
              <w:pStyle w:val="8"/>
              <w:spacing w:line="400" w:lineRule="exac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价格评估得分采用低价优先法计算，即通过资格审查且价格最低者的</w:t>
            </w:r>
            <w:r>
              <w:rPr>
                <w:rFonts w:hint="eastAsia" w:ascii="仿宋" w:hAnsi="仿宋" w:eastAsia="仿宋" w:cs="仿宋"/>
                <w:color w:val="auto"/>
                <w:kern w:val="0"/>
                <w:sz w:val="28"/>
                <w:szCs w:val="28"/>
                <w:highlight w:val="none"/>
                <w:lang w:eastAsia="zh-CN"/>
              </w:rPr>
              <w:t>价格</w:t>
            </w:r>
            <w:r>
              <w:rPr>
                <w:rFonts w:hint="eastAsia" w:ascii="仿宋" w:hAnsi="仿宋" w:eastAsia="仿宋" w:cs="仿宋"/>
                <w:color w:val="auto"/>
                <w:kern w:val="0"/>
                <w:sz w:val="28"/>
                <w:szCs w:val="28"/>
                <w:highlight w:val="none"/>
              </w:rPr>
              <w:t>为评</w:t>
            </w:r>
            <w:r>
              <w:rPr>
                <w:rFonts w:hint="eastAsia" w:ascii="仿宋" w:hAnsi="仿宋" w:eastAsia="仿宋" w:cs="仿宋"/>
                <w:color w:val="auto"/>
                <w:kern w:val="0"/>
                <w:sz w:val="28"/>
                <w:szCs w:val="28"/>
                <w:highlight w:val="none"/>
                <w:lang w:eastAsia="zh-CN"/>
              </w:rPr>
              <w:t>标</w:t>
            </w:r>
            <w:r>
              <w:rPr>
                <w:rFonts w:hint="eastAsia" w:ascii="仿宋" w:hAnsi="仿宋" w:eastAsia="仿宋" w:cs="仿宋"/>
                <w:color w:val="auto"/>
                <w:kern w:val="0"/>
                <w:sz w:val="28"/>
                <w:szCs w:val="28"/>
                <w:highlight w:val="none"/>
              </w:rPr>
              <w:t>基准价，其价格评估得分为</w:t>
            </w:r>
            <w:r>
              <w:rPr>
                <w:rFonts w:hint="eastAsia" w:ascii="仿宋" w:hAnsi="仿宋" w:eastAsia="仿宋" w:cs="仿宋"/>
                <w:color w:val="auto"/>
                <w:kern w:val="0"/>
                <w:sz w:val="28"/>
                <w:szCs w:val="28"/>
                <w:highlight w:val="none"/>
                <w:lang w:val="en-US" w:eastAsia="zh-CN"/>
              </w:rPr>
              <w:t>30</w:t>
            </w:r>
            <w:r>
              <w:rPr>
                <w:rFonts w:hint="eastAsia" w:ascii="仿宋" w:hAnsi="仿宋" w:eastAsia="仿宋" w:cs="仿宋"/>
                <w:color w:val="auto"/>
                <w:kern w:val="0"/>
                <w:sz w:val="28"/>
                <w:szCs w:val="28"/>
                <w:highlight w:val="none"/>
              </w:rPr>
              <w:t>分;其他</w:t>
            </w:r>
            <w:r>
              <w:rPr>
                <w:rFonts w:hint="eastAsia" w:ascii="仿宋" w:hAnsi="仿宋" w:eastAsia="仿宋" w:cs="仿宋"/>
                <w:color w:val="auto"/>
                <w:kern w:val="0"/>
                <w:sz w:val="28"/>
                <w:szCs w:val="28"/>
                <w:highlight w:val="none"/>
                <w:lang w:eastAsia="zh-CN"/>
              </w:rPr>
              <w:t>投标</w:t>
            </w:r>
            <w:r>
              <w:rPr>
                <w:rFonts w:hint="eastAsia" w:ascii="仿宋" w:hAnsi="仿宋" w:eastAsia="仿宋" w:cs="仿宋"/>
                <w:color w:val="auto"/>
                <w:kern w:val="0"/>
                <w:sz w:val="28"/>
                <w:szCs w:val="28"/>
                <w:highlight w:val="none"/>
              </w:rPr>
              <w:t>人的价格评估得分按如下公式价格评估计算∶</w:t>
            </w:r>
          </w:p>
          <w:p w14:paraId="77561C28">
            <w:pPr>
              <w:pStyle w:val="8"/>
              <w:spacing w:line="400" w:lineRule="exact"/>
              <w:rPr>
                <w:rFonts w:hint="default"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rPr>
              <w:t>A</w:t>
            </w:r>
            <w:r>
              <w:rPr>
                <w:rFonts w:hint="eastAsia" w:ascii="仿宋" w:hAnsi="仿宋" w:eastAsia="仿宋" w:cs="仿宋"/>
                <w:color w:val="auto"/>
                <w:kern w:val="0"/>
                <w:sz w:val="28"/>
                <w:szCs w:val="28"/>
                <w:highlight w:val="none"/>
                <w:lang w:eastAsia="zh-CN"/>
              </w:rPr>
              <w:t>投标人</w:t>
            </w:r>
            <w:r>
              <w:rPr>
                <w:rFonts w:hint="eastAsia" w:ascii="仿宋" w:hAnsi="仿宋" w:eastAsia="仿宋" w:cs="仿宋"/>
                <w:color w:val="auto"/>
                <w:kern w:val="0"/>
                <w:sz w:val="28"/>
                <w:szCs w:val="28"/>
                <w:highlight w:val="none"/>
              </w:rPr>
              <w:t>价格评估得分=（评标基准价÷A</w:t>
            </w:r>
            <w:r>
              <w:rPr>
                <w:rFonts w:hint="eastAsia" w:ascii="仿宋" w:hAnsi="仿宋" w:eastAsia="仿宋" w:cs="仿宋"/>
                <w:color w:val="auto"/>
                <w:kern w:val="0"/>
                <w:sz w:val="28"/>
                <w:szCs w:val="28"/>
                <w:highlight w:val="none"/>
                <w:lang w:eastAsia="zh-CN"/>
              </w:rPr>
              <w:t>投标人投</w:t>
            </w:r>
            <w:r>
              <w:rPr>
                <w:rFonts w:hint="eastAsia" w:ascii="仿宋" w:hAnsi="仿宋" w:eastAsia="仿宋" w:cs="仿宋"/>
                <w:color w:val="auto"/>
                <w:kern w:val="0"/>
                <w:sz w:val="28"/>
                <w:szCs w:val="28"/>
                <w:highlight w:val="none"/>
              </w:rPr>
              <w:t>标</w:t>
            </w:r>
            <w:r>
              <w:rPr>
                <w:rFonts w:hint="eastAsia" w:ascii="仿宋" w:hAnsi="仿宋" w:eastAsia="仿宋" w:cs="仿宋"/>
                <w:color w:val="auto"/>
                <w:kern w:val="0"/>
                <w:sz w:val="28"/>
                <w:szCs w:val="28"/>
                <w:highlight w:val="none"/>
                <w:lang w:eastAsia="zh-CN"/>
              </w:rPr>
              <w:t>总</w:t>
            </w:r>
            <w:r>
              <w:rPr>
                <w:rFonts w:hint="eastAsia" w:ascii="仿宋" w:hAnsi="仿宋" w:eastAsia="仿宋" w:cs="仿宋"/>
                <w:color w:val="auto"/>
                <w:kern w:val="0"/>
                <w:sz w:val="28"/>
                <w:szCs w:val="28"/>
                <w:highlight w:val="none"/>
              </w:rPr>
              <w:t>价）×</w:t>
            </w:r>
            <w:r>
              <w:rPr>
                <w:rFonts w:hint="eastAsia" w:ascii="仿宋" w:hAnsi="仿宋" w:eastAsia="仿宋" w:cs="仿宋"/>
                <w:color w:val="auto"/>
                <w:kern w:val="0"/>
                <w:sz w:val="28"/>
                <w:szCs w:val="28"/>
                <w:highlight w:val="none"/>
                <w:lang w:val="en-US" w:eastAsia="zh-CN"/>
              </w:rPr>
              <w:t>30</w:t>
            </w:r>
          </w:p>
        </w:tc>
        <w:tc>
          <w:tcPr>
            <w:tcW w:w="1168" w:type="dxa"/>
            <w:shd w:val="clear" w:color="auto" w:fill="auto"/>
            <w:noWrap w:val="0"/>
            <w:vAlign w:val="center"/>
          </w:tcPr>
          <w:p w14:paraId="4FBE830B">
            <w:pPr>
              <w:spacing w:line="360" w:lineRule="exact"/>
              <w:jc w:val="left"/>
              <w:rPr>
                <w:rFonts w:hint="eastAsia" w:ascii="仿宋" w:hAnsi="仿宋" w:eastAsia="仿宋" w:cs="仿宋"/>
                <w:color w:val="auto"/>
                <w:kern w:val="0"/>
                <w:sz w:val="28"/>
                <w:szCs w:val="28"/>
                <w:highlight w:val="none"/>
                <w:lang w:val="en-US" w:eastAsia="zh-CN"/>
              </w:rPr>
            </w:pPr>
          </w:p>
        </w:tc>
      </w:tr>
    </w:tbl>
    <w:p w14:paraId="5B1BB452">
      <w:pPr>
        <w:pStyle w:val="8"/>
      </w:pPr>
    </w:p>
    <w:p w14:paraId="5F176AF4">
      <w:pPr>
        <w:spacing w:line="596" w:lineRule="exact"/>
        <w:rPr>
          <w:sz w:val="28"/>
          <w:szCs w:val="28"/>
        </w:rPr>
      </w:pPr>
    </w:p>
    <w:sectPr>
      <w:footerReference r:id="rId3" w:type="default"/>
      <w:pgSz w:w="11906" w:h="16838"/>
      <w:pgMar w:top="1383" w:right="1780" w:bottom="1383" w:left="1780" w:header="851" w:footer="992"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C815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56EB127">
                          <w:pPr>
                            <w:pStyle w:val="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SbC86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vr8b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KUmwvOgIAAHEEAAAOAAAAAAAAAAEAIAAAAB8BAABkcnMvZTJvRG9j&#10;LnhtbFBLBQYAAAAABgAGAFkBAADLBQAAAAA=&#10;">
              <v:fill on="f" focussize="0,0"/>
              <v:stroke on="f" weight="0.5pt"/>
              <v:imagedata o:title=""/>
              <o:lock v:ext="edit" aspectratio="f"/>
              <v:textbox inset="0mm,0mm,0mm,0mm" style="mso-fit-shape-to-text:t;">
                <w:txbxContent>
                  <w:p w14:paraId="456EB127">
                    <w:pPr>
                      <w:pStyle w:val="6"/>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xNzVkZmY0MTU2MWRlZTE0NjJlZjA2NzlkNjI4YjEifQ=="/>
  </w:docVars>
  <w:rsids>
    <w:rsidRoot w:val="3539138D"/>
    <w:rsid w:val="00322CCB"/>
    <w:rsid w:val="003235FD"/>
    <w:rsid w:val="00337586"/>
    <w:rsid w:val="006E4A62"/>
    <w:rsid w:val="00734749"/>
    <w:rsid w:val="00A55E02"/>
    <w:rsid w:val="00B45AAF"/>
    <w:rsid w:val="00E15234"/>
    <w:rsid w:val="00ED40C1"/>
    <w:rsid w:val="00F64349"/>
    <w:rsid w:val="011C0A03"/>
    <w:rsid w:val="01453A14"/>
    <w:rsid w:val="01687703"/>
    <w:rsid w:val="01944054"/>
    <w:rsid w:val="01C012ED"/>
    <w:rsid w:val="01DB6127"/>
    <w:rsid w:val="01FA47FF"/>
    <w:rsid w:val="020E077B"/>
    <w:rsid w:val="02577CB8"/>
    <w:rsid w:val="02704AC1"/>
    <w:rsid w:val="02A66735"/>
    <w:rsid w:val="02A92276"/>
    <w:rsid w:val="03380F32"/>
    <w:rsid w:val="03391357"/>
    <w:rsid w:val="0341645D"/>
    <w:rsid w:val="03577A2F"/>
    <w:rsid w:val="03D74C8E"/>
    <w:rsid w:val="042B5143"/>
    <w:rsid w:val="04695C6C"/>
    <w:rsid w:val="047168CE"/>
    <w:rsid w:val="055C35E7"/>
    <w:rsid w:val="05A16326"/>
    <w:rsid w:val="05B64EE1"/>
    <w:rsid w:val="05B747B5"/>
    <w:rsid w:val="05CE7F14"/>
    <w:rsid w:val="05E732EC"/>
    <w:rsid w:val="0686686C"/>
    <w:rsid w:val="069A65B0"/>
    <w:rsid w:val="07397B77"/>
    <w:rsid w:val="07434552"/>
    <w:rsid w:val="076A2C34"/>
    <w:rsid w:val="07AB20F7"/>
    <w:rsid w:val="07CD02C0"/>
    <w:rsid w:val="07F92796"/>
    <w:rsid w:val="08362309"/>
    <w:rsid w:val="0852031F"/>
    <w:rsid w:val="08564759"/>
    <w:rsid w:val="087E369A"/>
    <w:rsid w:val="087F664F"/>
    <w:rsid w:val="08901A19"/>
    <w:rsid w:val="08C47915"/>
    <w:rsid w:val="09627F98"/>
    <w:rsid w:val="09AC306C"/>
    <w:rsid w:val="09DC6FED"/>
    <w:rsid w:val="09EC7428"/>
    <w:rsid w:val="09F2225F"/>
    <w:rsid w:val="0A36039E"/>
    <w:rsid w:val="0A6C0665"/>
    <w:rsid w:val="0A727D20"/>
    <w:rsid w:val="0B0D3C0C"/>
    <w:rsid w:val="0B0F73EB"/>
    <w:rsid w:val="0B1701D0"/>
    <w:rsid w:val="0B275F39"/>
    <w:rsid w:val="0B3A2110"/>
    <w:rsid w:val="0BAC10A2"/>
    <w:rsid w:val="0BDC6D23"/>
    <w:rsid w:val="0C006EB6"/>
    <w:rsid w:val="0C0B7609"/>
    <w:rsid w:val="0C1E558E"/>
    <w:rsid w:val="0C3C5A14"/>
    <w:rsid w:val="0C460641"/>
    <w:rsid w:val="0C6A2581"/>
    <w:rsid w:val="0C6D22A1"/>
    <w:rsid w:val="0C723511"/>
    <w:rsid w:val="0CB33F28"/>
    <w:rsid w:val="0CCF4ADA"/>
    <w:rsid w:val="0CFE21F2"/>
    <w:rsid w:val="0D9730D9"/>
    <w:rsid w:val="0E1A1E17"/>
    <w:rsid w:val="0E255633"/>
    <w:rsid w:val="0E355E8F"/>
    <w:rsid w:val="0E8F4521"/>
    <w:rsid w:val="0EB45D35"/>
    <w:rsid w:val="0EC046DA"/>
    <w:rsid w:val="0F02199E"/>
    <w:rsid w:val="0F1113DA"/>
    <w:rsid w:val="0F1B4006"/>
    <w:rsid w:val="0F403A6D"/>
    <w:rsid w:val="0F587009"/>
    <w:rsid w:val="0F8D3358"/>
    <w:rsid w:val="100131FC"/>
    <w:rsid w:val="10036F74"/>
    <w:rsid w:val="100B407B"/>
    <w:rsid w:val="10243A68"/>
    <w:rsid w:val="10D25671"/>
    <w:rsid w:val="1102722C"/>
    <w:rsid w:val="112160A6"/>
    <w:rsid w:val="114C494B"/>
    <w:rsid w:val="11DD37F5"/>
    <w:rsid w:val="12170AB5"/>
    <w:rsid w:val="12353631"/>
    <w:rsid w:val="12435D4E"/>
    <w:rsid w:val="128E689D"/>
    <w:rsid w:val="12C64289"/>
    <w:rsid w:val="12D60970"/>
    <w:rsid w:val="12EA441C"/>
    <w:rsid w:val="12F45BC8"/>
    <w:rsid w:val="13893C35"/>
    <w:rsid w:val="13936861"/>
    <w:rsid w:val="13A61D3F"/>
    <w:rsid w:val="13AE5449"/>
    <w:rsid w:val="13B011C1"/>
    <w:rsid w:val="13C609E5"/>
    <w:rsid w:val="13D04DD4"/>
    <w:rsid w:val="142C2D3C"/>
    <w:rsid w:val="1461070D"/>
    <w:rsid w:val="147E306D"/>
    <w:rsid w:val="14883EEC"/>
    <w:rsid w:val="14956609"/>
    <w:rsid w:val="14992370"/>
    <w:rsid w:val="14A06CD4"/>
    <w:rsid w:val="14C8078D"/>
    <w:rsid w:val="14CB3DD9"/>
    <w:rsid w:val="14CF38C9"/>
    <w:rsid w:val="14E32ED1"/>
    <w:rsid w:val="150B2427"/>
    <w:rsid w:val="15433984"/>
    <w:rsid w:val="159266A5"/>
    <w:rsid w:val="15BD5E17"/>
    <w:rsid w:val="15CC7E09"/>
    <w:rsid w:val="15ED7C1A"/>
    <w:rsid w:val="16331C36"/>
    <w:rsid w:val="167E55A7"/>
    <w:rsid w:val="16C53506"/>
    <w:rsid w:val="1732013F"/>
    <w:rsid w:val="173B6FF4"/>
    <w:rsid w:val="17984446"/>
    <w:rsid w:val="18021A7F"/>
    <w:rsid w:val="182061EA"/>
    <w:rsid w:val="18366AB4"/>
    <w:rsid w:val="18371EB1"/>
    <w:rsid w:val="18594280"/>
    <w:rsid w:val="18866995"/>
    <w:rsid w:val="18E367DC"/>
    <w:rsid w:val="19197809"/>
    <w:rsid w:val="192F0DDA"/>
    <w:rsid w:val="1A271AB1"/>
    <w:rsid w:val="1A5F56EF"/>
    <w:rsid w:val="1AB71087"/>
    <w:rsid w:val="1B040045"/>
    <w:rsid w:val="1B1C72B0"/>
    <w:rsid w:val="1B5F527B"/>
    <w:rsid w:val="1B60171F"/>
    <w:rsid w:val="1B61392F"/>
    <w:rsid w:val="1B6C00C4"/>
    <w:rsid w:val="1B721452"/>
    <w:rsid w:val="1B925650"/>
    <w:rsid w:val="1BC51582"/>
    <w:rsid w:val="1BE0016A"/>
    <w:rsid w:val="1BE063BC"/>
    <w:rsid w:val="1C0F040D"/>
    <w:rsid w:val="1C2D3BDB"/>
    <w:rsid w:val="1CF06AD2"/>
    <w:rsid w:val="1D1E3640"/>
    <w:rsid w:val="1D4D5CD3"/>
    <w:rsid w:val="1D7E40DE"/>
    <w:rsid w:val="1D9E3B64"/>
    <w:rsid w:val="1DA17DCD"/>
    <w:rsid w:val="1DCA10D2"/>
    <w:rsid w:val="1E592455"/>
    <w:rsid w:val="1E805C34"/>
    <w:rsid w:val="1ED03E23"/>
    <w:rsid w:val="1EE14925"/>
    <w:rsid w:val="1EEB57A3"/>
    <w:rsid w:val="1F1D3483"/>
    <w:rsid w:val="1F2E0457"/>
    <w:rsid w:val="1F2E0844"/>
    <w:rsid w:val="1F330EF8"/>
    <w:rsid w:val="1F444EB4"/>
    <w:rsid w:val="1F784B5D"/>
    <w:rsid w:val="1F8B2AE2"/>
    <w:rsid w:val="1F992CA7"/>
    <w:rsid w:val="1FF42648"/>
    <w:rsid w:val="20790B8D"/>
    <w:rsid w:val="207B4905"/>
    <w:rsid w:val="20A57BD4"/>
    <w:rsid w:val="20B3409F"/>
    <w:rsid w:val="215869F4"/>
    <w:rsid w:val="21685914"/>
    <w:rsid w:val="217750CC"/>
    <w:rsid w:val="218617B3"/>
    <w:rsid w:val="21AD2CFF"/>
    <w:rsid w:val="21F11323"/>
    <w:rsid w:val="220463B0"/>
    <w:rsid w:val="224A27E1"/>
    <w:rsid w:val="226A2E83"/>
    <w:rsid w:val="231057D9"/>
    <w:rsid w:val="233D0598"/>
    <w:rsid w:val="236B7E58"/>
    <w:rsid w:val="23711225"/>
    <w:rsid w:val="23733FB9"/>
    <w:rsid w:val="2380224F"/>
    <w:rsid w:val="2409047A"/>
    <w:rsid w:val="24417C14"/>
    <w:rsid w:val="24A95E17"/>
    <w:rsid w:val="24B91EA0"/>
    <w:rsid w:val="24D722B9"/>
    <w:rsid w:val="24FF3D57"/>
    <w:rsid w:val="25040928"/>
    <w:rsid w:val="2519649B"/>
    <w:rsid w:val="254E4396"/>
    <w:rsid w:val="2580476C"/>
    <w:rsid w:val="25987D07"/>
    <w:rsid w:val="25BA6530"/>
    <w:rsid w:val="25C74149"/>
    <w:rsid w:val="25CC2725"/>
    <w:rsid w:val="269009DE"/>
    <w:rsid w:val="270D202F"/>
    <w:rsid w:val="276A122F"/>
    <w:rsid w:val="277F4CDB"/>
    <w:rsid w:val="27930786"/>
    <w:rsid w:val="27B01338"/>
    <w:rsid w:val="28094EEC"/>
    <w:rsid w:val="28327F9F"/>
    <w:rsid w:val="285D2B42"/>
    <w:rsid w:val="28F9286B"/>
    <w:rsid w:val="29015BC3"/>
    <w:rsid w:val="292C49EE"/>
    <w:rsid w:val="295A08AB"/>
    <w:rsid w:val="29750322"/>
    <w:rsid w:val="29B60519"/>
    <w:rsid w:val="2A314286"/>
    <w:rsid w:val="2A3C5105"/>
    <w:rsid w:val="2A6B7798"/>
    <w:rsid w:val="2A862824"/>
    <w:rsid w:val="2A88034A"/>
    <w:rsid w:val="2B0674C1"/>
    <w:rsid w:val="2B0818D2"/>
    <w:rsid w:val="2B541D03"/>
    <w:rsid w:val="2B606680"/>
    <w:rsid w:val="2B824D9A"/>
    <w:rsid w:val="2BA07916"/>
    <w:rsid w:val="2BAF1907"/>
    <w:rsid w:val="2BE012DD"/>
    <w:rsid w:val="2BE23A8A"/>
    <w:rsid w:val="2C136339"/>
    <w:rsid w:val="2C3B65A7"/>
    <w:rsid w:val="2D485B6F"/>
    <w:rsid w:val="2D74105A"/>
    <w:rsid w:val="2D997782"/>
    <w:rsid w:val="2DAF5C3A"/>
    <w:rsid w:val="2DD65871"/>
    <w:rsid w:val="2E0D339B"/>
    <w:rsid w:val="2E1343CF"/>
    <w:rsid w:val="2E1B7727"/>
    <w:rsid w:val="2E690493"/>
    <w:rsid w:val="2E992749"/>
    <w:rsid w:val="2F000DF7"/>
    <w:rsid w:val="2F191EB9"/>
    <w:rsid w:val="2F78518A"/>
    <w:rsid w:val="2F7E3ACA"/>
    <w:rsid w:val="2F805A94"/>
    <w:rsid w:val="2F8B1414"/>
    <w:rsid w:val="2F923A19"/>
    <w:rsid w:val="2FDB716E"/>
    <w:rsid w:val="30466CDD"/>
    <w:rsid w:val="30A8417B"/>
    <w:rsid w:val="30D20571"/>
    <w:rsid w:val="31147CCD"/>
    <w:rsid w:val="31496359"/>
    <w:rsid w:val="31554C62"/>
    <w:rsid w:val="315563B2"/>
    <w:rsid w:val="31917CE2"/>
    <w:rsid w:val="321E1594"/>
    <w:rsid w:val="324F174E"/>
    <w:rsid w:val="32CC7242"/>
    <w:rsid w:val="33396201"/>
    <w:rsid w:val="339E3D49"/>
    <w:rsid w:val="33C06DA7"/>
    <w:rsid w:val="33FE6776"/>
    <w:rsid w:val="33FF26BC"/>
    <w:rsid w:val="346B6C5F"/>
    <w:rsid w:val="349F3D0A"/>
    <w:rsid w:val="34A10D79"/>
    <w:rsid w:val="34CE72A2"/>
    <w:rsid w:val="34D50630"/>
    <w:rsid w:val="34D643A8"/>
    <w:rsid w:val="3523748C"/>
    <w:rsid w:val="3539138D"/>
    <w:rsid w:val="35700359"/>
    <w:rsid w:val="35777939"/>
    <w:rsid w:val="35887450"/>
    <w:rsid w:val="35956011"/>
    <w:rsid w:val="35A324DC"/>
    <w:rsid w:val="35E14DB3"/>
    <w:rsid w:val="361C228F"/>
    <w:rsid w:val="366A4DA8"/>
    <w:rsid w:val="36E42DAC"/>
    <w:rsid w:val="37454A37"/>
    <w:rsid w:val="377834F5"/>
    <w:rsid w:val="37E4238A"/>
    <w:rsid w:val="382D0783"/>
    <w:rsid w:val="383C2774"/>
    <w:rsid w:val="385F708A"/>
    <w:rsid w:val="3863572B"/>
    <w:rsid w:val="387168C2"/>
    <w:rsid w:val="38AD5420"/>
    <w:rsid w:val="391B4A7F"/>
    <w:rsid w:val="391C1DD8"/>
    <w:rsid w:val="39292CF8"/>
    <w:rsid w:val="3929719C"/>
    <w:rsid w:val="392A6A70"/>
    <w:rsid w:val="39316051"/>
    <w:rsid w:val="39406294"/>
    <w:rsid w:val="3957347F"/>
    <w:rsid w:val="39B747A8"/>
    <w:rsid w:val="39FF7EFD"/>
    <w:rsid w:val="3A0379ED"/>
    <w:rsid w:val="3A0F71E1"/>
    <w:rsid w:val="3A18517A"/>
    <w:rsid w:val="3A2D681D"/>
    <w:rsid w:val="3A4A1178"/>
    <w:rsid w:val="3A607ECF"/>
    <w:rsid w:val="3AA80595"/>
    <w:rsid w:val="3AC30F2B"/>
    <w:rsid w:val="3AC86541"/>
    <w:rsid w:val="3AD1189A"/>
    <w:rsid w:val="3AFD268F"/>
    <w:rsid w:val="3AFD443D"/>
    <w:rsid w:val="3B007A89"/>
    <w:rsid w:val="3B293484"/>
    <w:rsid w:val="3B351E28"/>
    <w:rsid w:val="3BC35686"/>
    <w:rsid w:val="3BF375EE"/>
    <w:rsid w:val="3C552A9F"/>
    <w:rsid w:val="3C7544A7"/>
    <w:rsid w:val="3C7E6169"/>
    <w:rsid w:val="3CD218F9"/>
    <w:rsid w:val="3D0870C9"/>
    <w:rsid w:val="3D09356D"/>
    <w:rsid w:val="3D284330"/>
    <w:rsid w:val="3D9F7A2D"/>
    <w:rsid w:val="3DAC723C"/>
    <w:rsid w:val="3DB159B2"/>
    <w:rsid w:val="3DD119FA"/>
    <w:rsid w:val="3DE123E1"/>
    <w:rsid w:val="3E2E2B5F"/>
    <w:rsid w:val="3E636CAD"/>
    <w:rsid w:val="3E7C7D6E"/>
    <w:rsid w:val="3EC456A8"/>
    <w:rsid w:val="3ED2798E"/>
    <w:rsid w:val="3F211017"/>
    <w:rsid w:val="3F3E3276"/>
    <w:rsid w:val="3F60143E"/>
    <w:rsid w:val="3FB6105E"/>
    <w:rsid w:val="3FEA0D08"/>
    <w:rsid w:val="3FF520B5"/>
    <w:rsid w:val="401C5365"/>
    <w:rsid w:val="407877BF"/>
    <w:rsid w:val="40921BCC"/>
    <w:rsid w:val="40A35A86"/>
    <w:rsid w:val="40C17CBA"/>
    <w:rsid w:val="40CA1DAF"/>
    <w:rsid w:val="412A6F15"/>
    <w:rsid w:val="415E7BFF"/>
    <w:rsid w:val="42552DB0"/>
    <w:rsid w:val="429F5697"/>
    <w:rsid w:val="42E841D6"/>
    <w:rsid w:val="43193DDE"/>
    <w:rsid w:val="43364990"/>
    <w:rsid w:val="43591B50"/>
    <w:rsid w:val="43655275"/>
    <w:rsid w:val="436F7EA2"/>
    <w:rsid w:val="43811983"/>
    <w:rsid w:val="43860D47"/>
    <w:rsid w:val="43CF6B92"/>
    <w:rsid w:val="43DE2931"/>
    <w:rsid w:val="43EE526A"/>
    <w:rsid w:val="43F263DD"/>
    <w:rsid w:val="447A08AC"/>
    <w:rsid w:val="44836542"/>
    <w:rsid w:val="45821A4C"/>
    <w:rsid w:val="45835E86"/>
    <w:rsid w:val="45F4643C"/>
    <w:rsid w:val="46CF6D9E"/>
    <w:rsid w:val="46D63D94"/>
    <w:rsid w:val="46FF778E"/>
    <w:rsid w:val="47024B89"/>
    <w:rsid w:val="471A1B89"/>
    <w:rsid w:val="475F1FDB"/>
    <w:rsid w:val="47CF53B3"/>
    <w:rsid w:val="47DB3D58"/>
    <w:rsid w:val="4812529F"/>
    <w:rsid w:val="4841594B"/>
    <w:rsid w:val="484E4529"/>
    <w:rsid w:val="489D4D45"/>
    <w:rsid w:val="489F2FD7"/>
    <w:rsid w:val="48C52312"/>
    <w:rsid w:val="48DD3AFF"/>
    <w:rsid w:val="48EC5AF0"/>
    <w:rsid w:val="48F50E49"/>
    <w:rsid w:val="496319CC"/>
    <w:rsid w:val="49777AB0"/>
    <w:rsid w:val="49AA39E1"/>
    <w:rsid w:val="49E1317B"/>
    <w:rsid w:val="49FB156F"/>
    <w:rsid w:val="4A062BE2"/>
    <w:rsid w:val="4A174DEF"/>
    <w:rsid w:val="4A600544"/>
    <w:rsid w:val="4A62606A"/>
    <w:rsid w:val="4A63691E"/>
    <w:rsid w:val="4A7B3167"/>
    <w:rsid w:val="4AD8632C"/>
    <w:rsid w:val="4B0C4228"/>
    <w:rsid w:val="4B3D6AD7"/>
    <w:rsid w:val="4B4340EE"/>
    <w:rsid w:val="4B4C0AC8"/>
    <w:rsid w:val="4BCF3BD3"/>
    <w:rsid w:val="4C001FDF"/>
    <w:rsid w:val="4C137BD1"/>
    <w:rsid w:val="4C6267F5"/>
    <w:rsid w:val="4CCC1EC1"/>
    <w:rsid w:val="4CE23492"/>
    <w:rsid w:val="4CF65190"/>
    <w:rsid w:val="4D106251"/>
    <w:rsid w:val="4D145005"/>
    <w:rsid w:val="4DA860C7"/>
    <w:rsid w:val="4E0D09E3"/>
    <w:rsid w:val="4E54216E"/>
    <w:rsid w:val="4EA03605"/>
    <w:rsid w:val="4EBE1CDD"/>
    <w:rsid w:val="4EF04CAA"/>
    <w:rsid w:val="4F494C2A"/>
    <w:rsid w:val="4FA42F50"/>
    <w:rsid w:val="4FB01DA2"/>
    <w:rsid w:val="4FEB08B0"/>
    <w:rsid w:val="50306C0B"/>
    <w:rsid w:val="5041777F"/>
    <w:rsid w:val="504B57F2"/>
    <w:rsid w:val="50834F8C"/>
    <w:rsid w:val="508A00C9"/>
    <w:rsid w:val="50A94E5A"/>
    <w:rsid w:val="50B60EBE"/>
    <w:rsid w:val="50CD1B86"/>
    <w:rsid w:val="510065DD"/>
    <w:rsid w:val="510373EF"/>
    <w:rsid w:val="511E6A63"/>
    <w:rsid w:val="51B00003"/>
    <w:rsid w:val="51FA53E4"/>
    <w:rsid w:val="52794821"/>
    <w:rsid w:val="528079D5"/>
    <w:rsid w:val="52CA6EA2"/>
    <w:rsid w:val="52EE7394"/>
    <w:rsid w:val="52FE08FA"/>
    <w:rsid w:val="532E7431"/>
    <w:rsid w:val="536F1F5F"/>
    <w:rsid w:val="537F3F27"/>
    <w:rsid w:val="53EE6BC1"/>
    <w:rsid w:val="53F32C89"/>
    <w:rsid w:val="540B3CA1"/>
    <w:rsid w:val="54296197"/>
    <w:rsid w:val="54AD25D8"/>
    <w:rsid w:val="54B27BEE"/>
    <w:rsid w:val="54EF3436"/>
    <w:rsid w:val="54F3133B"/>
    <w:rsid w:val="55081F04"/>
    <w:rsid w:val="551A792E"/>
    <w:rsid w:val="55376345"/>
    <w:rsid w:val="5539030F"/>
    <w:rsid w:val="55676C2B"/>
    <w:rsid w:val="55886BA1"/>
    <w:rsid w:val="55A95F18"/>
    <w:rsid w:val="55BE25C3"/>
    <w:rsid w:val="56130B60"/>
    <w:rsid w:val="561F5757"/>
    <w:rsid w:val="562C577E"/>
    <w:rsid w:val="56596943"/>
    <w:rsid w:val="566118CC"/>
    <w:rsid w:val="566E5D97"/>
    <w:rsid w:val="568D0913"/>
    <w:rsid w:val="56F23E5F"/>
    <w:rsid w:val="57295F68"/>
    <w:rsid w:val="572F3778"/>
    <w:rsid w:val="57AE6D93"/>
    <w:rsid w:val="57FA595F"/>
    <w:rsid w:val="58022C3B"/>
    <w:rsid w:val="5809221B"/>
    <w:rsid w:val="583A2830"/>
    <w:rsid w:val="584C02BB"/>
    <w:rsid w:val="58AE5A93"/>
    <w:rsid w:val="58D27CC4"/>
    <w:rsid w:val="58E335E5"/>
    <w:rsid w:val="58F00CE5"/>
    <w:rsid w:val="58F92290"/>
    <w:rsid w:val="594159E5"/>
    <w:rsid w:val="59723DF0"/>
    <w:rsid w:val="59AC4C7E"/>
    <w:rsid w:val="59E12036"/>
    <w:rsid w:val="59F14D15"/>
    <w:rsid w:val="5A07278A"/>
    <w:rsid w:val="5A307F33"/>
    <w:rsid w:val="5A490FF5"/>
    <w:rsid w:val="5AD528D5"/>
    <w:rsid w:val="5AF112E5"/>
    <w:rsid w:val="5B555777"/>
    <w:rsid w:val="5B765E19"/>
    <w:rsid w:val="5B865931"/>
    <w:rsid w:val="5BC546AB"/>
    <w:rsid w:val="5BE069CE"/>
    <w:rsid w:val="5BF705DC"/>
    <w:rsid w:val="5C182A2D"/>
    <w:rsid w:val="5C1949F7"/>
    <w:rsid w:val="5C1E200D"/>
    <w:rsid w:val="5C5D0D87"/>
    <w:rsid w:val="5C93062A"/>
    <w:rsid w:val="5CB564CD"/>
    <w:rsid w:val="5CF27722"/>
    <w:rsid w:val="5D094BD7"/>
    <w:rsid w:val="5D4A130C"/>
    <w:rsid w:val="5D8B5480"/>
    <w:rsid w:val="5DC913EB"/>
    <w:rsid w:val="5DFB43B4"/>
    <w:rsid w:val="5E162F9C"/>
    <w:rsid w:val="5E7303EE"/>
    <w:rsid w:val="5ED7519A"/>
    <w:rsid w:val="5ED82947"/>
    <w:rsid w:val="5EF54325"/>
    <w:rsid w:val="5F683CCB"/>
    <w:rsid w:val="5F860D1E"/>
    <w:rsid w:val="5FF94923"/>
    <w:rsid w:val="5FFB4B3F"/>
    <w:rsid w:val="5FFE018B"/>
    <w:rsid w:val="602032C3"/>
    <w:rsid w:val="603E67DA"/>
    <w:rsid w:val="604364E6"/>
    <w:rsid w:val="605E6E7C"/>
    <w:rsid w:val="60956D42"/>
    <w:rsid w:val="60A31449"/>
    <w:rsid w:val="60DA29A7"/>
    <w:rsid w:val="60F01468"/>
    <w:rsid w:val="610F0176"/>
    <w:rsid w:val="614B7400"/>
    <w:rsid w:val="61566557"/>
    <w:rsid w:val="61A60ADB"/>
    <w:rsid w:val="61C176C2"/>
    <w:rsid w:val="61E82EA1"/>
    <w:rsid w:val="62082AE2"/>
    <w:rsid w:val="62976675"/>
    <w:rsid w:val="62C12BFD"/>
    <w:rsid w:val="62F835B8"/>
    <w:rsid w:val="633D721D"/>
    <w:rsid w:val="63603482"/>
    <w:rsid w:val="638E1826"/>
    <w:rsid w:val="639A466F"/>
    <w:rsid w:val="63A86D8C"/>
    <w:rsid w:val="63AE011A"/>
    <w:rsid w:val="63B903A9"/>
    <w:rsid w:val="63CE5BCA"/>
    <w:rsid w:val="63E91153"/>
    <w:rsid w:val="63FA1603"/>
    <w:rsid w:val="64151F48"/>
    <w:rsid w:val="64A86918"/>
    <w:rsid w:val="64C5395D"/>
    <w:rsid w:val="651D7306"/>
    <w:rsid w:val="656E190F"/>
    <w:rsid w:val="659A2704"/>
    <w:rsid w:val="65B35B00"/>
    <w:rsid w:val="66151316"/>
    <w:rsid w:val="661911FC"/>
    <w:rsid w:val="662841B4"/>
    <w:rsid w:val="6655487D"/>
    <w:rsid w:val="66565F77"/>
    <w:rsid w:val="666F3B91"/>
    <w:rsid w:val="669E29D9"/>
    <w:rsid w:val="66D25ECE"/>
    <w:rsid w:val="66D71736"/>
    <w:rsid w:val="66ED0F5A"/>
    <w:rsid w:val="66F153C3"/>
    <w:rsid w:val="66F347C2"/>
    <w:rsid w:val="67363C94"/>
    <w:rsid w:val="673F62CC"/>
    <w:rsid w:val="67492634"/>
    <w:rsid w:val="67717495"/>
    <w:rsid w:val="67B21F1D"/>
    <w:rsid w:val="68650622"/>
    <w:rsid w:val="68A815DC"/>
    <w:rsid w:val="68AA0EB0"/>
    <w:rsid w:val="68CD1043"/>
    <w:rsid w:val="68D26659"/>
    <w:rsid w:val="691F44C8"/>
    <w:rsid w:val="69280027"/>
    <w:rsid w:val="699102C2"/>
    <w:rsid w:val="6A7A3C58"/>
    <w:rsid w:val="6A7C4B8C"/>
    <w:rsid w:val="6AE82164"/>
    <w:rsid w:val="6AFC4C97"/>
    <w:rsid w:val="6BBA3B00"/>
    <w:rsid w:val="6BDC44CF"/>
    <w:rsid w:val="6C180827"/>
    <w:rsid w:val="6C8222E0"/>
    <w:rsid w:val="6D044F63"/>
    <w:rsid w:val="6D4D62AE"/>
    <w:rsid w:val="6D785A21"/>
    <w:rsid w:val="6E3F02ED"/>
    <w:rsid w:val="6E9025FD"/>
    <w:rsid w:val="6ECA1729"/>
    <w:rsid w:val="6EE964AB"/>
    <w:rsid w:val="6EFC4430"/>
    <w:rsid w:val="6F1057E5"/>
    <w:rsid w:val="6F1352D6"/>
    <w:rsid w:val="6F280D81"/>
    <w:rsid w:val="6F392F8E"/>
    <w:rsid w:val="6F3D42FD"/>
    <w:rsid w:val="6F7A7103"/>
    <w:rsid w:val="6FB95E7D"/>
    <w:rsid w:val="6FC5653C"/>
    <w:rsid w:val="6FD809F9"/>
    <w:rsid w:val="70194B6E"/>
    <w:rsid w:val="70333E81"/>
    <w:rsid w:val="705B6F34"/>
    <w:rsid w:val="707B75D6"/>
    <w:rsid w:val="70A1179A"/>
    <w:rsid w:val="70A1528F"/>
    <w:rsid w:val="70C658B5"/>
    <w:rsid w:val="70D77415"/>
    <w:rsid w:val="711041C2"/>
    <w:rsid w:val="718B56CC"/>
    <w:rsid w:val="719426FE"/>
    <w:rsid w:val="71AB5C99"/>
    <w:rsid w:val="71D84CE0"/>
    <w:rsid w:val="723839D1"/>
    <w:rsid w:val="728602AA"/>
    <w:rsid w:val="72A46970"/>
    <w:rsid w:val="72DA6836"/>
    <w:rsid w:val="73360697"/>
    <w:rsid w:val="7440019F"/>
    <w:rsid w:val="74716D26"/>
    <w:rsid w:val="74F02341"/>
    <w:rsid w:val="75053496"/>
    <w:rsid w:val="752F5A8D"/>
    <w:rsid w:val="75BC0475"/>
    <w:rsid w:val="75CB06B8"/>
    <w:rsid w:val="75F714AD"/>
    <w:rsid w:val="76342701"/>
    <w:rsid w:val="76B77DE9"/>
    <w:rsid w:val="76FF2D0F"/>
    <w:rsid w:val="77067FA1"/>
    <w:rsid w:val="77185B7F"/>
    <w:rsid w:val="771A59FA"/>
    <w:rsid w:val="776808B4"/>
    <w:rsid w:val="77AE0291"/>
    <w:rsid w:val="78B10039"/>
    <w:rsid w:val="792A1B99"/>
    <w:rsid w:val="796D627C"/>
    <w:rsid w:val="797B41A3"/>
    <w:rsid w:val="79B24069"/>
    <w:rsid w:val="79B25E17"/>
    <w:rsid w:val="79B37DE1"/>
    <w:rsid w:val="79B7342D"/>
    <w:rsid w:val="79B80F53"/>
    <w:rsid w:val="79E420E8"/>
    <w:rsid w:val="79FF6B82"/>
    <w:rsid w:val="7A1940E8"/>
    <w:rsid w:val="7A195E96"/>
    <w:rsid w:val="7AAA4D40"/>
    <w:rsid w:val="7B340AAD"/>
    <w:rsid w:val="7B783090"/>
    <w:rsid w:val="7BC86E7B"/>
    <w:rsid w:val="7BCD6750"/>
    <w:rsid w:val="7BE70888"/>
    <w:rsid w:val="7C5C02BC"/>
    <w:rsid w:val="7C75137E"/>
    <w:rsid w:val="7CA73C2D"/>
    <w:rsid w:val="7CE103F0"/>
    <w:rsid w:val="7CE704CD"/>
    <w:rsid w:val="7D2D7633"/>
    <w:rsid w:val="7D6E474B"/>
    <w:rsid w:val="7D847ACA"/>
    <w:rsid w:val="7E0C6417"/>
    <w:rsid w:val="7E2748F9"/>
    <w:rsid w:val="7E5C27F5"/>
    <w:rsid w:val="7E6B47E6"/>
    <w:rsid w:val="7E890CA9"/>
    <w:rsid w:val="7EC02D84"/>
    <w:rsid w:val="7ED14F91"/>
    <w:rsid w:val="7ED56AA5"/>
    <w:rsid w:val="7FAC155A"/>
    <w:rsid w:val="7FEC7B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1"/>
    <w:pPr>
      <w:tabs>
        <w:tab w:val="left" w:pos="1140"/>
      </w:tabs>
      <w:adjustRightInd w:val="0"/>
      <w:snapToGrid w:val="0"/>
      <w:spacing w:beforeLines="40" w:afterLines="100"/>
      <w:jc w:val="center"/>
      <w:outlineLvl w:val="0"/>
    </w:pPr>
    <w:rPr>
      <w:rFonts w:ascii="宋体" w:hAnsi="宋体" w:cs="宋体"/>
      <w:b/>
      <w:bCs/>
      <w:kern w:val="44"/>
      <w:sz w:val="32"/>
      <w:szCs w:val="32"/>
    </w:rPr>
  </w:style>
  <w:style w:type="character" w:default="1" w:styleId="11">
    <w:name w:val="Default Paragraph Font"/>
    <w:autoRedefine/>
    <w:unhideWhenUsed/>
    <w:qFormat/>
    <w:uiPriority w:val="1"/>
  </w:style>
  <w:style w:type="table" w:default="1" w:styleId="9">
    <w:name w:val="Normal Table"/>
    <w:autoRedefine/>
    <w:unhideWhenUsed/>
    <w:qFormat/>
    <w:uiPriority w:val="99"/>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Body Text"/>
    <w:basedOn w:val="1"/>
    <w:autoRedefine/>
    <w:unhideWhenUsed/>
    <w:qFormat/>
    <w:uiPriority w:val="99"/>
    <w:pPr>
      <w:spacing w:after="120"/>
    </w:pPr>
  </w:style>
  <w:style w:type="paragraph" w:styleId="5">
    <w:name w:val="Plain Text"/>
    <w:basedOn w:val="1"/>
    <w:autoRedefine/>
    <w:unhideWhenUsed/>
    <w:qFormat/>
    <w:uiPriority w:val="99"/>
    <w:rPr>
      <w:rFonts w:ascii="宋体" w:hAnsi="Courier New" w:cs="宋体"/>
    </w:rPr>
  </w:style>
  <w:style w:type="paragraph" w:styleId="6">
    <w:name w:val="footer"/>
    <w:basedOn w:val="1"/>
    <w:link w:val="12"/>
    <w:autoRedefine/>
    <w:qFormat/>
    <w:uiPriority w:val="0"/>
    <w:pPr>
      <w:tabs>
        <w:tab w:val="center" w:pos="4153"/>
        <w:tab w:val="right" w:pos="8306"/>
      </w:tabs>
      <w:snapToGrid w:val="0"/>
      <w:jc w:val="left"/>
    </w:pPr>
    <w:rPr>
      <w:sz w:val="18"/>
      <w:szCs w:val="18"/>
    </w:rPr>
  </w:style>
  <w:style w:type="paragraph" w:styleId="7">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脚 Char"/>
    <w:basedOn w:val="11"/>
    <w:link w:val="6"/>
    <w:autoRedefine/>
    <w:qFormat/>
    <w:uiPriority w:val="0"/>
    <w:rPr>
      <w:kern w:val="2"/>
      <w:sz w:val="18"/>
      <w:szCs w:val="18"/>
    </w:rPr>
  </w:style>
  <w:style w:type="character" w:customStyle="1" w:styleId="13">
    <w:name w:val="页眉 Char"/>
    <w:basedOn w:val="11"/>
    <w:link w:val="7"/>
    <w:autoRedefine/>
    <w:qFormat/>
    <w:uiPriority w:val="0"/>
    <w:rPr>
      <w:kern w:val="2"/>
      <w:sz w:val="18"/>
      <w:szCs w:val="18"/>
    </w:rPr>
  </w:style>
  <w:style w:type="paragraph" w:customStyle="1" w:styleId="14">
    <w:name w:val="列出段落1"/>
    <w:basedOn w:val="1"/>
    <w:autoRedefine/>
    <w:qFormat/>
    <w:uiPriority w:val="34"/>
    <w:pPr>
      <w:ind w:firstLine="420" w:firstLineChars="200"/>
    </w:pPr>
  </w:style>
  <w:style w:type="paragraph" w:styleId="15">
    <w:name w:val="List Paragraph"/>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1486</Words>
  <Characters>1585</Characters>
  <Lines>66</Lines>
  <Paragraphs>18</Paragraphs>
  <TotalTime>42</TotalTime>
  <ScaleCrop>false</ScaleCrop>
  <LinksUpToDate>false</LinksUpToDate>
  <CharactersWithSpaces>1590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2022-01-28T01:24:00Z</dcterms:created>
  <dc:creator>阿富</dc:creator>
  <cp:lastModifiedBy>Administrator</cp:lastModifiedBy>
  <cp:lastPrinted>2026-05-20T01:58:00Z</cp:lastPrinted>
  <dcterms:modified xsi:type="dcterms:W3CDTF">2026-08-13T07:35:30Z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157924E84AFD41A4BE29CBFB65864065_13</vt:lpwstr>
  </property>
  <property fmtid="{D5CDD505-2E9C-101B-9397-08002B2CF9AE}" pid="4" name="KSOTemplateDocerSaveRecord">
    <vt:lpwstr>eyJoZGlkIjoiYzBhNzA3ODJlZjhmZWJmMTNhYjJkZWZiZjQ4OWVjZDMiLCJ1c2VySWQiOiIzMzY5Mjg2OTAifQ==</vt:lpwstr>
  </property>
</Properties>
</file>