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81E110" w14:textId="77777777" w:rsidR="00146463" w:rsidRDefault="00184B95">
      <w:pPr>
        <w:spacing w:line="560" w:lineRule="exact"/>
        <w:rPr>
          <w:rFonts w:ascii="黑体" w:eastAsia="黑体" w:hAnsi="黑体"/>
          <w:sz w:val="32"/>
          <w:szCs w:val="32"/>
        </w:rPr>
      </w:pPr>
      <w:bookmarkStart w:id="0" w:name="_GoBack"/>
      <w:bookmarkEnd w:id="0"/>
      <w:r>
        <w:rPr>
          <w:rFonts w:ascii="黑体" w:eastAsia="黑体" w:hAnsi="黑体" w:hint="eastAsia"/>
          <w:sz w:val="32"/>
          <w:szCs w:val="32"/>
        </w:rPr>
        <w:t>附件</w:t>
      </w:r>
      <w:r>
        <w:rPr>
          <w:rFonts w:ascii="黑体" w:eastAsia="黑体" w:hAnsi="黑体" w:hint="eastAsia"/>
          <w:sz w:val="32"/>
          <w:szCs w:val="32"/>
        </w:rPr>
        <w:t>2</w:t>
      </w:r>
    </w:p>
    <w:p w14:paraId="4BFA5C5B" w14:textId="77777777" w:rsidR="00146463" w:rsidRDefault="00184B95">
      <w:pPr>
        <w:spacing w:line="560" w:lineRule="exact"/>
        <w:jc w:val="center"/>
        <w:rPr>
          <w:rFonts w:ascii="黑体" w:eastAsia="黑体" w:hAnsi="黑体"/>
          <w:sz w:val="32"/>
          <w:szCs w:val="32"/>
        </w:rPr>
      </w:pPr>
      <w:r>
        <w:rPr>
          <w:rFonts w:ascii="黑体" w:eastAsia="黑体" w:hAnsi="黑体" w:hint="eastAsia"/>
          <w:sz w:val="32"/>
          <w:szCs w:val="32"/>
        </w:rPr>
        <w:t>评分表</w:t>
      </w:r>
    </w:p>
    <w:p w14:paraId="3D9DDA8F" w14:textId="77777777" w:rsidR="00146463" w:rsidRDefault="00184B95">
      <w:pPr>
        <w:spacing w:line="56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自评单位名称：</w:t>
      </w:r>
      <w:r>
        <w:rPr>
          <w:rFonts w:ascii="仿宋_GB2312" w:eastAsia="仿宋_GB2312" w:hAnsi="仿宋_GB2312" w:cs="仿宋_GB2312" w:hint="eastAsia"/>
          <w:sz w:val="36"/>
          <w:szCs w:val="36"/>
        </w:rPr>
        <w:t xml:space="preserve">                     </w:t>
      </w:r>
      <w:r>
        <w:rPr>
          <w:rFonts w:ascii="仿宋_GB2312" w:eastAsia="仿宋_GB2312" w:hAnsi="仿宋_GB2312" w:cs="仿宋_GB2312" w:hint="eastAsia"/>
          <w:sz w:val="32"/>
          <w:szCs w:val="32"/>
        </w:rPr>
        <w:t>（盖章）</w:t>
      </w:r>
    </w:p>
    <w:tbl>
      <w:tblPr>
        <w:tblW w:w="4968"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800"/>
        <w:gridCol w:w="1332"/>
        <w:gridCol w:w="4715"/>
        <w:gridCol w:w="810"/>
        <w:gridCol w:w="810"/>
      </w:tblGrid>
      <w:tr w:rsidR="00146463" w14:paraId="5150D9E6" w14:textId="77777777">
        <w:trPr>
          <w:tblHeader/>
          <w:jc w:val="center"/>
        </w:trPr>
        <w:tc>
          <w:tcPr>
            <w:tcW w:w="1197" w:type="pct"/>
            <w:gridSpan w:val="2"/>
            <w:tcBorders>
              <w:bottom w:val="single" w:sz="6" w:space="0" w:color="auto"/>
              <w:right w:val="single" w:sz="6" w:space="0" w:color="auto"/>
            </w:tcBorders>
            <w:vAlign w:val="center"/>
          </w:tcPr>
          <w:p w14:paraId="76D13045" w14:textId="77777777" w:rsidR="00146463" w:rsidRDefault="00184B95">
            <w:pPr>
              <w:autoSpaceDE w:val="0"/>
              <w:autoSpaceDN w:val="0"/>
              <w:adjustRightInd w:val="0"/>
              <w:snapToGrid w:val="0"/>
              <w:ind w:leftChars="-37" w:left="-78" w:rightChars="-35" w:right="-73"/>
              <w:jc w:val="center"/>
              <w:rPr>
                <w:rFonts w:ascii="仿宋" w:eastAsia="仿宋" w:hAnsi="仿宋" w:cs="仿宋"/>
                <w:b/>
                <w:bCs/>
                <w:szCs w:val="21"/>
              </w:rPr>
            </w:pPr>
            <w:r>
              <w:rPr>
                <w:rFonts w:ascii="仿宋" w:eastAsia="仿宋" w:hAnsi="仿宋" w:cs="仿宋" w:hint="eastAsia"/>
                <w:b/>
                <w:bCs/>
                <w:szCs w:val="21"/>
              </w:rPr>
              <w:t>评审</w:t>
            </w:r>
            <w:r>
              <w:rPr>
                <w:rFonts w:ascii="仿宋" w:eastAsia="仿宋" w:hAnsi="仿宋" w:cs="仿宋" w:hint="eastAsia"/>
                <w:b/>
                <w:bCs/>
                <w:szCs w:val="21"/>
              </w:rPr>
              <w:t>内容</w:t>
            </w:r>
          </w:p>
        </w:tc>
        <w:tc>
          <w:tcPr>
            <w:tcW w:w="2803" w:type="pct"/>
            <w:tcBorders>
              <w:left w:val="single" w:sz="6" w:space="0" w:color="auto"/>
              <w:bottom w:val="single" w:sz="6" w:space="0" w:color="auto"/>
              <w:right w:val="single" w:sz="6" w:space="0" w:color="auto"/>
            </w:tcBorders>
            <w:vAlign w:val="center"/>
          </w:tcPr>
          <w:p w14:paraId="5A5EB154" w14:textId="77777777" w:rsidR="00146463" w:rsidRDefault="00184B95">
            <w:pPr>
              <w:autoSpaceDE w:val="0"/>
              <w:autoSpaceDN w:val="0"/>
              <w:adjustRightInd w:val="0"/>
              <w:snapToGrid w:val="0"/>
              <w:ind w:leftChars="-37" w:left="-78" w:rightChars="-35" w:right="-73"/>
              <w:jc w:val="center"/>
              <w:rPr>
                <w:rFonts w:ascii="仿宋" w:eastAsia="仿宋" w:hAnsi="仿宋" w:cs="仿宋"/>
                <w:b/>
                <w:bCs/>
                <w:szCs w:val="21"/>
              </w:rPr>
            </w:pPr>
            <w:r>
              <w:rPr>
                <w:rFonts w:ascii="仿宋" w:eastAsia="仿宋" w:hAnsi="仿宋" w:cs="仿宋" w:hint="eastAsia"/>
                <w:b/>
                <w:bCs/>
                <w:szCs w:val="21"/>
              </w:rPr>
              <w:t>评分细则</w:t>
            </w:r>
          </w:p>
        </w:tc>
        <w:tc>
          <w:tcPr>
            <w:tcW w:w="499" w:type="pct"/>
            <w:tcBorders>
              <w:left w:val="single" w:sz="6" w:space="0" w:color="auto"/>
              <w:bottom w:val="single" w:sz="6" w:space="0" w:color="auto"/>
              <w:right w:val="single" w:sz="6" w:space="0" w:color="auto"/>
            </w:tcBorders>
            <w:vAlign w:val="center"/>
          </w:tcPr>
          <w:p w14:paraId="1C9516B2" w14:textId="77777777" w:rsidR="00146463" w:rsidRDefault="00184B95">
            <w:pPr>
              <w:autoSpaceDE w:val="0"/>
              <w:autoSpaceDN w:val="0"/>
              <w:adjustRightInd w:val="0"/>
              <w:snapToGrid w:val="0"/>
              <w:ind w:leftChars="-37" w:left="-78" w:rightChars="-35" w:right="-73"/>
              <w:jc w:val="center"/>
              <w:rPr>
                <w:rFonts w:ascii="仿宋" w:eastAsia="仿宋" w:hAnsi="仿宋" w:cs="仿宋"/>
                <w:b/>
                <w:bCs/>
                <w:szCs w:val="21"/>
              </w:rPr>
            </w:pPr>
            <w:r>
              <w:rPr>
                <w:rFonts w:ascii="仿宋" w:eastAsia="仿宋" w:hAnsi="仿宋" w:cs="仿宋" w:hint="eastAsia"/>
                <w:b/>
                <w:bCs/>
                <w:szCs w:val="21"/>
              </w:rPr>
              <w:t>自评得分</w:t>
            </w:r>
          </w:p>
        </w:tc>
        <w:tc>
          <w:tcPr>
            <w:tcW w:w="499" w:type="pct"/>
            <w:tcBorders>
              <w:left w:val="single" w:sz="6" w:space="0" w:color="auto"/>
              <w:bottom w:val="single" w:sz="6" w:space="0" w:color="auto"/>
              <w:right w:val="single" w:sz="6" w:space="0" w:color="auto"/>
            </w:tcBorders>
          </w:tcPr>
          <w:p w14:paraId="1E04FEF4" w14:textId="77777777" w:rsidR="00146463" w:rsidRDefault="00184B95">
            <w:pPr>
              <w:autoSpaceDE w:val="0"/>
              <w:autoSpaceDN w:val="0"/>
              <w:adjustRightInd w:val="0"/>
              <w:snapToGrid w:val="0"/>
              <w:ind w:leftChars="-37" w:left="-78" w:rightChars="-35" w:right="-73"/>
              <w:jc w:val="center"/>
              <w:rPr>
                <w:rFonts w:ascii="仿宋" w:eastAsia="仿宋" w:hAnsi="仿宋" w:cs="仿宋"/>
                <w:b/>
                <w:bCs/>
                <w:szCs w:val="21"/>
              </w:rPr>
            </w:pPr>
            <w:r>
              <w:rPr>
                <w:rFonts w:ascii="仿宋" w:eastAsia="仿宋" w:hAnsi="仿宋" w:cs="仿宋" w:hint="eastAsia"/>
                <w:b/>
                <w:bCs/>
                <w:szCs w:val="21"/>
              </w:rPr>
              <w:t>自评依据</w:t>
            </w:r>
          </w:p>
        </w:tc>
      </w:tr>
      <w:tr w:rsidR="00146463" w14:paraId="3E4BDDD8" w14:textId="77777777">
        <w:trPr>
          <w:jc w:val="center"/>
        </w:trPr>
        <w:tc>
          <w:tcPr>
            <w:tcW w:w="389" w:type="pct"/>
            <w:vMerge w:val="restart"/>
            <w:tcBorders>
              <w:top w:val="single" w:sz="6" w:space="0" w:color="auto"/>
              <w:right w:val="single" w:sz="6" w:space="0" w:color="auto"/>
            </w:tcBorders>
            <w:vAlign w:val="center"/>
          </w:tcPr>
          <w:p w14:paraId="7043772D" w14:textId="77777777" w:rsidR="00146463" w:rsidRDefault="00184B95">
            <w:pPr>
              <w:autoSpaceDE w:val="0"/>
              <w:autoSpaceDN w:val="0"/>
              <w:adjustRightInd w:val="0"/>
              <w:snapToGrid w:val="0"/>
              <w:ind w:leftChars="-37" w:left="-78" w:rightChars="-35" w:right="-73"/>
              <w:jc w:val="center"/>
              <w:rPr>
                <w:rFonts w:ascii="仿宋" w:eastAsia="仿宋" w:hAnsi="仿宋" w:cs="仿宋"/>
                <w:szCs w:val="21"/>
              </w:rPr>
            </w:pPr>
            <w:r>
              <w:rPr>
                <w:rFonts w:ascii="仿宋" w:eastAsia="仿宋" w:hAnsi="仿宋" w:cs="仿宋" w:hint="eastAsia"/>
                <w:szCs w:val="21"/>
              </w:rPr>
              <w:t>技术商务评分</w:t>
            </w:r>
          </w:p>
          <w:p w14:paraId="08B3BBA3" w14:textId="77777777" w:rsidR="00146463" w:rsidRDefault="00184B95">
            <w:pPr>
              <w:autoSpaceDE w:val="0"/>
              <w:autoSpaceDN w:val="0"/>
              <w:adjustRightInd w:val="0"/>
              <w:snapToGrid w:val="0"/>
              <w:ind w:leftChars="-37" w:left="-78" w:rightChars="-35" w:right="-73"/>
              <w:jc w:val="center"/>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90%</w:t>
            </w:r>
            <w:r>
              <w:rPr>
                <w:rFonts w:ascii="仿宋" w:eastAsia="仿宋" w:hAnsi="仿宋" w:cs="仿宋" w:hint="eastAsia"/>
                <w:szCs w:val="21"/>
              </w:rPr>
              <w:t>）</w:t>
            </w:r>
          </w:p>
        </w:tc>
        <w:tc>
          <w:tcPr>
            <w:tcW w:w="808" w:type="pct"/>
            <w:tcBorders>
              <w:top w:val="single" w:sz="6" w:space="0" w:color="auto"/>
              <w:left w:val="single" w:sz="6" w:space="0" w:color="auto"/>
              <w:bottom w:val="single" w:sz="6" w:space="0" w:color="auto"/>
              <w:right w:val="single" w:sz="6" w:space="0" w:color="auto"/>
            </w:tcBorders>
            <w:vAlign w:val="center"/>
          </w:tcPr>
          <w:p w14:paraId="498B8155" w14:textId="77777777" w:rsidR="00146463" w:rsidRDefault="00184B95">
            <w:pPr>
              <w:adjustRightInd w:val="0"/>
              <w:snapToGrid w:val="0"/>
              <w:jc w:val="center"/>
              <w:rPr>
                <w:rFonts w:ascii="仿宋" w:eastAsia="仿宋" w:hAnsi="仿宋" w:cs="仿宋"/>
                <w:szCs w:val="21"/>
              </w:rPr>
            </w:pPr>
            <w:r>
              <w:rPr>
                <w:rFonts w:ascii="仿宋" w:eastAsia="仿宋" w:hAnsi="仿宋" w:cs="仿宋" w:hint="eastAsia"/>
                <w:szCs w:val="21"/>
                <w:lang w:val="en"/>
              </w:rPr>
              <w:t>实施方案</w:t>
            </w:r>
            <w:r>
              <w:rPr>
                <w:rFonts w:ascii="仿宋" w:eastAsia="仿宋" w:hAnsi="仿宋" w:cs="仿宋" w:hint="eastAsia"/>
                <w:szCs w:val="21"/>
                <w:lang w:val="en"/>
              </w:rPr>
              <w:t>（</w:t>
            </w:r>
            <w:r>
              <w:rPr>
                <w:rFonts w:ascii="仿宋" w:eastAsia="仿宋" w:hAnsi="仿宋" w:cs="仿宋" w:hint="eastAsia"/>
                <w:szCs w:val="21"/>
              </w:rPr>
              <w:t>25</w:t>
            </w:r>
            <w:r>
              <w:rPr>
                <w:rFonts w:ascii="仿宋" w:eastAsia="仿宋" w:hAnsi="仿宋" w:cs="仿宋" w:hint="eastAsia"/>
                <w:szCs w:val="21"/>
              </w:rPr>
              <w:t>分</w:t>
            </w:r>
            <w:r>
              <w:rPr>
                <w:rFonts w:ascii="仿宋" w:eastAsia="仿宋" w:hAnsi="仿宋" w:cs="仿宋" w:hint="eastAsia"/>
                <w:szCs w:val="21"/>
                <w:lang w:val="en"/>
              </w:rPr>
              <w:t>）</w:t>
            </w:r>
          </w:p>
        </w:tc>
        <w:tc>
          <w:tcPr>
            <w:tcW w:w="2803" w:type="pct"/>
            <w:tcBorders>
              <w:top w:val="single" w:sz="6" w:space="0" w:color="auto"/>
              <w:left w:val="single" w:sz="6" w:space="0" w:color="auto"/>
              <w:bottom w:val="single" w:sz="6" w:space="0" w:color="auto"/>
              <w:right w:val="single" w:sz="6" w:space="0" w:color="auto"/>
            </w:tcBorders>
            <w:vAlign w:val="center"/>
          </w:tcPr>
          <w:p w14:paraId="6286E86E"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1</w:t>
            </w:r>
            <w:r>
              <w:rPr>
                <w:rFonts w:ascii="仿宋" w:eastAsia="仿宋" w:hAnsi="仿宋" w:cs="仿宋" w:hint="eastAsia"/>
                <w:szCs w:val="21"/>
              </w:rPr>
              <w:t>）项目实施方案完整、详细，工作流程设计科学合理，现场排查及审核反馈流程可行性强，能高效完成全部工作的，得</w:t>
            </w:r>
            <w:r>
              <w:rPr>
                <w:rFonts w:ascii="仿宋" w:eastAsia="仿宋" w:hAnsi="仿宋" w:cs="仿宋" w:hint="eastAsia"/>
                <w:szCs w:val="21"/>
              </w:rPr>
              <w:t>25</w:t>
            </w:r>
            <w:r>
              <w:rPr>
                <w:rFonts w:ascii="仿宋" w:eastAsia="仿宋" w:hAnsi="仿宋" w:cs="仿宋" w:hint="eastAsia"/>
                <w:szCs w:val="21"/>
              </w:rPr>
              <w:t>分；</w:t>
            </w:r>
          </w:p>
          <w:p w14:paraId="2127F387"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2</w:t>
            </w:r>
            <w:r>
              <w:rPr>
                <w:rFonts w:ascii="仿宋" w:eastAsia="仿宋" w:hAnsi="仿宋" w:cs="仿宋" w:hint="eastAsia"/>
                <w:szCs w:val="21"/>
              </w:rPr>
              <w:t>）项目实施方案较完整、详细，工作流程设计较为合理，能完成主要工作内容的，得</w:t>
            </w:r>
            <w:r>
              <w:rPr>
                <w:rFonts w:ascii="仿宋" w:eastAsia="仿宋" w:hAnsi="仿宋" w:cs="仿宋" w:hint="eastAsia"/>
                <w:szCs w:val="21"/>
              </w:rPr>
              <w:t>15</w:t>
            </w:r>
            <w:r>
              <w:rPr>
                <w:rFonts w:ascii="仿宋" w:eastAsia="仿宋" w:hAnsi="仿宋" w:cs="仿宋" w:hint="eastAsia"/>
                <w:szCs w:val="21"/>
              </w:rPr>
              <w:t>分；</w:t>
            </w:r>
          </w:p>
          <w:p w14:paraId="7422805C"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3</w:t>
            </w:r>
            <w:r>
              <w:rPr>
                <w:rFonts w:ascii="仿宋" w:eastAsia="仿宋" w:hAnsi="仿宋" w:cs="仿宋" w:hint="eastAsia"/>
                <w:szCs w:val="21"/>
              </w:rPr>
              <w:t>）项目实施方案基本完整，但部分关键环节安排不明确的，得</w:t>
            </w:r>
            <w:r>
              <w:rPr>
                <w:rFonts w:ascii="仿宋" w:eastAsia="仿宋" w:hAnsi="仿宋" w:cs="仿宋" w:hint="eastAsia"/>
                <w:szCs w:val="21"/>
              </w:rPr>
              <w:t>10</w:t>
            </w:r>
            <w:r>
              <w:rPr>
                <w:rFonts w:ascii="仿宋" w:eastAsia="仿宋" w:hAnsi="仿宋" w:cs="仿宋" w:hint="eastAsia"/>
                <w:szCs w:val="21"/>
              </w:rPr>
              <w:t>分；</w:t>
            </w:r>
          </w:p>
          <w:p w14:paraId="3996C914" w14:textId="77777777" w:rsidR="00146463" w:rsidRDefault="00184B95">
            <w:pPr>
              <w:adjustRightInd w:val="0"/>
              <w:snapToGrid w:val="0"/>
              <w:jc w:val="left"/>
              <w:rPr>
                <w:rFonts w:ascii="仿宋" w:eastAsia="仿宋" w:hAnsi="仿宋" w:cs="仿宋"/>
                <w:szCs w:val="21"/>
                <w:lang w:val="en"/>
              </w:rPr>
            </w:pPr>
            <w:r>
              <w:rPr>
                <w:rFonts w:ascii="仿宋" w:eastAsia="仿宋" w:hAnsi="仿宋" w:cs="仿宋" w:hint="eastAsia"/>
                <w:szCs w:val="21"/>
              </w:rPr>
              <w:t>（</w:t>
            </w:r>
            <w:r>
              <w:rPr>
                <w:rFonts w:ascii="仿宋" w:eastAsia="仿宋" w:hAnsi="仿宋" w:cs="仿宋" w:hint="eastAsia"/>
                <w:szCs w:val="21"/>
              </w:rPr>
              <w:t>4</w:t>
            </w:r>
            <w:r>
              <w:rPr>
                <w:rFonts w:ascii="仿宋" w:eastAsia="仿宋" w:hAnsi="仿宋" w:cs="仿宋" w:hint="eastAsia"/>
                <w:szCs w:val="21"/>
              </w:rPr>
              <w:t>）未提交实施方案或内容严重偏离项目需求的，不得分。</w:t>
            </w:r>
          </w:p>
        </w:tc>
        <w:tc>
          <w:tcPr>
            <w:tcW w:w="499" w:type="pct"/>
            <w:tcBorders>
              <w:top w:val="single" w:sz="6" w:space="0" w:color="auto"/>
              <w:left w:val="single" w:sz="6" w:space="0" w:color="auto"/>
              <w:bottom w:val="single" w:sz="6" w:space="0" w:color="auto"/>
              <w:right w:val="single" w:sz="6" w:space="0" w:color="auto"/>
            </w:tcBorders>
            <w:vAlign w:val="center"/>
          </w:tcPr>
          <w:p w14:paraId="02D39A9A" w14:textId="77777777" w:rsidR="00146463" w:rsidRDefault="00146463">
            <w:pPr>
              <w:adjustRightInd w:val="0"/>
              <w:snapToGrid w:val="0"/>
              <w:jc w:val="center"/>
              <w:rPr>
                <w:rFonts w:ascii="仿宋" w:eastAsia="仿宋" w:hAnsi="仿宋" w:cs="仿宋"/>
                <w:szCs w:val="21"/>
              </w:rPr>
            </w:pPr>
          </w:p>
        </w:tc>
        <w:tc>
          <w:tcPr>
            <w:tcW w:w="499" w:type="pct"/>
            <w:tcBorders>
              <w:top w:val="single" w:sz="6" w:space="0" w:color="auto"/>
              <w:left w:val="single" w:sz="6" w:space="0" w:color="auto"/>
              <w:bottom w:val="single" w:sz="6" w:space="0" w:color="auto"/>
              <w:right w:val="single" w:sz="6" w:space="0" w:color="auto"/>
            </w:tcBorders>
          </w:tcPr>
          <w:p w14:paraId="45E490BB" w14:textId="77777777" w:rsidR="00146463" w:rsidRDefault="00146463">
            <w:pPr>
              <w:adjustRightInd w:val="0"/>
              <w:snapToGrid w:val="0"/>
              <w:jc w:val="center"/>
              <w:rPr>
                <w:rFonts w:ascii="仿宋" w:eastAsia="仿宋" w:hAnsi="仿宋" w:cs="仿宋"/>
                <w:szCs w:val="21"/>
              </w:rPr>
            </w:pPr>
          </w:p>
        </w:tc>
      </w:tr>
      <w:tr w:rsidR="00146463" w14:paraId="71FD5C82" w14:textId="77777777">
        <w:trPr>
          <w:jc w:val="center"/>
        </w:trPr>
        <w:tc>
          <w:tcPr>
            <w:tcW w:w="389" w:type="pct"/>
            <w:vMerge/>
            <w:tcBorders>
              <w:right w:val="single" w:sz="6" w:space="0" w:color="auto"/>
            </w:tcBorders>
            <w:vAlign w:val="center"/>
          </w:tcPr>
          <w:p w14:paraId="1AD9EC69" w14:textId="77777777" w:rsidR="00146463" w:rsidRDefault="00146463">
            <w:pPr>
              <w:autoSpaceDE w:val="0"/>
              <w:autoSpaceDN w:val="0"/>
              <w:adjustRightInd w:val="0"/>
              <w:snapToGrid w:val="0"/>
              <w:jc w:val="center"/>
              <w:rPr>
                <w:rFonts w:ascii="仿宋" w:eastAsia="仿宋" w:hAnsi="仿宋" w:cs="仿宋"/>
                <w:szCs w:val="21"/>
              </w:rPr>
            </w:pPr>
          </w:p>
        </w:tc>
        <w:tc>
          <w:tcPr>
            <w:tcW w:w="808" w:type="pct"/>
            <w:tcBorders>
              <w:top w:val="single" w:sz="6" w:space="0" w:color="auto"/>
              <w:left w:val="single" w:sz="6" w:space="0" w:color="auto"/>
              <w:bottom w:val="single" w:sz="6" w:space="0" w:color="auto"/>
              <w:right w:val="single" w:sz="6" w:space="0" w:color="auto"/>
            </w:tcBorders>
            <w:vAlign w:val="center"/>
          </w:tcPr>
          <w:p w14:paraId="7EEE8195" w14:textId="77777777" w:rsidR="00146463" w:rsidRDefault="00184B95">
            <w:pPr>
              <w:adjustRightInd w:val="0"/>
              <w:snapToGrid w:val="0"/>
              <w:jc w:val="center"/>
              <w:rPr>
                <w:rFonts w:ascii="仿宋" w:eastAsia="仿宋" w:hAnsi="仿宋" w:cs="仿宋"/>
                <w:szCs w:val="21"/>
              </w:rPr>
            </w:pPr>
            <w:r>
              <w:rPr>
                <w:rFonts w:ascii="仿宋" w:eastAsia="仿宋" w:hAnsi="仿宋" w:cs="仿宋" w:hint="eastAsia"/>
                <w:szCs w:val="21"/>
                <w:lang w:val="en"/>
              </w:rPr>
              <w:t>质量</w:t>
            </w:r>
            <w:r>
              <w:rPr>
                <w:rFonts w:ascii="仿宋" w:eastAsia="仿宋" w:hAnsi="仿宋" w:cs="仿宋" w:hint="eastAsia"/>
                <w:szCs w:val="21"/>
              </w:rPr>
              <w:t>保障</w:t>
            </w:r>
            <w:r>
              <w:rPr>
                <w:rFonts w:ascii="仿宋" w:eastAsia="仿宋" w:hAnsi="仿宋" w:cs="仿宋" w:hint="eastAsia"/>
                <w:szCs w:val="21"/>
                <w:lang w:val="en"/>
              </w:rPr>
              <w:t>措施</w:t>
            </w:r>
            <w:r>
              <w:rPr>
                <w:rFonts w:ascii="仿宋" w:eastAsia="仿宋" w:hAnsi="仿宋" w:cs="仿宋" w:hint="eastAsia"/>
                <w:szCs w:val="21"/>
                <w:lang w:val="en"/>
              </w:rPr>
              <w:t>（</w:t>
            </w:r>
            <w:r>
              <w:rPr>
                <w:rFonts w:ascii="仿宋" w:eastAsia="仿宋" w:hAnsi="仿宋" w:cs="仿宋" w:hint="eastAsia"/>
                <w:szCs w:val="21"/>
              </w:rPr>
              <w:t>25</w:t>
            </w:r>
            <w:r>
              <w:rPr>
                <w:rFonts w:ascii="仿宋" w:eastAsia="仿宋" w:hAnsi="仿宋" w:cs="仿宋" w:hint="eastAsia"/>
                <w:szCs w:val="21"/>
              </w:rPr>
              <w:t>分</w:t>
            </w:r>
            <w:r>
              <w:rPr>
                <w:rFonts w:ascii="仿宋" w:eastAsia="仿宋" w:hAnsi="仿宋" w:cs="仿宋" w:hint="eastAsia"/>
                <w:szCs w:val="21"/>
                <w:lang w:val="en"/>
              </w:rPr>
              <w:t>）</w:t>
            </w:r>
          </w:p>
        </w:tc>
        <w:tc>
          <w:tcPr>
            <w:tcW w:w="2803" w:type="pct"/>
            <w:tcBorders>
              <w:top w:val="single" w:sz="6" w:space="0" w:color="auto"/>
              <w:left w:val="single" w:sz="6" w:space="0" w:color="auto"/>
              <w:bottom w:val="single" w:sz="6" w:space="0" w:color="auto"/>
              <w:right w:val="single" w:sz="6" w:space="0" w:color="auto"/>
            </w:tcBorders>
            <w:vAlign w:val="center"/>
          </w:tcPr>
          <w:p w14:paraId="3F9E60E4"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根据供应商提供的质量保障措施进行评审：</w:t>
            </w:r>
          </w:p>
          <w:p w14:paraId="49BAC46B"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1</w:t>
            </w:r>
            <w:r>
              <w:rPr>
                <w:rFonts w:ascii="仿宋" w:eastAsia="仿宋" w:hAnsi="仿宋" w:cs="仿宋" w:hint="eastAsia"/>
                <w:szCs w:val="21"/>
              </w:rPr>
              <w:t>）质量保障措施详细、合理，具有针对性，可操作性强，得</w:t>
            </w:r>
            <w:r>
              <w:rPr>
                <w:rFonts w:ascii="仿宋" w:eastAsia="仿宋" w:hAnsi="仿宋" w:cs="仿宋" w:hint="eastAsia"/>
                <w:szCs w:val="21"/>
              </w:rPr>
              <w:t>25</w:t>
            </w:r>
            <w:r>
              <w:rPr>
                <w:rFonts w:ascii="仿宋" w:eastAsia="仿宋" w:hAnsi="仿宋" w:cs="仿宋" w:hint="eastAsia"/>
                <w:szCs w:val="21"/>
              </w:rPr>
              <w:t>分；</w:t>
            </w:r>
          </w:p>
          <w:p w14:paraId="0DDB3D9A" w14:textId="77777777" w:rsidR="00146463" w:rsidRDefault="00184B95">
            <w:pPr>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2</w:t>
            </w:r>
            <w:r>
              <w:rPr>
                <w:rFonts w:ascii="仿宋" w:eastAsia="仿宋" w:hAnsi="仿宋" w:cs="仿宋" w:hint="eastAsia"/>
                <w:szCs w:val="21"/>
              </w:rPr>
              <w:t>）质量保障措施基本完善，可操作性有所欠缺，得</w:t>
            </w:r>
            <w:r>
              <w:rPr>
                <w:rFonts w:ascii="仿宋" w:eastAsia="仿宋" w:hAnsi="仿宋" w:cs="仿宋" w:hint="eastAsia"/>
                <w:szCs w:val="21"/>
              </w:rPr>
              <w:t>15</w:t>
            </w:r>
            <w:r>
              <w:rPr>
                <w:rFonts w:ascii="仿宋" w:eastAsia="仿宋" w:hAnsi="仿宋" w:cs="仿宋" w:hint="eastAsia"/>
                <w:szCs w:val="21"/>
              </w:rPr>
              <w:t>分；</w:t>
            </w:r>
          </w:p>
          <w:p w14:paraId="04053F33" w14:textId="77777777" w:rsidR="00146463" w:rsidRDefault="00184B95">
            <w:pPr>
              <w:pStyle w:val="a3"/>
              <w:snapToGrid w:val="0"/>
              <w:ind w:firstLine="0"/>
              <w:textAlignment w:val="auto"/>
              <w:rPr>
                <w:rFonts w:ascii="仿宋" w:eastAsia="仿宋" w:hAnsi="仿宋" w:cs="仿宋"/>
                <w:sz w:val="20"/>
                <w:szCs w:val="21"/>
              </w:rPr>
            </w:pPr>
            <w:r>
              <w:rPr>
                <w:rFonts w:ascii="仿宋" w:eastAsia="仿宋" w:hAnsi="仿宋" w:cs="仿宋" w:hint="eastAsia"/>
                <w:sz w:val="20"/>
                <w:szCs w:val="21"/>
              </w:rPr>
              <w:t>（</w:t>
            </w:r>
            <w:r>
              <w:rPr>
                <w:rFonts w:ascii="仿宋" w:eastAsia="仿宋" w:hAnsi="仿宋" w:cs="仿宋" w:hint="eastAsia"/>
                <w:sz w:val="20"/>
                <w:szCs w:val="21"/>
              </w:rPr>
              <w:t>3</w:t>
            </w:r>
            <w:r>
              <w:rPr>
                <w:rFonts w:ascii="仿宋" w:eastAsia="仿宋" w:hAnsi="仿宋" w:cs="仿宋" w:hint="eastAsia"/>
                <w:sz w:val="20"/>
                <w:szCs w:val="21"/>
              </w:rPr>
              <w:t>）质量保障措施基本完善，但缺乏可操作性，得</w:t>
            </w:r>
            <w:r>
              <w:rPr>
                <w:rFonts w:ascii="仿宋" w:eastAsia="仿宋" w:hAnsi="仿宋" w:cs="仿宋" w:hint="eastAsia"/>
                <w:sz w:val="20"/>
                <w:szCs w:val="21"/>
              </w:rPr>
              <w:t>10</w:t>
            </w:r>
            <w:r>
              <w:rPr>
                <w:rFonts w:ascii="仿宋" w:eastAsia="仿宋" w:hAnsi="仿宋" w:cs="仿宋" w:hint="eastAsia"/>
                <w:sz w:val="20"/>
                <w:szCs w:val="21"/>
              </w:rPr>
              <w:t>分；</w:t>
            </w:r>
          </w:p>
          <w:p w14:paraId="3853BA51" w14:textId="77777777" w:rsidR="00146463" w:rsidRDefault="00184B95">
            <w:pPr>
              <w:adjustRightInd w:val="0"/>
              <w:snapToGrid w:val="0"/>
              <w:jc w:val="left"/>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4</w:t>
            </w:r>
            <w:r>
              <w:rPr>
                <w:rFonts w:ascii="仿宋" w:eastAsia="仿宋" w:hAnsi="仿宋" w:cs="仿宋" w:hint="eastAsia"/>
                <w:szCs w:val="21"/>
              </w:rPr>
              <w:t>）质量保障措施可行性差或无提供，均不得分。</w:t>
            </w:r>
          </w:p>
        </w:tc>
        <w:tc>
          <w:tcPr>
            <w:tcW w:w="499" w:type="pct"/>
            <w:tcBorders>
              <w:top w:val="single" w:sz="6" w:space="0" w:color="auto"/>
              <w:left w:val="single" w:sz="6" w:space="0" w:color="auto"/>
              <w:bottom w:val="single" w:sz="6" w:space="0" w:color="auto"/>
              <w:right w:val="single" w:sz="6" w:space="0" w:color="auto"/>
            </w:tcBorders>
            <w:vAlign w:val="center"/>
          </w:tcPr>
          <w:p w14:paraId="6F81F200" w14:textId="77777777" w:rsidR="00146463" w:rsidRDefault="00146463">
            <w:pPr>
              <w:adjustRightInd w:val="0"/>
              <w:snapToGrid w:val="0"/>
              <w:jc w:val="center"/>
              <w:rPr>
                <w:rFonts w:ascii="仿宋" w:eastAsia="仿宋" w:hAnsi="仿宋" w:cs="仿宋"/>
                <w:szCs w:val="21"/>
              </w:rPr>
            </w:pPr>
          </w:p>
        </w:tc>
        <w:tc>
          <w:tcPr>
            <w:tcW w:w="499" w:type="pct"/>
            <w:tcBorders>
              <w:top w:val="single" w:sz="6" w:space="0" w:color="auto"/>
              <w:left w:val="single" w:sz="6" w:space="0" w:color="auto"/>
              <w:bottom w:val="single" w:sz="6" w:space="0" w:color="auto"/>
              <w:right w:val="single" w:sz="6" w:space="0" w:color="auto"/>
            </w:tcBorders>
          </w:tcPr>
          <w:p w14:paraId="3E68AD9A" w14:textId="77777777" w:rsidR="00146463" w:rsidRDefault="00146463">
            <w:pPr>
              <w:adjustRightInd w:val="0"/>
              <w:snapToGrid w:val="0"/>
              <w:jc w:val="center"/>
              <w:rPr>
                <w:rFonts w:ascii="仿宋" w:eastAsia="仿宋" w:hAnsi="仿宋" w:cs="仿宋"/>
                <w:szCs w:val="21"/>
              </w:rPr>
            </w:pPr>
          </w:p>
        </w:tc>
      </w:tr>
      <w:tr w:rsidR="00146463" w14:paraId="54E0ADC5" w14:textId="77777777">
        <w:trPr>
          <w:jc w:val="center"/>
        </w:trPr>
        <w:tc>
          <w:tcPr>
            <w:tcW w:w="389" w:type="pct"/>
            <w:vMerge/>
            <w:tcBorders>
              <w:right w:val="single" w:sz="6" w:space="0" w:color="auto"/>
            </w:tcBorders>
            <w:vAlign w:val="center"/>
          </w:tcPr>
          <w:p w14:paraId="03BAFA1D" w14:textId="77777777" w:rsidR="00146463" w:rsidRDefault="00146463">
            <w:pPr>
              <w:autoSpaceDE w:val="0"/>
              <w:autoSpaceDN w:val="0"/>
              <w:adjustRightInd w:val="0"/>
              <w:snapToGrid w:val="0"/>
              <w:jc w:val="center"/>
              <w:rPr>
                <w:rFonts w:ascii="仿宋" w:eastAsia="仿宋" w:hAnsi="仿宋" w:cs="仿宋"/>
                <w:bCs/>
                <w:szCs w:val="21"/>
              </w:rPr>
            </w:pPr>
          </w:p>
        </w:tc>
        <w:tc>
          <w:tcPr>
            <w:tcW w:w="808" w:type="pct"/>
            <w:tcBorders>
              <w:top w:val="single" w:sz="6" w:space="0" w:color="auto"/>
              <w:left w:val="single" w:sz="6" w:space="0" w:color="auto"/>
              <w:bottom w:val="single" w:sz="6" w:space="0" w:color="auto"/>
              <w:right w:val="single" w:sz="6" w:space="0" w:color="auto"/>
            </w:tcBorders>
            <w:vAlign w:val="center"/>
          </w:tcPr>
          <w:p w14:paraId="1538F515" w14:textId="77777777" w:rsidR="00146463" w:rsidRDefault="00184B95">
            <w:pPr>
              <w:adjustRightInd w:val="0"/>
              <w:snapToGrid w:val="0"/>
              <w:jc w:val="center"/>
              <w:rPr>
                <w:rFonts w:ascii="仿宋" w:eastAsia="仿宋" w:hAnsi="仿宋" w:cs="仿宋"/>
                <w:szCs w:val="21"/>
              </w:rPr>
            </w:pPr>
            <w:r>
              <w:rPr>
                <w:rFonts w:ascii="仿宋" w:eastAsia="仿宋" w:hAnsi="仿宋" w:cs="仿宋" w:hint="eastAsia"/>
                <w:szCs w:val="21"/>
              </w:rPr>
              <w:t>项目业绩</w:t>
            </w:r>
            <w:r>
              <w:rPr>
                <w:rFonts w:ascii="仿宋" w:eastAsia="仿宋" w:hAnsi="仿宋" w:cs="仿宋" w:hint="eastAsia"/>
                <w:szCs w:val="21"/>
                <w:lang w:val="en"/>
              </w:rPr>
              <w:t>（</w:t>
            </w:r>
            <w:r>
              <w:rPr>
                <w:rFonts w:ascii="仿宋" w:eastAsia="仿宋" w:hAnsi="仿宋" w:cs="仿宋" w:hint="eastAsia"/>
                <w:szCs w:val="21"/>
              </w:rPr>
              <w:t>10</w:t>
            </w:r>
            <w:r>
              <w:rPr>
                <w:rFonts w:ascii="仿宋" w:eastAsia="仿宋" w:hAnsi="仿宋" w:cs="仿宋" w:hint="eastAsia"/>
                <w:szCs w:val="21"/>
              </w:rPr>
              <w:t>分</w:t>
            </w:r>
            <w:r>
              <w:rPr>
                <w:rFonts w:ascii="仿宋" w:eastAsia="仿宋" w:hAnsi="仿宋" w:cs="仿宋" w:hint="eastAsia"/>
                <w:szCs w:val="21"/>
                <w:lang w:val="en"/>
              </w:rPr>
              <w:t>）</w:t>
            </w:r>
          </w:p>
        </w:tc>
        <w:tc>
          <w:tcPr>
            <w:tcW w:w="2803" w:type="pct"/>
            <w:tcBorders>
              <w:top w:val="single" w:sz="6" w:space="0" w:color="auto"/>
              <w:left w:val="single" w:sz="6" w:space="0" w:color="auto"/>
              <w:bottom w:val="single" w:sz="6" w:space="0" w:color="auto"/>
              <w:right w:val="single" w:sz="6" w:space="0" w:color="auto"/>
            </w:tcBorders>
            <w:vAlign w:val="center"/>
          </w:tcPr>
          <w:p w14:paraId="5378F483"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2024</w:t>
            </w:r>
            <w:r>
              <w:rPr>
                <w:rFonts w:ascii="仿宋" w:eastAsia="仿宋" w:hAnsi="仿宋" w:cs="仿宋" w:hint="eastAsia"/>
                <w:szCs w:val="21"/>
              </w:rPr>
              <w:t>年</w:t>
            </w:r>
            <w:r>
              <w:rPr>
                <w:rFonts w:ascii="仿宋" w:eastAsia="仿宋" w:hAnsi="仿宋" w:cs="仿宋" w:hint="eastAsia"/>
                <w:szCs w:val="21"/>
              </w:rPr>
              <w:t>1</w:t>
            </w:r>
            <w:r>
              <w:rPr>
                <w:rFonts w:ascii="仿宋" w:eastAsia="仿宋" w:hAnsi="仿宋" w:cs="仿宋" w:hint="eastAsia"/>
                <w:szCs w:val="21"/>
              </w:rPr>
              <w:t>月</w:t>
            </w:r>
            <w:r>
              <w:rPr>
                <w:rFonts w:ascii="仿宋" w:eastAsia="仿宋" w:hAnsi="仿宋" w:cs="仿宋" w:hint="eastAsia"/>
                <w:szCs w:val="21"/>
              </w:rPr>
              <w:t>1</w:t>
            </w:r>
            <w:r>
              <w:rPr>
                <w:rFonts w:ascii="仿宋" w:eastAsia="仿宋" w:hAnsi="仿宋" w:cs="仿宋" w:hint="eastAsia"/>
                <w:szCs w:val="21"/>
              </w:rPr>
              <w:t>日以来，</w:t>
            </w:r>
            <w:r>
              <w:rPr>
                <w:rFonts w:ascii="仿宋" w:eastAsia="仿宋" w:hAnsi="仿宋" w:cs="仿宋" w:hint="eastAsia"/>
                <w:szCs w:val="21"/>
              </w:rPr>
              <w:t>供应商承担</w:t>
            </w:r>
            <w:proofErr w:type="gramStart"/>
            <w:r>
              <w:rPr>
                <w:rFonts w:ascii="仿宋" w:eastAsia="仿宋" w:hAnsi="仿宋" w:cs="仿宋" w:hint="eastAsia"/>
                <w:szCs w:val="21"/>
              </w:rPr>
              <w:t>过开展</w:t>
            </w:r>
            <w:proofErr w:type="gramEnd"/>
            <w:r>
              <w:rPr>
                <w:rFonts w:ascii="仿宋" w:eastAsia="仿宋" w:hAnsi="仿宋" w:cs="仿宋" w:hint="eastAsia"/>
                <w:szCs w:val="21"/>
              </w:rPr>
              <w:t>现场核查的环保技术服务类项目业绩（包括</w:t>
            </w:r>
            <w:r>
              <w:rPr>
                <w:rFonts w:ascii="仿宋" w:eastAsia="仿宋" w:hAnsi="仿宋" w:cs="仿宋" w:hint="eastAsia"/>
                <w:szCs w:val="21"/>
              </w:rPr>
              <w:t>辅助执法、</w:t>
            </w:r>
            <w:r>
              <w:rPr>
                <w:rFonts w:ascii="仿宋" w:eastAsia="仿宋" w:hAnsi="仿宋" w:cs="仿宋" w:hint="eastAsia"/>
                <w:szCs w:val="21"/>
              </w:rPr>
              <w:t>排污许可证核发技术支撑服务、</w:t>
            </w:r>
            <w:r>
              <w:rPr>
                <w:rFonts w:ascii="仿宋" w:eastAsia="仿宋" w:hAnsi="仿宋" w:cs="仿宋" w:hint="eastAsia"/>
                <w:szCs w:val="21"/>
              </w:rPr>
              <w:t>工业污染排查等</w:t>
            </w:r>
            <w:r>
              <w:rPr>
                <w:rFonts w:ascii="仿宋" w:eastAsia="仿宋" w:hAnsi="仿宋" w:cs="仿宋" w:hint="eastAsia"/>
                <w:szCs w:val="21"/>
              </w:rPr>
              <w:t>项目），每提供一个得</w:t>
            </w:r>
            <w:r>
              <w:rPr>
                <w:rFonts w:ascii="仿宋" w:eastAsia="仿宋" w:hAnsi="仿宋" w:cs="仿宋" w:hint="eastAsia"/>
                <w:szCs w:val="21"/>
              </w:rPr>
              <w:t>2</w:t>
            </w:r>
            <w:r>
              <w:rPr>
                <w:rFonts w:ascii="仿宋" w:eastAsia="仿宋" w:hAnsi="仿宋" w:cs="仿宋" w:hint="eastAsia"/>
                <w:szCs w:val="21"/>
              </w:rPr>
              <w:t>分，本项最高得</w:t>
            </w:r>
            <w:r>
              <w:rPr>
                <w:rFonts w:ascii="仿宋" w:eastAsia="仿宋" w:hAnsi="仿宋" w:cs="仿宋" w:hint="eastAsia"/>
                <w:szCs w:val="21"/>
              </w:rPr>
              <w:t>10</w:t>
            </w:r>
            <w:r>
              <w:rPr>
                <w:rFonts w:ascii="仿宋" w:eastAsia="仿宋" w:hAnsi="仿宋" w:cs="仿宋" w:hint="eastAsia"/>
                <w:szCs w:val="21"/>
              </w:rPr>
              <w:t>分；</w:t>
            </w:r>
          </w:p>
          <w:p w14:paraId="1C8F80CD"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注</w:t>
            </w:r>
            <w:r>
              <w:rPr>
                <w:rFonts w:ascii="仿宋" w:eastAsia="仿宋" w:hAnsi="仿宋" w:cs="仿宋" w:hint="eastAsia"/>
                <w:szCs w:val="21"/>
              </w:rPr>
              <w:t>:</w:t>
            </w:r>
            <w:r>
              <w:rPr>
                <w:rFonts w:ascii="仿宋" w:eastAsia="仿宋" w:hAnsi="仿宋" w:cs="仿宋" w:hint="eastAsia"/>
                <w:szCs w:val="21"/>
              </w:rPr>
              <w:t>①须提供项目合同复印件并加盖供应商公章，提供不全或未提供不得分。</w:t>
            </w:r>
          </w:p>
          <w:p w14:paraId="5A0D110E"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②同一份合同包括两种及以上业绩的只计分一次，不重复计分。</w:t>
            </w:r>
          </w:p>
          <w:p w14:paraId="6CD23F94"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③仅为企业“一对一”提供排污许可填报、环保管家、应急预案编制等有偿服务的有关业务，不作为本项目有效业绩。</w:t>
            </w:r>
          </w:p>
        </w:tc>
        <w:tc>
          <w:tcPr>
            <w:tcW w:w="499" w:type="pct"/>
            <w:tcBorders>
              <w:top w:val="single" w:sz="6" w:space="0" w:color="auto"/>
              <w:left w:val="single" w:sz="6" w:space="0" w:color="auto"/>
              <w:bottom w:val="single" w:sz="6" w:space="0" w:color="auto"/>
              <w:right w:val="single" w:sz="6" w:space="0" w:color="auto"/>
            </w:tcBorders>
            <w:vAlign w:val="center"/>
          </w:tcPr>
          <w:p w14:paraId="79149BB8" w14:textId="77777777" w:rsidR="00146463" w:rsidRDefault="00146463">
            <w:pPr>
              <w:autoSpaceDE w:val="0"/>
              <w:autoSpaceDN w:val="0"/>
              <w:adjustRightInd w:val="0"/>
              <w:snapToGrid w:val="0"/>
              <w:ind w:leftChars="-30" w:left="-63" w:rightChars="-42" w:right="-88"/>
              <w:jc w:val="center"/>
              <w:rPr>
                <w:rFonts w:ascii="仿宋" w:eastAsia="仿宋" w:hAnsi="仿宋" w:cs="仿宋"/>
                <w:szCs w:val="21"/>
              </w:rPr>
            </w:pPr>
          </w:p>
        </w:tc>
        <w:tc>
          <w:tcPr>
            <w:tcW w:w="499" w:type="pct"/>
            <w:tcBorders>
              <w:top w:val="single" w:sz="6" w:space="0" w:color="auto"/>
              <w:left w:val="single" w:sz="6" w:space="0" w:color="auto"/>
              <w:bottom w:val="single" w:sz="6" w:space="0" w:color="auto"/>
              <w:right w:val="single" w:sz="6" w:space="0" w:color="auto"/>
            </w:tcBorders>
          </w:tcPr>
          <w:p w14:paraId="4C19B389" w14:textId="77777777" w:rsidR="00146463" w:rsidRDefault="00146463">
            <w:pPr>
              <w:autoSpaceDE w:val="0"/>
              <w:autoSpaceDN w:val="0"/>
              <w:adjustRightInd w:val="0"/>
              <w:snapToGrid w:val="0"/>
              <w:ind w:leftChars="-30" w:left="-63" w:rightChars="-42" w:right="-88"/>
              <w:jc w:val="center"/>
              <w:rPr>
                <w:rFonts w:ascii="仿宋" w:eastAsia="仿宋" w:hAnsi="仿宋" w:cs="仿宋"/>
                <w:szCs w:val="21"/>
              </w:rPr>
            </w:pPr>
          </w:p>
        </w:tc>
      </w:tr>
      <w:tr w:rsidR="00146463" w14:paraId="224DE8F1" w14:textId="77777777">
        <w:trPr>
          <w:jc w:val="center"/>
        </w:trPr>
        <w:tc>
          <w:tcPr>
            <w:tcW w:w="389" w:type="pct"/>
            <w:vMerge/>
            <w:tcBorders>
              <w:bottom w:val="single" w:sz="6" w:space="0" w:color="auto"/>
              <w:right w:val="single" w:sz="6" w:space="0" w:color="auto"/>
            </w:tcBorders>
            <w:vAlign w:val="center"/>
          </w:tcPr>
          <w:p w14:paraId="7E069C8D" w14:textId="77777777" w:rsidR="00146463" w:rsidRDefault="00146463">
            <w:pPr>
              <w:autoSpaceDE w:val="0"/>
              <w:autoSpaceDN w:val="0"/>
              <w:adjustRightInd w:val="0"/>
              <w:snapToGrid w:val="0"/>
              <w:jc w:val="center"/>
              <w:rPr>
                <w:rFonts w:ascii="仿宋" w:eastAsia="仿宋" w:hAnsi="仿宋" w:cs="仿宋"/>
                <w:bCs/>
                <w:szCs w:val="21"/>
              </w:rPr>
            </w:pPr>
          </w:p>
        </w:tc>
        <w:tc>
          <w:tcPr>
            <w:tcW w:w="808" w:type="pct"/>
            <w:tcBorders>
              <w:top w:val="single" w:sz="6" w:space="0" w:color="auto"/>
              <w:left w:val="single" w:sz="6" w:space="0" w:color="auto"/>
              <w:bottom w:val="single" w:sz="6" w:space="0" w:color="auto"/>
              <w:right w:val="single" w:sz="6" w:space="0" w:color="auto"/>
            </w:tcBorders>
            <w:vAlign w:val="center"/>
          </w:tcPr>
          <w:p w14:paraId="019048EE" w14:textId="77777777" w:rsidR="00146463" w:rsidRDefault="00184B95">
            <w:pPr>
              <w:adjustRightInd w:val="0"/>
              <w:snapToGrid w:val="0"/>
              <w:jc w:val="center"/>
              <w:rPr>
                <w:rFonts w:ascii="仿宋" w:eastAsia="仿宋" w:hAnsi="仿宋" w:cs="仿宋"/>
                <w:szCs w:val="21"/>
              </w:rPr>
            </w:pPr>
            <w:r>
              <w:rPr>
                <w:rFonts w:ascii="仿宋" w:eastAsia="仿宋" w:hAnsi="仿宋" w:cs="仿宋" w:hint="eastAsia"/>
                <w:szCs w:val="21"/>
              </w:rPr>
              <w:t>团队实力</w:t>
            </w:r>
            <w:r>
              <w:rPr>
                <w:rFonts w:ascii="仿宋" w:eastAsia="仿宋" w:hAnsi="仿宋" w:cs="仿宋" w:hint="eastAsia"/>
                <w:szCs w:val="21"/>
                <w:lang w:val="en"/>
              </w:rPr>
              <w:t>（</w:t>
            </w:r>
            <w:r>
              <w:rPr>
                <w:rFonts w:ascii="仿宋" w:eastAsia="仿宋" w:hAnsi="仿宋" w:cs="仿宋" w:hint="eastAsia"/>
                <w:szCs w:val="21"/>
              </w:rPr>
              <w:t>30</w:t>
            </w:r>
            <w:r>
              <w:rPr>
                <w:rFonts w:ascii="仿宋" w:eastAsia="仿宋" w:hAnsi="仿宋" w:cs="仿宋" w:hint="eastAsia"/>
                <w:szCs w:val="21"/>
              </w:rPr>
              <w:t>分</w:t>
            </w:r>
            <w:r>
              <w:rPr>
                <w:rFonts w:ascii="仿宋" w:eastAsia="仿宋" w:hAnsi="仿宋" w:cs="仿宋" w:hint="eastAsia"/>
                <w:szCs w:val="21"/>
                <w:lang w:val="en"/>
              </w:rPr>
              <w:t>）</w:t>
            </w:r>
          </w:p>
        </w:tc>
        <w:tc>
          <w:tcPr>
            <w:tcW w:w="2803" w:type="pct"/>
            <w:tcBorders>
              <w:top w:val="single" w:sz="6" w:space="0" w:color="auto"/>
              <w:left w:val="single" w:sz="6" w:space="0" w:color="auto"/>
              <w:bottom w:val="single" w:sz="6" w:space="0" w:color="auto"/>
              <w:right w:val="single" w:sz="6" w:space="0" w:color="auto"/>
            </w:tcBorders>
            <w:vAlign w:val="center"/>
          </w:tcPr>
          <w:p w14:paraId="2A136811"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1</w:t>
            </w:r>
            <w:r>
              <w:rPr>
                <w:rFonts w:ascii="仿宋" w:eastAsia="仿宋" w:hAnsi="仿宋" w:cs="仿宋" w:hint="eastAsia"/>
                <w:szCs w:val="21"/>
              </w:rPr>
              <w:t>）拟派项目负责人具有环境保护相关专业副高及以上职称的得</w:t>
            </w:r>
            <w:r>
              <w:rPr>
                <w:rFonts w:ascii="仿宋" w:eastAsia="仿宋" w:hAnsi="仿宋" w:cs="仿宋" w:hint="eastAsia"/>
                <w:szCs w:val="21"/>
              </w:rPr>
              <w:t>5</w:t>
            </w:r>
            <w:r>
              <w:rPr>
                <w:rFonts w:ascii="仿宋" w:eastAsia="仿宋" w:hAnsi="仿宋" w:cs="仿宋" w:hint="eastAsia"/>
                <w:szCs w:val="21"/>
              </w:rPr>
              <w:t>分，本小项最高得</w:t>
            </w:r>
            <w:r>
              <w:rPr>
                <w:rFonts w:ascii="仿宋" w:eastAsia="仿宋" w:hAnsi="仿宋" w:cs="仿宋" w:hint="eastAsia"/>
                <w:szCs w:val="21"/>
              </w:rPr>
              <w:t>5</w:t>
            </w:r>
            <w:r>
              <w:rPr>
                <w:rFonts w:ascii="仿宋" w:eastAsia="仿宋" w:hAnsi="仿宋" w:cs="仿宋" w:hint="eastAsia"/>
                <w:szCs w:val="21"/>
              </w:rPr>
              <w:t>分。</w:t>
            </w:r>
          </w:p>
          <w:p w14:paraId="730A04E1"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2</w:t>
            </w:r>
            <w:r>
              <w:rPr>
                <w:rFonts w:ascii="仿宋" w:eastAsia="仿宋" w:hAnsi="仿宋" w:cs="仿宋" w:hint="eastAsia"/>
                <w:szCs w:val="21"/>
              </w:rPr>
              <w:t>）</w:t>
            </w:r>
            <w:r>
              <w:rPr>
                <w:rFonts w:ascii="仿宋" w:eastAsia="仿宋" w:hAnsi="仿宋" w:cs="仿宋" w:hint="eastAsia"/>
                <w:szCs w:val="21"/>
              </w:rPr>
              <w:t>拟参与本项目人员</w:t>
            </w:r>
            <w:r>
              <w:rPr>
                <w:rFonts w:ascii="仿宋" w:eastAsia="仿宋" w:hAnsi="仿宋" w:cs="仿宋" w:hint="eastAsia"/>
                <w:szCs w:val="21"/>
              </w:rPr>
              <w:t>具有环境保护相关专业中级及以上职称的，每人得</w:t>
            </w:r>
            <w:r>
              <w:rPr>
                <w:rFonts w:ascii="仿宋" w:eastAsia="仿宋" w:hAnsi="仿宋" w:cs="仿宋" w:hint="eastAsia"/>
                <w:szCs w:val="21"/>
              </w:rPr>
              <w:t>2.5</w:t>
            </w:r>
            <w:r>
              <w:rPr>
                <w:rFonts w:ascii="仿宋" w:eastAsia="仿宋" w:hAnsi="仿宋" w:cs="仿宋" w:hint="eastAsia"/>
                <w:szCs w:val="21"/>
              </w:rPr>
              <w:t>分，</w:t>
            </w:r>
            <w:r>
              <w:rPr>
                <w:rFonts w:ascii="仿宋" w:eastAsia="仿宋" w:hAnsi="仿宋" w:cs="仿宋" w:hint="eastAsia"/>
                <w:szCs w:val="21"/>
              </w:rPr>
              <w:t>本小项最高得</w:t>
            </w:r>
            <w:r>
              <w:rPr>
                <w:rFonts w:ascii="仿宋" w:eastAsia="仿宋" w:hAnsi="仿宋" w:cs="仿宋" w:hint="eastAsia"/>
                <w:szCs w:val="21"/>
              </w:rPr>
              <w:t>15</w:t>
            </w:r>
            <w:r>
              <w:rPr>
                <w:rFonts w:ascii="仿宋" w:eastAsia="仿宋" w:hAnsi="仿宋" w:cs="仿宋" w:hint="eastAsia"/>
                <w:szCs w:val="21"/>
              </w:rPr>
              <w:t>分。</w:t>
            </w:r>
          </w:p>
          <w:p w14:paraId="0E3E147C"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3</w:t>
            </w:r>
            <w:r>
              <w:rPr>
                <w:rFonts w:ascii="仿宋" w:eastAsia="仿宋" w:hAnsi="仿宋" w:cs="仿宋" w:hint="eastAsia"/>
                <w:szCs w:val="21"/>
              </w:rPr>
              <w:t>）拟投入无人机设备</w:t>
            </w:r>
            <w:r>
              <w:rPr>
                <w:rFonts w:ascii="仿宋" w:eastAsia="仿宋" w:hAnsi="仿宋" w:cs="仿宋" w:hint="eastAsia"/>
                <w:szCs w:val="21"/>
              </w:rPr>
              <w:t>1</w:t>
            </w:r>
            <w:r>
              <w:rPr>
                <w:rFonts w:ascii="仿宋" w:eastAsia="仿宋" w:hAnsi="仿宋" w:cs="仿宋" w:hint="eastAsia"/>
                <w:szCs w:val="21"/>
              </w:rPr>
              <w:t>台，得</w:t>
            </w:r>
            <w:r>
              <w:rPr>
                <w:rFonts w:ascii="仿宋" w:eastAsia="仿宋" w:hAnsi="仿宋" w:cs="仿宋" w:hint="eastAsia"/>
                <w:szCs w:val="21"/>
              </w:rPr>
              <w:t>2</w:t>
            </w:r>
            <w:r>
              <w:rPr>
                <w:rFonts w:ascii="仿宋" w:eastAsia="仿宋" w:hAnsi="仿宋" w:cs="仿宋" w:hint="eastAsia"/>
                <w:szCs w:val="21"/>
              </w:rPr>
              <w:t>分。本项最高得</w:t>
            </w:r>
            <w:r>
              <w:rPr>
                <w:rFonts w:ascii="仿宋" w:eastAsia="仿宋" w:hAnsi="仿宋" w:cs="仿宋" w:hint="eastAsia"/>
                <w:szCs w:val="21"/>
              </w:rPr>
              <w:t>4</w:t>
            </w:r>
            <w:r>
              <w:rPr>
                <w:rFonts w:ascii="仿宋" w:eastAsia="仿宋" w:hAnsi="仿宋" w:cs="仿宋" w:hint="eastAsia"/>
                <w:szCs w:val="21"/>
              </w:rPr>
              <w:t>分。</w:t>
            </w:r>
          </w:p>
          <w:p w14:paraId="17497D8A"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w:t>
            </w:r>
            <w:r>
              <w:rPr>
                <w:rFonts w:ascii="仿宋" w:eastAsia="仿宋" w:hAnsi="仿宋" w:cs="仿宋" w:hint="eastAsia"/>
                <w:szCs w:val="21"/>
              </w:rPr>
              <w:t>4</w:t>
            </w:r>
            <w:r>
              <w:rPr>
                <w:rFonts w:ascii="仿宋" w:eastAsia="仿宋" w:hAnsi="仿宋" w:cs="仿宋" w:hint="eastAsia"/>
                <w:szCs w:val="21"/>
              </w:rPr>
              <w:t>）投入航拍人员中，具备民用无人机驾驶员合格证的，每提供一个得</w:t>
            </w:r>
            <w:r>
              <w:rPr>
                <w:rFonts w:ascii="仿宋" w:eastAsia="仿宋" w:hAnsi="仿宋" w:cs="仿宋" w:hint="eastAsia"/>
                <w:szCs w:val="21"/>
              </w:rPr>
              <w:t>3</w:t>
            </w:r>
            <w:r>
              <w:rPr>
                <w:rFonts w:ascii="仿宋" w:eastAsia="仿宋" w:hAnsi="仿宋" w:cs="仿宋" w:hint="eastAsia"/>
                <w:szCs w:val="21"/>
              </w:rPr>
              <w:t>分。本项最高得</w:t>
            </w:r>
            <w:r>
              <w:rPr>
                <w:rFonts w:ascii="仿宋" w:eastAsia="仿宋" w:hAnsi="仿宋" w:cs="仿宋" w:hint="eastAsia"/>
                <w:szCs w:val="21"/>
              </w:rPr>
              <w:t>6</w:t>
            </w:r>
            <w:r>
              <w:rPr>
                <w:rFonts w:ascii="仿宋" w:eastAsia="仿宋" w:hAnsi="仿宋" w:cs="仿宋" w:hint="eastAsia"/>
                <w:szCs w:val="21"/>
              </w:rPr>
              <w:t>分。</w:t>
            </w:r>
          </w:p>
          <w:p w14:paraId="17808271"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注：</w:t>
            </w:r>
            <w:r>
              <w:rPr>
                <w:rFonts w:ascii="仿宋" w:eastAsia="仿宋" w:hAnsi="仿宋" w:cs="仿宋" w:hint="eastAsia"/>
                <w:szCs w:val="21"/>
              </w:rPr>
              <w:t>（</w:t>
            </w:r>
            <w:r>
              <w:rPr>
                <w:rFonts w:ascii="仿宋" w:eastAsia="仿宋" w:hAnsi="仿宋" w:cs="仿宋" w:hint="eastAsia"/>
                <w:szCs w:val="21"/>
              </w:rPr>
              <w:t>1</w:t>
            </w:r>
            <w:r>
              <w:rPr>
                <w:rFonts w:ascii="仿宋" w:eastAsia="仿宋" w:hAnsi="仿宋" w:cs="仿宋" w:hint="eastAsia"/>
                <w:szCs w:val="21"/>
              </w:rPr>
              <w:t>）、（</w:t>
            </w:r>
            <w:r>
              <w:rPr>
                <w:rFonts w:ascii="仿宋" w:eastAsia="仿宋" w:hAnsi="仿宋" w:cs="仿宋" w:hint="eastAsia"/>
                <w:szCs w:val="21"/>
              </w:rPr>
              <w:t>2</w:t>
            </w:r>
            <w:r>
              <w:rPr>
                <w:rFonts w:ascii="仿宋" w:eastAsia="仿宋" w:hAnsi="仿宋" w:cs="仿宋" w:hint="eastAsia"/>
                <w:szCs w:val="21"/>
              </w:rPr>
              <w:t>）、（</w:t>
            </w:r>
            <w:r>
              <w:rPr>
                <w:rFonts w:ascii="仿宋" w:eastAsia="仿宋" w:hAnsi="仿宋" w:cs="仿宋" w:hint="eastAsia"/>
                <w:szCs w:val="21"/>
              </w:rPr>
              <w:t>4</w:t>
            </w:r>
            <w:r>
              <w:rPr>
                <w:rFonts w:ascii="仿宋" w:eastAsia="仿宋" w:hAnsi="仿宋" w:cs="仿宋" w:hint="eastAsia"/>
                <w:szCs w:val="21"/>
              </w:rPr>
              <w:t>）</w:t>
            </w:r>
            <w:proofErr w:type="gramStart"/>
            <w:r>
              <w:rPr>
                <w:rFonts w:ascii="仿宋" w:eastAsia="仿宋" w:hAnsi="仿宋" w:cs="仿宋" w:hint="eastAsia"/>
                <w:szCs w:val="21"/>
              </w:rPr>
              <w:t>项</w:t>
            </w:r>
            <w:r>
              <w:rPr>
                <w:rFonts w:ascii="仿宋" w:eastAsia="仿宋" w:hAnsi="仿宋" w:cs="仿宋" w:hint="eastAsia"/>
                <w:szCs w:val="21"/>
              </w:rPr>
              <w:t>须提供</w:t>
            </w:r>
            <w:proofErr w:type="gramEnd"/>
            <w:r>
              <w:rPr>
                <w:rFonts w:ascii="仿宋" w:eastAsia="仿宋" w:hAnsi="仿宋" w:cs="仿宋" w:hint="eastAsia"/>
                <w:szCs w:val="21"/>
              </w:rPr>
              <w:t>上述人员相关</w:t>
            </w:r>
            <w:r>
              <w:rPr>
                <w:rFonts w:ascii="仿宋" w:eastAsia="仿宋" w:hAnsi="仿宋" w:cs="仿宋" w:hint="eastAsia"/>
                <w:szCs w:val="21"/>
              </w:rPr>
              <w:t>合格证复印件、</w:t>
            </w:r>
            <w:r>
              <w:rPr>
                <w:rFonts w:ascii="仿宋" w:eastAsia="仿宋" w:hAnsi="仿宋" w:cs="仿宋" w:hint="eastAsia"/>
                <w:szCs w:val="21"/>
              </w:rPr>
              <w:t>职称证书复印件、与供应商签订的劳务合同复印件或由社保机构或税务部门出具的在本项目投标截止日前</w:t>
            </w:r>
            <w:r>
              <w:rPr>
                <w:rFonts w:ascii="仿宋" w:eastAsia="仿宋" w:hAnsi="仿宋" w:cs="仿宋" w:hint="eastAsia"/>
                <w:szCs w:val="21"/>
              </w:rPr>
              <w:t>3</w:t>
            </w:r>
            <w:r>
              <w:rPr>
                <w:rFonts w:ascii="仿宋" w:eastAsia="仿宋" w:hAnsi="仿宋" w:cs="仿宋" w:hint="eastAsia"/>
                <w:szCs w:val="21"/>
              </w:rPr>
              <w:t>个月内任意</w:t>
            </w:r>
            <w:r>
              <w:rPr>
                <w:rFonts w:ascii="仿宋" w:eastAsia="仿宋" w:hAnsi="仿宋" w:cs="仿宋" w:hint="eastAsia"/>
                <w:szCs w:val="21"/>
              </w:rPr>
              <w:t>1</w:t>
            </w:r>
            <w:r>
              <w:rPr>
                <w:rFonts w:ascii="仿宋" w:eastAsia="仿宋" w:hAnsi="仿宋" w:cs="仿宋" w:hint="eastAsia"/>
                <w:szCs w:val="21"/>
              </w:rPr>
              <w:t>个月的由供应商为其购买的</w:t>
            </w:r>
            <w:proofErr w:type="gramStart"/>
            <w:r>
              <w:rPr>
                <w:rFonts w:ascii="仿宋" w:eastAsia="仿宋" w:hAnsi="仿宋" w:cs="仿宋" w:hint="eastAsia"/>
                <w:szCs w:val="21"/>
              </w:rPr>
              <w:t>社保证明</w:t>
            </w:r>
            <w:proofErr w:type="gramEnd"/>
            <w:r>
              <w:rPr>
                <w:rFonts w:ascii="仿宋" w:eastAsia="仿宋" w:hAnsi="仿宋" w:cs="仿宋" w:hint="eastAsia"/>
                <w:szCs w:val="21"/>
              </w:rPr>
              <w:t>加盖供应商公章，无或</w:t>
            </w:r>
            <w:r>
              <w:rPr>
                <w:rFonts w:ascii="仿宋" w:eastAsia="仿宋" w:hAnsi="仿宋" w:cs="仿宋" w:hint="eastAsia"/>
                <w:szCs w:val="21"/>
              </w:rPr>
              <w:lastRenderedPageBreak/>
              <w:t>缺项或未按要求递交证明材料的不得分</w:t>
            </w:r>
            <w:r>
              <w:rPr>
                <w:rFonts w:ascii="仿宋" w:eastAsia="仿宋" w:hAnsi="仿宋" w:cs="仿宋" w:hint="eastAsia"/>
                <w:szCs w:val="21"/>
              </w:rPr>
              <w:t>；</w:t>
            </w:r>
            <w:r>
              <w:rPr>
                <w:rFonts w:ascii="仿宋" w:eastAsia="仿宋" w:hAnsi="仿宋" w:cs="仿宋" w:hint="eastAsia"/>
                <w:szCs w:val="21"/>
              </w:rPr>
              <w:t>（</w:t>
            </w:r>
            <w:r>
              <w:rPr>
                <w:rFonts w:ascii="仿宋" w:eastAsia="仿宋" w:hAnsi="仿宋" w:cs="仿宋" w:hint="eastAsia"/>
                <w:szCs w:val="21"/>
              </w:rPr>
              <w:t>3</w:t>
            </w:r>
            <w:r>
              <w:rPr>
                <w:rFonts w:ascii="仿宋" w:eastAsia="仿宋" w:hAnsi="仿宋" w:cs="仿宋" w:hint="eastAsia"/>
                <w:szCs w:val="21"/>
              </w:rPr>
              <w:t>）项无人机为供应商自有的，需提供购买发票复印件；若非自有的，需提供租赁合同复印件（租赁期需覆盖本项目服务期）。不提供或无法认定或欠缺的不得分。</w:t>
            </w:r>
          </w:p>
        </w:tc>
        <w:tc>
          <w:tcPr>
            <w:tcW w:w="499" w:type="pct"/>
            <w:tcBorders>
              <w:top w:val="single" w:sz="6" w:space="0" w:color="auto"/>
              <w:left w:val="single" w:sz="6" w:space="0" w:color="auto"/>
              <w:bottom w:val="single" w:sz="6" w:space="0" w:color="auto"/>
              <w:right w:val="single" w:sz="6" w:space="0" w:color="auto"/>
            </w:tcBorders>
            <w:vAlign w:val="center"/>
          </w:tcPr>
          <w:p w14:paraId="44E900D1" w14:textId="77777777" w:rsidR="00146463" w:rsidRDefault="00146463">
            <w:pPr>
              <w:autoSpaceDE w:val="0"/>
              <w:autoSpaceDN w:val="0"/>
              <w:adjustRightInd w:val="0"/>
              <w:snapToGrid w:val="0"/>
              <w:ind w:leftChars="-30" w:left="-63" w:rightChars="-42" w:right="-88"/>
              <w:jc w:val="center"/>
              <w:rPr>
                <w:rFonts w:ascii="仿宋" w:eastAsia="仿宋" w:hAnsi="仿宋" w:cs="仿宋"/>
                <w:szCs w:val="21"/>
              </w:rPr>
            </w:pPr>
          </w:p>
        </w:tc>
        <w:tc>
          <w:tcPr>
            <w:tcW w:w="499" w:type="pct"/>
            <w:tcBorders>
              <w:top w:val="single" w:sz="6" w:space="0" w:color="auto"/>
              <w:left w:val="single" w:sz="6" w:space="0" w:color="auto"/>
              <w:bottom w:val="single" w:sz="6" w:space="0" w:color="auto"/>
              <w:right w:val="single" w:sz="6" w:space="0" w:color="auto"/>
            </w:tcBorders>
          </w:tcPr>
          <w:p w14:paraId="7E7A84E6" w14:textId="77777777" w:rsidR="00146463" w:rsidRDefault="00146463">
            <w:pPr>
              <w:autoSpaceDE w:val="0"/>
              <w:autoSpaceDN w:val="0"/>
              <w:adjustRightInd w:val="0"/>
              <w:snapToGrid w:val="0"/>
              <w:ind w:leftChars="-30" w:left="-63" w:rightChars="-42" w:right="-88"/>
              <w:jc w:val="center"/>
              <w:rPr>
                <w:rFonts w:ascii="仿宋" w:eastAsia="仿宋" w:hAnsi="仿宋" w:cs="仿宋"/>
                <w:szCs w:val="21"/>
              </w:rPr>
            </w:pPr>
          </w:p>
        </w:tc>
      </w:tr>
      <w:tr w:rsidR="00146463" w14:paraId="1E4212A6" w14:textId="77777777">
        <w:trPr>
          <w:jc w:val="center"/>
        </w:trPr>
        <w:tc>
          <w:tcPr>
            <w:tcW w:w="1197" w:type="pct"/>
            <w:gridSpan w:val="2"/>
            <w:tcBorders>
              <w:top w:val="single" w:sz="6" w:space="0" w:color="auto"/>
              <w:bottom w:val="single" w:sz="6" w:space="0" w:color="auto"/>
              <w:right w:val="single" w:sz="6" w:space="0" w:color="auto"/>
            </w:tcBorders>
            <w:vAlign w:val="center"/>
          </w:tcPr>
          <w:p w14:paraId="4D26CB14" w14:textId="77777777" w:rsidR="00146463" w:rsidRDefault="00184B95">
            <w:pPr>
              <w:autoSpaceDE w:val="0"/>
              <w:autoSpaceDN w:val="0"/>
              <w:adjustRightInd w:val="0"/>
              <w:snapToGrid w:val="0"/>
              <w:ind w:leftChars="-37" w:left="-78" w:rightChars="-35" w:right="-73"/>
              <w:jc w:val="center"/>
              <w:rPr>
                <w:rFonts w:ascii="仿宋" w:eastAsia="仿宋" w:hAnsi="仿宋" w:cs="仿宋"/>
                <w:szCs w:val="21"/>
              </w:rPr>
            </w:pPr>
            <w:r>
              <w:rPr>
                <w:rFonts w:ascii="仿宋" w:eastAsia="仿宋" w:hAnsi="仿宋" w:cs="仿宋" w:hint="eastAsia"/>
                <w:szCs w:val="21"/>
              </w:rPr>
              <w:lastRenderedPageBreak/>
              <w:t>价格评分（</w:t>
            </w:r>
            <w:r>
              <w:rPr>
                <w:rFonts w:ascii="仿宋" w:eastAsia="仿宋" w:hAnsi="仿宋" w:cs="仿宋" w:hint="eastAsia"/>
                <w:szCs w:val="21"/>
              </w:rPr>
              <w:t>10%</w:t>
            </w:r>
            <w:r>
              <w:rPr>
                <w:rFonts w:ascii="仿宋" w:eastAsia="仿宋" w:hAnsi="仿宋" w:cs="仿宋" w:hint="eastAsia"/>
                <w:szCs w:val="21"/>
              </w:rPr>
              <w:t>）</w:t>
            </w:r>
          </w:p>
        </w:tc>
        <w:tc>
          <w:tcPr>
            <w:tcW w:w="2803" w:type="pct"/>
            <w:tcBorders>
              <w:top w:val="single" w:sz="6" w:space="0" w:color="auto"/>
              <w:left w:val="single" w:sz="6" w:space="0" w:color="auto"/>
              <w:bottom w:val="single" w:sz="6" w:space="0" w:color="auto"/>
              <w:right w:val="single" w:sz="6" w:space="0" w:color="auto"/>
            </w:tcBorders>
            <w:vAlign w:val="center"/>
          </w:tcPr>
          <w:p w14:paraId="6878479F" w14:textId="77777777" w:rsidR="00146463" w:rsidRDefault="00184B95">
            <w:pPr>
              <w:adjustRightInd w:val="0"/>
              <w:snapToGrid w:val="0"/>
              <w:rPr>
                <w:rFonts w:ascii="仿宋" w:eastAsia="仿宋" w:hAnsi="仿宋" w:cs="仿宋"/>
                <w:szCs w:val="21"/>
              </w:rPr>
            </w:pPr>
            <w:r>
              <w:rPr>
                <w:rFonts w:ascii="仿宋" w:eastAsia="仿宋" w:hAnsi="仿宋" w:cs="仿宋" w:hint="eastAsia"/>
                <w:szCs w:val="21"/>
              </w:rPr>
              <w:t>价格分应当采用低价优先法计算，即满足采购需求且报价最低的为基准价，该项价格得分为满分。其他供应商的价格得分统一按照下列公式计算：供应</w:t>
            </w:r>
            <w:proofErr w:type="gramStart"/>
            <w:r>
              <w:rPr>
                <w:rFonts w:ascii="仿宋" w:eastAsia="仿宋" w:hAnsi="仿宋" w:cs="仿宋" w:hint="eastAsia"/>
                <w:szCs w:val="21"/>
              </w:rPr>
              <w:t>商价格</w:t>
            </w:r>
            <w:proofErr w:type="gramEnd"/>
            <w:r>
              <w:rPr>
                <w:rFonts w:ascii="仿宋" w:eastAsia="仿宋" w:hAnsi="仿宋" w:cs="仿宋" w:hint="eastAsia"/>
                <w:szCs w:val="21"/>
              </w:rPr>
              <w:t>得分</w:t>
            </w:r>
            <w:r>
              <w:rPr>
                <w:rFonts w:ascii="仿宋" w:eastAsia="仿宋" w:hAnsi="仿宋" w:cs="仿宋" w:hint="eastAsia"/>
                <w:szCs w:val="21"/>
              </w:rPr>
              <w:t>=(</w:t>
            </w:r>
            <w:r>
              <w:rPr>
                <w:rFonts w:ascii="仿宋" w:eastAsia="仿宋" w:hAnsi="仿宋" w:cs="仿宋" w:hint="eastAsia"/>
                <w:szCs w:val="21"/>
              </w:rPr>
              <w:t>基准价／报价</w:t>
            </w:r>
            <w:r>
              <w:rPr>
                <w:rFonts w:ascii="仿宋" w:eastAsia="仿宋" w:hAnsi="仿宋" w:cs="仿宋" w:hint="eastAsia"/>
                <w:szCs w:val="21"/>
              </w:rPr>
              <w:t>)</w:t>
            </w:r>
            <w:r>
              <w:rPr>
                <w:rFonts w:ascii="仿宋" w:eastAsia="仿宋" w:hAnsi="仿宋" w:cs="仿宋" w:hint="eastAsia"/>
                <w:szCs w:val="21"/>
              </w:rPr>
              <w:t>×</w:t>
            </w:r>
            <w:r>
              <w:rPr>
                <w:rFonts w:ascii="仿宋" w:eastAsia="仿宋" w:hAnsi="仿宋" w:cs="仿宋" w:hint="eastAsia"/>
                <w:szCs w:val="21"/>
              </w:rPr>
              <w:t>10</w:t>
            </w:r>
            <w:r>
              <w:rPr>
                <w:rFonts w:ascii="仿宋" w:eastAsia="仿宋" w:hAnsi="仿宋" w:cs="仿宋" w:hint="eastAsia"/>
                <w:szCs w:val="21"/>
              </w:rPr>
              <w:t>，价格得分四舍五入后保留小数点后两位有效数。</w:t>
            </w:r>
            <w:r>
              <w:rPr>
                <w:rFonts w:ascii="仿宋" w:eastAsia="仿宋" w:hAnsi="仿宋" w:cs="仿宋" w:hint="eastAsia"/>
                <w:szCs w:val="21"/>
              </w:rPr>
              <w:t>1</w:t>
            </w:r>
            <w:r>
              <w:rPr>
                <w:rFonts w:ascii="仿宋" w:eastAsia="仿宋" w:hAnsi="仿宋" w:cs="仿宋" w:hint="eastAsia"/>
                <w:szCs w:val="21"/>
              </w:rPr>
              <w:t>、</w:t>
            </w:r>
            <w:r>
              <w:rPr>
                <w:rFonts w:ascii="仿宋" w:eastAsia="仿宋" w:hAnsi="仿宋" w:cs="仿宋" w:hint="eastAsia"/>
                <w:szCs w:val="21"/>
              </w:rPr>
              <w:t>对符合规定的小型和微型企业</w:t>
            </w:r>
            <w:r>
              <w:rPr>
                <w:rFonts w:ascii="仿宋" w:eastAsia="仿宋" w:hAnsi="仿宋" w:cs="仿宋" w:hint="eastAsia"/>
                <w:szCs w:val="21"/>
              </w:rPr>
              <w:t>(</w:t>
            </w:r>
            <w:r>
              <w:rPr>
                <w:rFonts w:ascii="仿宋" w:eastAsia="仿宋" w:hAnsi="仿宋" w:cs="仿宋" w:hint="eastAsia"/>
                <w:szCs w:val="21"/>
              </w:rPr>
              <w:t>监狱企业、残疾人福利单位视同小型、微型企业</w:t>
            </w:r>
            <w:r>
              <w:rPr>
                <w:rFonts w:ascii="仿宋" w:eastAsia="仿宋" w:hAnsi="仿宋" w:cs="仿宋" w:hint="eastAsia"/>
                <w:szCs w:val="21"/>
              </w:rPr>
              <w:t>)</w:t>
            </w:r>
            <w:r>
              <w:rPr>
                <w:rFonts w:ascii="仿宋" w:eastAsia="仿宋" w:hAnsi="仿宋" w:cs="仿宋" w:hint="eastAsia"/>
                <w:szCs w:val="21"/>
              </w:rPr>
              <w:t>报价给予</w:t>
            </w:r>
            <w:r>
              <w:rPr>
                <w:rFonts w:ascii="仿宋" w:eastAsia="仿宋" w:hAnsi="仿宋" w:cs="仿宋" w:hint="eastAsia"/>
                <w:szCs w:val="21"/>
              </w:rPr>
              <w:t>10%</w:t>
            </w:r>
            <w:r>
              <w:rPr>
                <w:rFonts w:ascii="仿宋" w:eastAsia="仿宋" w:hAnsi="仿宋" w:cs="仿宋" w:hint="eastAsia"/>
                <w:szCs w:val="21"/>
              </w:rPr>
              <w:t>的价格扣除，用扣除后的价格参加评审。</w:t>
            </w:r>
            <w:r>
              <w:rPr>
                <w:rFonts w:ascii="仿宋" w:eastAsia="仿宋" w:hAnsi="仿宋" w:cs="仿宋" w:hint="eastAsia"/>
                <w:szCs w:val="21"/>
              </w:rPr>
              <w:t>2</w:t>
            </w:r>
            <w:r>
              <w:rPr>
                <w:rFonts w:ascii="仿宋" w:eastAsia="仿宋" w:hAnsi="仿宋" w:cs="仿宋" w:hint="eastAsia"/>
                <w:szCs w:val="21"/>
              </w:rPr>
              <w:t>、上述扣除后的价格仅用于计算价格评分，成交金额以实际投标</w:t>
            </w:r>
            <w:r>
              <w:rPr>
                <w:rFonts w:ascii="仿宋" w:eastAsia="仿宋" w:hAnsi="仿宋" w:cs="仿宋" w:hint="eastAsia"/>
                <w:szCs w:val="21"/>
              </w:rPr>
              <w:t>(</w:t>
            </w:r>
            <w:r>
              <w:rPr>
                <w:rFonts w:ascii="仿宋" w:eastAsia="仿宋" w:hAnsi="仿宋" w:cs="仿宋" w:hint="eastAsia"/>
                <w:szCs w:val="21"/>
              </w:rPr>
              <w:t>响应</w:t>
            </w:r>
            <w:r>
              <w:rPr>
                <w:rFonts w:ascii="仿宋" w:eastAsia="仿宋" w:hAnsi="仿宋" w:cs="仿宋" w:hint="eastAsia"/>
                <w:szCs w:val="21"/>
              </w:rPr>
              <w:t>)</w:t>
            </w:r>
            <w:r>
              <w:rPr>
                <w:rFonts w:ascii="仿宋" w:eastAsia="仿宋" w:hAnsi="仿宋" w:cs="仿宋" w:hint="eastAsia"/>
                <w:szCs w:val="21"/>
              </w:rPr>
              <w:t>价为准</w:t>
            </w:r>
            <w:r>
              <w:rPr>
                <w:rFonts w:ascii="仿宋" w:eastAsia="仿宋" w:hAnsi="仿宋" w:cs="仿宋" w:hint="eastAsia"/>
                <w:szCs w:val="21"/>
              </w:rPr>
              <w:t>。</w:t>
            </w:r>
          </w:p>
        </w:tc>
        <w:tc>
          <w:tcPr>
            <w:tcW w:w="499" w:type="pct"/>
            <w:tcBorders>
              <w:top w:val="single" w:sz="6" w:space="0" w:color="auto"/>
              <w:left w:val="single" w:sz="6" w:space="0" w:color="auto"/>
              <w:bottom w:val="single" w:sz="6" w:space="0" w:color="auto"/>
              <w:right w:val="single" w:sz="6" w:space="0" w:color="auto"/>
            </w:tcBorders>
            <w:vAlign w:val="center"/>
          </w:tcPr>
          <w:p w14:paraId="28F3F29D" w14:textId="77777777" w:rsidR="00146463" w:rsidRDefault="00146463">
            <w:pPr>
              <w:autoSpaceDE w:val="0"/>
              <w:autoSpaceDN w:val="0"/>
              <w:adjustRightInd w:val="0"/>
              <w:snapToGrid w:val="0"/>
              <w:ind w:leftChars="-37" w:left="-78" w:rightChars="-35" w:right="-73"/>
              <w:jc w:val="center"/>
              <w:rPr>
                <w:rFonts w:ascii="仿宋" w:eastAsia="仿宋" w:hAnsi="仿宋" w:cs="仿宋"/>
                <w:szCs w:val="21"/>
              </w:rPr>
            </w:pPr>
          </w:p>
        </w:tc>
        <w:tc>
          <w:tcPr>
            <w:tcW w:w="499" w:type="pct"/>
            <w:tcBorders>
              <w:top w:val="single" w:sz="6" w:space="0" w:color="auto"/>
              <w:left w:val="single" w:sz="6" w:space="0" w:color="auto"/>
              <w:bottom w:val="single" w:sz="6" w:space="0" w:color="auto"/>
              <w:right w:val="single" w:sz="6" w:space="0" w:color="auto"/>
            </w:tcBorders>
          </w:tcPr>
          <w:p w14:paraId="505C3B90" w14:textId="77777777" w:rsidR="00146463" w:rsidRDefault="00146463">
            <w:pPr>
              <w:autoSpaceDE w:val="0"/>
              <w:autoSpaceDN w:val="0"/>
              <w:adjustRightInd w:val="0"/>
              <w:snapToGrid w:val="0"/>
              <w:ind w:leftChars="-37" w:left="-78" w:rightChars="-35" w:right="-73"/>
              <w:jc w:val="center"/>
              <w:rPr>
                <w:rFonts w:ascii="仿宋" w:eastAsia="仿宋" w:hAnsi="仿宋" w:cs="仿宋"/>
                <w:szCs w:val="21"/>
              </w:rPr>
            </w:pPr>
          </w:p>
        </w:tc>
      </w:tr>
      <w:tr w:rsidR="00146463" w14:paraId="2DEFCFE6" w14:textId="77777777">
        <w:trPr>
          <w:trHeight w:val="535"/>
          <w:jc w:val="center"/>
        </w:trPr>
        <w:tc>
          <w:tcPr>
            <w:tcW w:w="4001" w:type="pct"/>
            <w:gridSpan w:val="3"/>
            <w:tcBorders>
              <w:top w:val="single" w:sz="6" w:space="0" w:color="auto"/>
              <w:right w:val="single" w:sz="6" w:space="0" w:color="auto"/>
            </w:tcBorders>
            <w:vAlign w:val="center"/>
          </w:tcPr>
          <w:p w14:paraId="5C974B5C" w14:textId="77777777" w:rsidR="00146463" w:rsidRDefault="00184B95">
            <w:pPr>
              <w:autoSpaceDE w:val="0"/>
              <w:autoSpaceDN w:val="0"/>
              <w:adjustRightInd w:val="0"/>
              <w:snapToGrid w:val="0"/>
              <w:ind w:leftChars="-37" w:left="-78" w:rightChars="-35" w:right="-73"/>
              <w:jc w:val="center"/>
              <w:rPr>
                <w:rFonts w:ascii="仿宋" w:eastAsia="仿宋" w:hAnsi="仿宋" w:cs="仿宋"/>
                <w:b/>
                <w:szCs w:val="21"/>
              </w:rPr>
            </w:pPr>
            <w:r>
              <w:rPr>
                <w:rFonts w:ascii="仿宋" w:eastAsia="仿宋" w:hAnsi="仿宋" w:cs="仿宋" w:hint="eastAsia"/>
                <w:b/>
                <w:szCs w:val="21"/>
              </w:rPr>
              <w:t>合计</w:t>
            </w:r>
          </w:p>
        </w:tc>
        <w:tc>
          <w:tcPr>
            <w:tcW w:w="499" w:type="pct"/>
            <w:tcBorders>
              <w:top w:val="single" w:sz="6" w:space="0" w:color="auto"/>
              <w:left w:val="single" w:sz="6" w:space="0" w:color="auto"/>
              <w:right w:val="single" w:sz="6" w:space="0" w:color="auto"/>
            </w:tcBorders>
            <w:vAlign w:val="center"/>
          </w:tcPr>
          <w:p w14:paraId="3C3C96F7" w14:textId="77777777" w:rsidR="00146463" w:rsidRDefault="00184B95">
            <w:pPr>
              <w:autoSpaceDE w:val="0"/>
              <w:autoSpaceDN w:val="0"/>
              <w:adjustRightInd w:val="0"/>
              <w:snapToGrid w:val="0"/>
              <w:ind w:leftChars="-37" w:left="-78" w:rightChars="-35" w:right="-73"/>
              <w:jc w:val="center"/>
              <w:rPr>
                <w:rFonts w:ascii="仿宋" w:eastAsia="仿宋" w:hAnsi="仿宋" w:cs="仿宋"/>
                <w:b/>
                <w:szCs w:val="21"/>
              </w:rPr>
            </w:pPr>
            <w:r>
              <w:rPr>
                <w:rFonts w:ascii="仿宋" w:eastAsia="仿宋" w:hAnsi="仿宋" w:cs="仿宋" w:hint="eastAsia"/>
                <w:b/>
                <w:szCs w:val="21"/>
              </w:rPr>
              <w:t xml:space="preserve"> </w:t>
            </w:r>
          </w:p>
        </w:tc>
        <w:tc>
          <w:tcPr>
            <w:tcW w:w="499" w:type="pct"/>
            <w:tcBorders>
              <w:top w:val="single" w:sz="6" w:space="0" w:color="auto"/>
              <w:left w:val="single" w:sz="6" w:space="0" w:color="auto"/>
              <w:right w:val="single" w:sz="6" w:space="0" w:color="auto"/>
            </w:tcBorders>
          </w:tcPr>
          <w:p w14:paraId="67EF098E" w14:textId="77777777" w:rsidR="00146463" w:rsidRDefault="00146463">
            <w:pPr>
              <w:autoSpaceDE w:val="0"/>
              <w:autoSpaceDN w:val="0"/>
              <w:adjustRightInd w:val="0"/>
              <w:snapToGrid w:val="0"/>
              <w:ind w:leftChars="-37" w:left="-78" w:rightChars="-35" w:right="-73"/>
              <w:jc w:val="center"/>
              <w:rPr>
                <w:rFonts w:ascii="仿宋" w:eastAsia="仿宋" w:hAnsi="仿宋" w:cs="仿宋"/>
                <w:b/>
                <w:szCs w:val="21"/>
              </w:rPr>
            </w:pPr>
          </w:p>
        </w:tc>
      </w:tr>
    </w:tbl>
    <w:p w14:paraId="027E7ED5" w14:textId="77777777" w:rsidR="00146463" w:rsidRDefault="00184B95">
      <w:pPr>
        <w:ind w:firstLineChars="100" w:firstLine="211"/>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注：</w:t>
      </w:r>
      <w:r>
        <w:rPr>
          <w:rFonts w:ascii="仿宋_GB2312" w:eastAsia="仿宋_GB2312" w:hAnsi="仿宋_GB2312" w:cs="仿宋_GB2312" w:hint="eastAsia"/>
          <w:b/>
          <w:bCs/>
          <w:szCs w:val="21"/>
        </w:rPr>
        <w:t>1</w:t>
      </w:r>
      <w:r>
        <w:rPr>
          <w:rFonts w:ascii="仿宋_GB2312" w:eastAsia="仿宋_GB2312" w:hAnsi="仿宋_GB2312" w:cs="仿宋_GB2312" w:hint="eastAsia"/>
          <w:b/>
          <w:bCs/>
          <w:szCs w:val="21"/>
        </w:rPr>
        <w:t>、</w:t>
      </w:r>
      <w:r>
        <w:rPr>
          <w:rFonts w:ascii="仿宋_GB2312" w:eastAsia="仿宋_GB2312" w:hAnsi="仿宋_GB2312" w:cs="仿宋_GB2312"/>
          <w:b/>
          <w:bCs/>
          <w:kern w:val="0"/>
          <w:szCs w:val="21"/>
        </w:rPr>
        <w:t>请投标人在投标文件中标注以上评分项目证明资料对应的页码。</w:t>
      </w:r>
    </w:p>
    <w:p w14:paraId="42C98D1C" w14:textId="77777777" w:rsidR="00146463" w:rsidRDefault="00184B95">
      <w:pPr>
        <w:ind w:leftChars="300" w:left="1052" w:hangingChars="200" w:hanging="422"/>
        <w:rPr>
          <w:rFonts w:ascii="仿宋_GB2312" w:eastAsia="仿宋_GB2312" w:hAnsi="仿宋_GB2312" w:cs="仿宋_GB2312"/>
          <w:b/>
          <w:bCs/>
          <w:szCs w:val="21"/>
        </w:rPr>
      </w:pPr>
      <w:r>
        <w:rPr>
          <w:rFonts w:ascii="仿宋_GB2312" w:eastAsia="仿宋_GB2312" w:hAnsi="仿宋_GB2312" w:cs="仿宋_GB2312" w:hint="eastAsia"/>
          <w:b/>
          <w:bCs/>
          <w:kern w:val="0"/>
          <w:szCs w:val="21"/>
        </w:rPr>
        <w:t>2</w:t>
      </w:r>
      <w:r>
        <w:rPr>
          <w:rFonts w:ascii="仿宋_GB2312" w:eastAsia="仿宋_GB2312" w:hAnsi="仿宋_GB2312" w:cs="仿宋_GB2312" w:hint="eastAsia"/>
          <w:b/>
          <w:bCs/>
          <w:kern w:val="0"/>
          <w:szCs w:val="21"/>
        </w:rPr>
        <w:t>、</w:t>
      </w:r>
      <w:r>
        <w:rPr>
          <w:rFonts w:ascii="仿宋_GB2312" w:eastAsia="仿宋_GB2312" w:hAnsi="仿宋_GB2312" w:cs="仿宋_GB2312" w:hint="eastAsia"/>
          <w:b/>
          <w:bCs/>
          <w:szCs w:val="21"/>
        </w:rPr>
        <w:t>综合评分最高者原则上推荐为成交供应商，综合评分相同的以报价低者推荐为成</w:t>
      </w:r>
    </w:p>
    <w:p w14:paraId="76192E59" w14:textId="77777777" w:rsidR="00146463" w:rsidRDefault="00184B95">
      <w:pPr>
        <w:ind w:firstLineChars="400" w:firstLine="843"/>
        <w:rPr>
          <w:rFonts w:ascii="仿宋_GB2312" w:eastAsia="仿宋_GB2312" w:hAnsi="仿宋_GB2312" w:cs="仿宋_GB2312"/>
          <w:b/>
          <w:bCs/>
          <w:szCs w:val="21"/>
        </w:rPr>
      </w:pPr>
      <w:proofErr w:type="gramStart"/>
      <w:r>
        <w:rPr>
          <w:rFonts w:ascii="仿宋_GB2312" w:eastAsia="仿宋_GB2312" w:hAnsi="仿宋_GB2312" w:cs="仿宋_GB2312" w:hint="eastAsia"/>
          <w:b/>
          <w:bCs/>
          <w:szCs w:val="21"/>
        </w:rPr>
        <w:t>交供应</w:t>
      </w:r>
      <w:proofErr w:type="gramEnd"/>
      <w:r>
        <w:rPr>
          <w:rFonts w:ascii="仿宋_GB2312" w:eastAsia="仿宋_GB2312" w:hAnsi="仿宋_GB2312" w:cs="仿宋_GB2312" w:hint="eastAsia"/>
          <w:b/>
          <w:bCs/>
          <w:szCs w:val="21"/>
        </w:rPr>
        <w:t>商。</w:t>
      </w:r>
    </w:p>
    <w:p w14:paraId="6808A1F6" w14:textId="77777777" w:rsidR="00146463" w:rsidRDefault="00184B95">
      <w:pPr>
        <w:ind w:leftChars="300" w:left="841" w:hangingChars="100" w:hanging="211"/>
        <w:rPr>
          <w:rFonts w:ascii="仿宋_GB2312" w:eastAsia="仿宋_GB2312" w:hAnsi="仿宋_GB2312" w:cs="仿宋_GB2312"/>
          <w:b/>
          <w:bCs/>
          <w:kern w:val="0"/>
          <w:szCs w:val="21"/>
        </w:rPr>
      </w:pPr>
      <w:r>
        <w:rPr>
          <w:rFonts w:ascii="仿宋_GB2312" w:eastAsia="仿宋_GB2312" w:hAnsi="仿宋_GB2312" w:cs="仿宋_GB2312" w:hint="eastAsia"/>
          <w:b/>
          <w:bCs/>
          <w:kern w:val="0"/>
          <w:szCs w:val="21"/>
        </w:rPr>
        <w:t>3</w:t>
      </w:r>
      <w:r>
        <w:rPr>
          <w:rFonts w:ascii="仿宋_GB2312" w:eastAsia="仿宋_GB2312" w:hAnsi="仿宋_GB2312" w:cs="仿宋_GB2312" w:hint="eastAsia"/>
          <w:b/>
          <w:bCs/>
          <w:kern w:val="0"/>
          <w:szCs w:val="21"/>
        </w:rPr>
        <w:t>、评标委员会认为报价供应商的报价明显低于其他通过符合性审查报价供应商的报价，有可能影响产品质量或者不能诚信履约的，应当要求供应商提供书面说明，必要时提交</w:t>
      </w:r>
      <w:proofErr w:type="gramStart"/>
      <w:r>
        <w:rPr>
          <w:rFonts w:ascii="仿宋_GB2312" w:eastAsia="仿宋_GB2312" w:hAnsi="仿宋_GB2312" w:cs="仿宋_GB2312" w:hint="eastAsia"/>
          <w:b/>
          <w:bCs/>
          <w:kern w:val="0"/>
          <w:szCs w:val="21"/>
        </w:rPr>
        <w:t>相证明</w:t>
      </w:r>
      <w:proofErr w:type="gramEnd"/>
      <w:r>
        <w:rPr>
          <w:rFonts w:ascii="仿宋_GB2312" w:eastAsia="仿宋_GB2312" w:hAnsi="仿宋_GB2312" w:cs="仿宋_GB2312" w:hint="eastAsia"/>
          <w:b/>
          <w:bCs/>
          <w:kern w:val="0"/>
          <w:szCs w:val="21"/>
        </w:rPr>
        <w:t>材料；报价供应商不能证明其报价合理性的，评标委员会应当将其作为无效投标处理。</w:t>
      </w:r>
    </w:p>
    <w:p w14:paraId="16476D3B" w14:textId="77777777" w:rsidR="00146463" w:rsidRDefault="00146463">
      <w:pPr>
        <w:rPr>
          <w:rFonts w:ascii="仿宋_GB2312" w:eastAsia="仿宋_GB2312" w:hAnsi="仿宋_GB2312" w:cs="仿宋_GB2312"/>
          <w:b/>
          <w:bCs/>
          <w:kern w:val="0"/>
          <w:szCs w:val="21"/>
        </w:rPr>
      </w:pPr>
    </w:p>
    <w:sectPr w:rsidR="001464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96CD8A" w14:textId="77777777" w:rsidR="00184B95" w:rsidRDefault="00184B95" w:rsidP="00236602">
      <w:r>
        <w:separator/>
      </w:r>
    </w:p>
  </w:endnote>
  <w:endnote w:type="continuationSeparator" w:id="0">
    <w:p w14:paraId="0335761B" w14:textId="77777777" w:rsidR="00184B95" w:rsidRDefault="00184B95" w:rsidP="002366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Arial Unicode MS"/>
    <w:charset w:val="86"/>
    <w:family w:val="auto"/>
    <w:pitch w:val="default"/>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charset w:val="86"/>
    <w:family w:val="auto"/>
    <w:pitch w:val="default"/>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8EE1B3C" w14:textId="77777777" w:rsidR="00184B95" w:rsidRDefault="00184B95" w:rsidP="00236602">
      <w:r>
        <w:separator/>
      </w:r>
    </w:p>
  </w:footnote>
  <w:footnote w:type="continuationSeparator" w:id="0">
    <w:p w14:paraId="042252E5" w14:textId="77777777" w:rsidR="00184B95" w:rsidRDefault="00184B95" w:rsidP="002366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0DB"/>
    <w:rsid w:val="0002283F"/>
    <w:rsid w:val="00146463"/>
    <w:rsid w:val="00184B95"/>
    <w:rsid w:val="00236602"/>
    <w:rsid w:val="002A056F"/>
    <w:rsid w:val="003530DB"/>
    <w:rsid w:val="003E1F7E"/>
    <w:rsid w:val="005B267E"/>
    <w:rsid w:val="006546EF"/>
    <w:rsid w:val="00870121"/>
    <w:rsid w:val="00AA223E"/>
    <w:rsid w:val="00B70E30"/>
    <w:rsid w:val="00F40034"/>
    <w:rsid w:val="0128178F"/>
    <w:rsid w:val="0F87344A"/>
    <w:rsid w:val="14C30905"/>
    <w:rsid w:val="1D5735C9"/>
    <w:rsid w:val="1FCA738C"/>
    <w:rsid w:val="27BD6D7E"/>
    <w:rsid w:val="2AE92340"/>
    <w:rsid w:val="44BC2802"/>
    <w:rsid w:val="4C953C49"/>
    <w:rsid w:val="5B0867BA"/>
    <w:rsid w:val="5FF756B7"/>
    <w:rsid w:val="672568F0"/>
    <w:rsid w:val="72286017"/>
    <w:rsid w:val="78EE44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autoSpaceDE w:val="0"/>
      <w:autoSpaceDN w:val="0"/>
      <w:adjustRightInd w:val="0"/>
      <w:ind w:firstLine="420"/>
      <w:jc w:val="left"/>
      <w:textAlignment w:val="baseline"/>
    </w:pPr>
    <w:rPr>
      <w:rFonts w:ascii="宋体"/>
      <w:sz w:val="34"/>
    </w:rPr>
  </w:style>
  <w:style w:type="paragraph" w:styleId="a4">
    <w:name w:val="Body Text"/>
    <w:basedOn w:val="a"/>
    <w:uiPriority w:val="99"/>
    <w:unhideWhenUsed/>
    <w:qFormat/>
    <w:pPr>
      <w:spacing w:after="120"/>
    </w:pPr>
  </w:style>
  <w:style w:type="paragraph" w:styleId="a5">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rPr>
  </w:style>
  <w:style w:type="character" w:customStyle="1" w:styleId="Char3">
    <w:name w:val="引用 Char"/>
    <w:basedOn w:val="a0"/>
    <w:link w:val="a9"/>
    <w:uiPriority w:val="29"/>
    <w:qFormat/>
    <w:rPr>
      <w:i/>
      <w:iCs/>
      <w:color w:val="404040" w:themeColor="text1" w:themeTint="BF"/>
    </w:rPr>
  </w:style>
  <w:style w:type="paragraph" w:styleId="aa">
    <w:name w:val="List Paragraph"/>
    <w:basedOn w:val="a"/>
    <w:uiPriority w:val="34"/>
    <w:qFormat/>
    <w:pPr>
      <w:ind w:left="720"/>
      <w:contextualSpacing/>
    </w:pPr>
    <w:rPr>
      <w:rFonts w:asciiTheme="minorHAnsi" w:eastAsiaTheme="minorEastAsia" w:hAnsiTheme="minorHAnsi" w:cstheme="minorBidi"/>
    </w:rPr>
  </w:style>
  <w:style w:type="character" w:customStyle="1" w:styleId="10">
    <w:name w:val="明显强调1"/>
    <w:basedOn w:val="a0"/>
    <w:uiPriority w:val="21"/>
    <w:qFormat/>
    <w:rPr>
      <w:i/>
      <w:iCs/>
      <w:color w:val="0F4761" w:themeColor="accent1" w:themeShade="BF"/>
    </w:rPr>
  </w:style>
  <w:style w:type="paragraph" w:styleId="ab">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Char4">
    <w:name w:val="明显引用 Char"/>
    <w:basedOn w:val="a0"/>
    <w:link w:val="ab"/>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szCs w:val="22"/>
    </w:rPr>
  </w:style>
  <w:style w:type="paragraph" w:styleId="1">
    <w:name w:val="heading 1"/>
    <w:basedOn w:val="a"/>
    <w:next w:val="a"/>
    <w:link w:val="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Char"/>
    <w:uiPriority w:val="9"/>
    <w:semiHidden/>
    <w:unhideWhenUsed/>
    <w:qFormat/>
    <w:pPr>
      <w:keepNext/>
      <w:keepLines/>
      <w:spacing w:before="80" w:after="40"/>
      <w:outlineLvl w:val="3"/>
    </w:pPr>
    <w:rPr>
      <w:rFonts w:asciiTheme="minorHAnsi" w:eastAsiaTheme="minorEastAsia" w:hAnsiTheme="minorHAnsi" w:cstheme="majorBidi"/>
      <w:color w:val="0F4761" w:themeColor="accent1" w:themeShade="BF"/>
      <w:sz w:val="28"/>
      <w:szCs w:val="28"/>
    </w:rPr>
  </w:style>
  <w:style w:type="paragraph" w:styleId="5">
    <w:name w:val="heading 5"/>
    <w:basedOn w:val="a"/>
    <w:next w:val="a"/>
    <w:link w:val="5Char"/>
    <w:uiPriority w:val="9"/>
    <w:semiHidden/>
    <w:unhideWhenUsed/>
    <w:qFormat/>
    <w:pPr>
      <w:keepNext/>
      <w:keepLines/>
      <w:spacing w:before="80" w:after="40"/>
      <w:outlineLvl w:val="4"/>
    </w:pPr>
    <w:rPr>
      <w:rFonts w:asciiTheme="minorHAnsi" w:eastAsiaTheme="minorEastAsia" w:hAnsiTheme="minorHAnsi" w:cstheme="majorBidi"/>
      <w:color w:val="0F4761" w:themeColor="accent1" w:themeShade="BF"/>
      <w:sz w:val="24"/>
      <w:szCs w:val="24"/>
    </w:rPr>
  </w:style>
  <w:style w:type="paragraph" w:styleId="6">
    <w:name w:val="heading 6"/>
    <w:basedOn w:val="a"/>
    <w:next w:val="a"/>
    <w:link w:val="6Char"/>
    <w:uiPriority w:val="9"/>
    <w:semiHidden/>
    <w:unhideWhenUsed/>
    <w:qFormat/>
    <w:pPr>
      <w:keepNext/>
      <w:keepLines/>
      <w:spacing w:before="40"/>
      <w:outlineLvl w:val="5"/>
    </w:pPr>
    <w:rPr>
      <w:rFonts w:asciiTheme="minorHAnsi" w:eastAsiaTheme="minorEastAsia" w:hAnsiTheme="minorHAnsi" w:cstheme="majorBidi"/>
      <w:b/>
      <w:bCs/>
      <w:color w:val="0F4761" w:themeColor="accent1" w:themeShade="BF"/>
    </w:rPr>
  </w:style>
  <w:style w:type="paragraph" w:styleId="7">
    <w:name w:val="heading 7"/>
    <w:basedOn w:val="a"/>
    <w:next w:val="a"/>
    <w:link w:val="7Char"/>
    <w:uiPriority w:val="9"/>
    <w:semiHidden/>
    <w:unhideWhenUsed/>
    <w:qFormat/>
    <w:pPr>
      <w:keepNext/>
      <w:keepLines/>
      <w:spacing w:before="40"/>
      <w:outlineLvl w:val="6"/>
    </w:pPr>
    <w:rPr>
      <w:rFonts w:asciiTheme="minorHAnsi" w:eastAsiaTheme="minorEastAsia" w:hAnsiTheme="minorHAnsi" w:cstheme="majorBidi"/>
      <w:b/>
      <w:bCs/>
      <w:color w:val="595959" w:themeColor="text1" w:themeTint="A6"/>
    </w:rPr>
  </w:style>
  <w:style w:type="paragraph" w:styleId="8">
    <w:name w:val="heading 8"/>
    <w:basedOn w:val="a"/>
    <w:next w:val="a"/>
    <w:link w:val="8Char"/>
    <w:uiPriority w:val="9"/>
    <w:semiHidden/>
    <w:unhideWhenUsed/>
    <w:qFormat/>
    <w:pPr>
      <w:keepNext/>
      <w:keepLines/>
      <w:outlineLvl w:val="7"/>
    </w:pPr>
    <w:rPr>
      <w:rFonts w:asciiTheme="minorHAnsi" w:eastAsiaTheme="minorEastAsia" w:hAnsiTheme="minorHAnsi" w:cstheme="majorBidi"/>
      <w:color w:val="595959" w:themeColor="text1" w:themeTint="A6"/>
    </w:rPr>
  </w:style>
  <w:style w:type="paragraph" w:styleId="9">
    <w:name w:val="heading 9"/>
    <w:basedOn w:val="a"/>
    <w:next w:val="a"/>
    <w:link w:val="9Char"/>
    <w:uiPriority w:val="9"/>
    <w:semiHidden/>
    <w:unhideWhenUsed/>
    <w:qFormat/>
    <w:pPr>
      <w:keepNext/>
      <w:keepLines/>
      <w:outlineLvl w:val="8"/>
    </w:pPr>
    <w:rPr>
      <w:rFonts w:asciiTheme="minorHAnsi" w:eastAsiaTheme="majorEastAsia" w:hAnsiTheme="minorHAnsi"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4"/>
    <w:qFormat/>
    <w:pPr>
      <w:autoSpaceDE w:val="0"/>
      <w:autoSpaceDN w:val="0"/>
      <w:adjustRightInd w:val="0"/>
      <w:ind w:firstLine="420"/>
      <w:jc w:val="left"/>
      <w:textAlignment w:val="baseline"/>
    </w:pPr>
    <w:rPr>
      <w:rFonts w:ascii="宋体"/>
      <w:sz w:val="34"/>
    </w:rPr>
  </w:style>
  <w:style w:type="paragraph" w:styleId="a4">
    <w:name w:val="Body Text"/>
    <w:basedOn w:val="a"/>
    <w:uiPriority w:val="99"/>
    <w:unhideWhenUsed/>
    <w:qFormat/>
    <w:pPr>
      <w:spacing w:after="120"/>
    </w:pPr>
  </w:style>
  <w:style w:type="paragraph" w:styleId="a5">
    <w:name w:val="footer"/>
    <w:basedOn w:val="a"/>
    <w:link w:val="Char"/>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6">
    <w:name w:val="header"/>
    <w:basedOn w:val="a"/>
    <w:link w:val="Char0"/>
    <w:uiPriority w:val="99"/>
    <w:unhideWhenUsed/>
    <w:qFormat/>
    <w:pPr>
      <w:tabs>
        <w:tab w:val="center" w:pos="4153"/>
        <w:tab w:val="right" w:pos="8306"/>
      </w:tabs>
      <w:snapToGrid w:val="0"/>
      <w:jc w:val="center"/>
    </w:pPr>
    <w:rPr>
      <w:rFonts w:asciiTheme="minorHAnsi" w:eastAsiaTheme="minorEastAsia" w:hAnsiTheme="minorHAnsi" w:cstheme="minorBidi"/>
      <w:sz w:val="18"/>
      <w:szCs w:val="18"/>
    </w:rPr>
  </w:style>
  <w:style w:type="paragraph" w:styleId="a7">
    <w:name w:val="Subtitle"/>
    <w:basedOn w:val="a"/>
    <w:next w:val="a"/>
    <w:link w:val="Char1"/>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8">
    <w:name w:val="Title"/>
    <w:basedOn w:val="a"/>
    <w:next w:val="a"/>
    <w:link w:val="Char2"/>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szCs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2">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1">
    <w:name w:val="副标题 Char"/>
    <w:basedOn w:val="a0"/>
    <w:link w:val="a7"/>
    <w:uiPriority w:val="11"/>
    <w:qFormat/>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Char3"/>
    <w:uiPriority w:val="29"/>
    <w:qFormat/>
    <w:pPr>
      <w:spacing w:before="160" w:after="160"/>
      <w:jc w:val="center"/>
    </w:pPr>
    <w:rPr>
      <w:rFonts w:asciiTheme="minorHAnsi" w:eastAsiaTheme="minorEastAsia" w:hAnsiTheme="minorHAnsi" w:cstheme="minorBidi"/>
      <w:i/>
      <w:iCs/>
      <w:color w:val="404040" w:themeColor="text1" w:themeTint="BF"/>
    </w:rPr>
  </w:style>
  <w:style w:type="character" w:customStyle="1" w:styleId="Char3">
    <w:name w:val="引用 Char"/>
    <w:basedOn w:val="a0"/>
    <w:link w:val="a9"/>
    <w:uiPriority w:val="29"/>
    <w:qFormat/>
    <w:rPr>
      <w:i/>
      <w:iCs/>
      <w:color w:val="404040" w:themeColor="text1" w:themeTint="BF"/>
    </w:rPr>
  </w:style>
  <w:style w:type="paragraph" w:styleId="aa">
    <w:name w:val="List Paragraph"/>
    <w:basedOn w:val="a"/>
    <w:uiPriority w:val="34"/>
    <w:qFormat/>
    <w:pPr>
      <w:ind w:left="720"/>
      <w:contextualSpacing/>
    </w:pPr>
    <w:rPr>
      <w:rFonts w:asciiTheme="minorHAnsi" w:eastAsiaTheme="minorEastAsia" w:hAnsiTheme="minorHAnsi" w:cstheme="minorBidi"/>
    </w:rPr>
  </w:style>
  <w:style w:type="character" w:customStyle="1" w:styleId="10">
    <w:name w:val="明显强调1"/>
    <w:basedOn w:val="a0"/>
    <w:uiPriority w:val="21"/>
    <w:qFormat/>
    <w:rPr>
      <w:i/>
      <w:iCs/>
      <w:color w:val="0F4761" w:themeColor="accent1" w:themeShade="BF"/>
    </w:rPr>
  </w:style>
  <w:style w:type="paragraph" w:styleId="ab">
    <w:name w:val="Intense Quote"/>
    <w:basedOn w:val="a"/>
    <w:next w:val="a"/>
    <w:link w:val="Char4"/>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rPr>
  </w:style>
  <w:style w:type="character" w:customStyle="1" w:styleId="Char4">
    <w:name w:val="明显引用 Char"/>
    <w:basedOn w:val="a0"/>
    <w:link w:val="ab"/>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0">
    <w:name w:val="页眉 Char"/>
    <w:basedOn w:val="a0"/>
    <w:link w:val="a6"/>
    <w:uiPriority w:val="99"/>
    <w:qFormat/>
    <w:rPr>
      <w:sz w:val="18"/>
      <w:szCs w:val="18"/>
    </w:rPr>
  </w:style>
  <w:style w:type="character" w:customStyle="1" w:styleId="Char">
    <w:name w:val="页脚 Char"/>
    <w:basedOn w:val="a0"/>
    <w:link w:val="a5"/>
    <w:uiPriority w:val="99"/>
    <w:qFormat/>
    <w:rPr>
      <w:sz w:val="18"/>
      <w:szCs w:val="18"/>
    </w:rPr>
  </w:style>
  <w:style w:type="paragraph" w:customStyle="1" w:styleId="Default">
    <w:name w:val="Default"/>
    <w:qFormat/>
    <w:pPr>
      <w:widowControl w:val="0"/>
      <w:autoSpaceDE w:val="0"/>
      <w:autoSpaceDN w:val="0"/>
      <w:adjustRightInd w:val="0"/>
    </w:pPr>
    <w:rPr>
      <w:rFonts w:ascii="宋体" w:eastAsia="宋体" w:hAnsi="宋体" w:cs="宋体"/>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212</Words>
  <Characters>1210</Characters>
  <Application>Microsoft Office Word</Application>
  <DocSecurity>0</DocSecurity>
  <Lines>10</Lines>
  <Paragraphs>2</Paragraphs>
  <ScaleCrop>false</ScaleCrop>
  <Company>Microsoft</Company>
  <LinksUpToDate>false</LinksUpToDate>
  <CharactersWithSpaces>1420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 孙</dc:creator>
  <cp:lastModifiedBy>Administrator</cp:lastModifiedBy>
  <cp:revision>2</cp:revision>
  <dcterms:created xsi:type="dcterms:W3CDTF">2026-08-19T00:57:00Z</dcterms:created>
  <dcterms:modified xsi:type="dcterms:W3CDTF">2026-08-19T00:57:00Z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eyJoZGlkIjoiMDk4OGZkZDVhZTNkNGI2ZmZjM2RmZjBkY2NkNTVjZTYiLCJ1c2VySWQiOiI0MTMyMjY1NzEifQ==</vt:lpwstr>
  </property>
  <property fmtid="{D5CDD505-2E9C-101B-9397-08002B2CF9AE}" pid="3" name="KSOProductBuildVer">
    <vt:lpwstr>2052-12.1.0.28043</vt:lpwstr>
  </property>
  <property fmtid="{D5CDD505-2E9C-101B-9397-08002B2CF9AE}" pid="4" name="ICV">
    <vt:lpwstr>637EC52FE143496B9B8A085D2AF29C98_13</vt:lpwstr>
  </property>
</Properties>
</file>