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81E110">
      <w:pPr>
        <w:spacing w:line="560" w:lineRule="exact"/>
        <w:rPr>
          <w:rFonts w:hint="eastAsia" w:ascii="黑体" w:hAnsi="黑体" w:eastAsia="黑体"/>
          <w:sz w:val="32"/>
          <w:szCs w:val="32"/>
        </w:rPr>
      </w:pPr>
      <w:r>
        <w:rPr>
          <w:rFonts w:hint="eastAsia" w:ascii="黑体" w:hAnsi="黑体" w:eastAsia="黑体"/>
          <w:sz w:val="32"/>
          <w:szCs w:val="32"/>
        </w:rPr>
        <w:t>附件2</w:t>
      </w:r>
    </w:p>
    <w:p w14:paraId="4BFA5C5B">
      <w:pPr>
        <w:spacing w:line="560" w:lineRule="exact"/>
        <w:jc w:val="center"/>
        <w:rPr>
          <w:rFonts w:ascii="黑体" w:hAnsi="黑体" w:eastAsia="黑体"/>
          <w:sz w:val="32"/>
          <w:szCs w:val="32"/>
        </w:rPr>
      </w:pPr>
      <w:r>
        <w:rPr>
          <w:rFonts w:hint="eastAsia" w:ascii="黑体" w:hAnsi="黑体" w:eastAsia="黑体"/>
          <w:sz w:val="32"/>
          <w:szCs w:val="32"/>
        </w:rPr>
        <w:t>评分表</w:t>
      </w:r>
    </w:p>
    <w:p w14:paraId="3D9DDA8F">
      <w:pPr>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自评单位名称：</w:t>
      </w:r>
      <w:r>
        <w:rPr>
          <w:rFonts w:hint="eastAsia" w:ascii="仿宋_GB2312" w:hAnsi="仿宋_GB2312" w:eastAsia="仿宋_GB2312" w:cs="仿宋_GB2312"/>
          <w:sz w:val="36"/>
          <w:szCs w:val="36"/>
        </w:rPr>
        <w:t xml:space="preserve">                     </w:t>
      </w:r>
      <w:r>
        <w:rPr>
          <w:rFonts w:hint="eastAsia" w:ascii="仿宋_GB2312" w:hAnsi="仿宋_GB2312" w:eastAsia="仿宋_GB2312" w:cs="仿宋_GB2312"/>
          <w:sz w:val="32"/>
          <w:szCs w:val="32"/>
        </w:rPr>
        <w:t>（盖章）</w:t>
      </w:r>
    </w:p>
    <w:tbl>
      <w:tblPr>
        <w:tblStyle w:val="15"/>
        <w:tblW w:w="82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0"/>
        <w:gridCol w:w="1250"/>
        <w:gridCol w:w="3659"/>
        <w:gridCol w:w="1134"/>
        <w:gridCol w:w="1134"/>
      </w:tblGrid>
      <w:tr w14:paraId="7FE36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2290" w:type="dxa"/>
            <w:gridSpan w:val="2"/>
            <w:vAlign w:val="center"/>
          </w:tcPr>
          <w:p w14:paraId="5EB5F629">
            <w:pPr>
              <w:spacing w:line="320" w:lineRule="exact"/>
              <w:jc w:val="center"/>
              <w:rPr>
                <w:rFonts w:hint="eastAsia" w:ascii="黑体" w:hAnsi="黑体" w:eastAsia="黑体" w:cs="仿宋_GB2312"/>
                <w:sz w:val="28"/>
                <w:szCs w:val="28"/>
              </w:rPr>
            </w:pPr>
            <w:r>
              <w:rPr>
                <w:rFonts w:hint="eastAsia" w:ascii="黑体" w:hAnsi="黑体" w:eastAsia="黑体" w:cs="仿宋_GB2312"/>
                <w:sz w:val="28"/>
                <w:szCs w:val="28"/>
              </w:rPr>
              <w:t>评审内容</w:t>
            </w:r>
          </w:p>
        </w:tc>
        <w:tc>
          <w:tcPr>
            <w:tcW w:w="3659" w:type="dxa"/>
            <w:vAlign w:val="center"/>
          </w:tcPr>
          <w:p w14:paraId="05B15A57">
            <w:pPr>
              <w:spacing w:line="320" w:lineRule="exact"/>
              <w:jc w:val="center"/>
              <w:rPr>
                <w:rFonts w:hint="eastAsia" w:ascii="黑体" w:hAnsi="黑体" w:eastAsia="黑体" w:cs="仿宋_GB2312"/>
                <w:sz w:val="28"/>
                <w:szCs w:val="28"/>
                <w:u w:val="single"/>
              </w:rPr>
            </w:pPr>
            <w:r>
              <w:rPr>
                <w:rFonts w:hint="eastAsia" w:ascii="黑体" w:hAnsi="黑体" w:eastAsia="黑体" w:cs="仿宋_GB2312"/>
                <w:sz w:val="28"/>
                <w:szCs w:val="28"/>
              </w:rPr>
              <w:t>评审细则</w:t>
            </w:r>
          </w:p>
        </w:tc>
        <w:tc>
          <w:tcPr>
            <w:tcW w:w="1134" w:type="dxa"/>
          </w:tcPr>
          <w:p w14:paraId="6145A151">
            <w:pPr>
              <w:spacing w:line="400" w:lineRule="exact"/>
              <w:jc w:val="center"/>
              <w:rPr>
                <w:rFonts w:hint="eastAsia" w:ascii="黑体" w:hAnsi="黑体" w:eastAsia="黑体" w:cs="仿宋_GB2312"/>
                <w:sz w:val="28"/>
                <w:szCs w:val="28"/>
              </w:rPr>
            </w:pPr>
            <w:r>
              <w:rPr>
                <w:rFonts w:hint="eastAsia" w:ascii="黑体" w:hAnsi="黑体" w:eastAsia="黑体" w:cs="仿宋_GB2312"/>
                <w:sz w:val="28"/>
                <w:szCs w:val="28"/>
              </w:rPr>
              <w:t>自评</w:t>
            </w:r>
          </w:p>
          <w:p w14:paraId="589E14D4">
            <w:pPr>
              <w:spacing w:line="400" w:lineRule="exact"/>
              <w:jc w:val="center"/>
              <w:rPr>
                <w:rFonts w:hint="eastAsia" w:ascii="黑体" w:hAnsi="黑体" w:eastAsia="黑体" w:cs="仿宋_GB2312"/>
                <w:sz w:val="28"/>
                <w:szCs w:val="28"/>
              </w:rPr>
            </w:pPr>
            <w:r>
              <w:rPr>
                <w:rFonts w:hint="eastAsia" w:ascii="黑体" w:hAnsi="黑体" w:eastAsia="黑体" w:cs="仿宋_GB2312"/>
                <w:sz w:val="28"/>
                <w:szCs w:val="28"/>
                <w:lang w:eastAsia="zh-CN"/>
              </w:rPr>
              <w:t>得</w:t>
            </w:r>
            <w:r>
              <w:rPr>
                <w:rFonts w:hint="eastAsia" w:ascii="黑体" w:hAnsi="黑体" w:eastAsia="黑体" w:cs="仿宋_GB2312"/>
                <w:sz w:val="28"/>
                <w:szCs w:val="28"/>
              </w:rPr>
              <w:t>分</w:t>
            </w:r>
          </w:p>
        </w:tc>
        <w:tc>
          <w:tcPr>
            <w:tcW w:w="1134" w:type="dxa"/>
          </w:tcPr>
          <w:p w14:paraId="3005D215">
            <w:pPr>
              <w:spacing w:line="400" w:lineRule="exact"/>
              <w:jc w:val="center"/>
              <w:rPr>
                <w:rFonts w:hint="eastAsia" w:ascii="黑体" w:hAnsi="黑体" w:eastAsia="黑体" w:cs="仿宋_GB2312"/>
                <w:sz w:val="28"/>
                <w:szCs w:val="28"/>
                <w:lang w:eastAsia="zh-CN"/>
              </w:rPr>
            </w:pPr>
            <w:r>
              <w:rPr>
                <w:rFonts w:hint="eastAsia" w:ascii="黑体" w:hAnsi="黑体" w:eastAsia="黑体" w:cs="仿宋_GB2312"/>
                <w:sz w:val="28"/>
                <w:szCs w:val="28"/>
                <w:lang w:eastAsia="zh-CN"/>
              </w:rPr>
              <w:t>自评</w:t>
            </w:r>
          </w:p>
          <w:p w14:paraId="5C8285D4">
            <w:pPr>
              <w:spacing w:line="400" w:lineRule="exact"/>
              <w:jc w:val="center"/>
              <w:rPr>
                <w:rFonts w:hint="eastAsia" w:ascii="黑体" w:hAnsi="黑体" w:eastAsia="黑体" w:cs="仿宋_GB2312"/>
                <w:sz w:val="28"/>
                <w:szCs w:val="28"/>
                <w:lang w:eastAsia="zh-CN"/>
              </w:rPr>
            </w:pPr>
            <w:r>
              <w:rPr>
                <w:rFonts w:hint="eastAsia" w:ascii="黑体" w:hAnsi="黑体" w:eastAsia="黑体" w:cs="仿宋_GB2312"/>
                <w:sz w:val="28"/>
                <w:szCs w:val="28"/>
                <w:lang w:eastAsia="zh-CN"/>
              </w:rPr>
              <w:t>依据</w:t>
            </w:r>
          </w:p>
        </w:tc>
      </w:tr>
      <w:tr w14:paraId="297A4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1040" w:type="dxa"/>
            <w:vMerge w:val="restart"/>
            <w:vAlign w:val="center"/>
          </w:tcPr>
          <w:p w14:paraId="5303EBFB">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技术商务评分</w:t>
            </w:r>
          </w:p>
          <w:p w14:paraId="5880E4DB">
            <w:pPr>
              <w:pStyle w:val="37"/>
              <w:spacing w:line="320" w:lineRule="exact"/>
              <w:jc w:val="center"/>
              <w:rPr>
                <w:rFonts w:hint="eastAsia" w:ascii="仿宋_GB2312" w:hAnsi="仿宋_GB2312" w:eastAsia="仿宋_GB2312" w:cs="仿宋_GB2312"/>
                <w:color w:val="auto"/>
                <w:kern w:val="2"/>
                <w:sz w:val="21"/>
                <w:szCs w:val="21"/>
              </w:rPr>
            </w:pPr>
            <w:r>
              <w:rPr>
                <w:rFonts w:hint="eastAsia" w:ascii="仿宋_GB2312" w:hAnsi="仿宋_GB2312" w:eastAsia="仿宋_GB2312" w:cs="仿宋_GB2312"/>
                <w:color w:val="auto"/>
                <w:kern w:val="2"/>
                <w:sz w:val="21"/>
                <w:szCs w:val="21"/>
              </w:rPr>
              <w:t>（90%）</w:t>
            </w:r>
          </w:p>
        </w:tc>
        <w:tc>
          <w:tcPr>
            <w:tcW w:w="1250" w:type="dxa"/>
            <w:vAlign w:val="center"/>
          </w:tcPr>
          <w:p w14:paraId="63D89C3E">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产品的重要技术参数情况</w:t>
            </w:r>
          </w:p>
          <w:p w14:paraId="07EEEBF1">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（45分）</w:t>
            </w:r>
          </w:p>
        </w:tc>
        <w:tc>
          <w:tcPr>
            <w:tcW w:w="3659" w:type="dxa"/>
            <w:vAlign w:val="center"/>
          </w:tcPr>
          <w:p w14:paraId="73DE21DD">
            <w:pPr>
              <w:spacing w:line="320" w:lineRule="exact"/>
              <w:jc w:val="left"/>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核对技术要求的响应情况，满足技术参数标▲的，每一项得3分；满足技术参数非标▲的，每一项得1分。</w:t>
            </w:r>
          </w:p>
          <w:p w14:paraId="66FA401C">
            <w:pPr>
              <w:spacing w:line="320" w:lineRule="exact"/>
              <w:jc w:val="left"/>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若设备技术参数要求供应商提供佐证材料的，供应商需提供相应的证明材料原件或复印件并加盖供应商公章，未提供或提供不全不得分。</w:t>
            </w:r>
          </w:p>
        </w:tc>
        <w:tc>
          <w:tcPr>
            <w:tcW w:w="1134" w:type="dxa"/>
          </w:tcPr>
          <w:p w14:paraId="4FC6F113">
            <w:pPr>
              <w:spacing w:line="320" w:lineRule="exact"/>
              <w:jc w:val="left"/>
              <w:rPr>
                <w:rFonts w:hint="eastAsia" w:ascii="仿宋_GB2312" w:hAnsi="仿宋_GB2312" w:eastAsia="仿宋_GB2312" w:cs="仿宋_GB2312"/>
                <w:szCs w:val="21"/>
              </w:rPr>
            </w:pPr>
          </w:p>
        </w:tc>
        <w:tc>
          <w:tcPr>
            <w:tcW w:w="1134" w:type="dxa"/>
          </w:tcPr>
          <w:p w14:paraId="55376292">
            <w:pPr>
              <w:spacing w:line="320" w:lineRule="exact"/>
              <w:jc w:val="left"/>
              <w:rPr>
                <w:rFonts w:hint="eastAsia" w:ascii="仿宋_GB2312" w:hAnsi="仿宋_GB2312" w:eastAsia="仿宋_GB2312" w:cs="仿宋_GB2312"/>
                <w:szCs w:val="21"/>
              </w:rPr>
            </w:pPr>
          </w:p>
        </w:tc>
      </w:tr>
      <w:tr w14:paraId="623D1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1040" w:type="dxa"/>
            <w:vMerge w:val="continue"/>
            <w:vAlign w:val="center"/>
          </w:tcPr>
          <w:p w14:paraId="53F3BE90">
            <w:pPr>
              <w:spacing w:line="320" w:lineRule="exact"/>
              <w:jc w:val="center"/>
              <w:rPr>
                <w:rFonts w:hint="eastAsia" w:ascii="仿宋_GB2312" w:hAnsi="仿宋_GB2312" w:eastAsia="仿宋_GB2312" w:cs="仿宋_GB2312"/>
                <w:szCs w:val="21"/>
              </w:rPr>
            </w:pPr>
          </w:p>
        </w:tc>
        <w:tc>
          <w:tcPr>
            <w:tcW w:w="1250" w:type="dxa"/>
            <w:vAlign w:val="center"/>
          </w:tcPr>
          <w:p w14:paraId="48E27A5F">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投报文件质量</w:t>
            </w:r>
          </w:p>
          <w:p w14:paraId="337D631B">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(15分)</w:t>
            </w:r>
          </w:p>
        </w:tc>
        <w:tc>
          <w:tcPr>
            <w:tcW w:w="3659" w:type="dxa"/>
            <w:vAlign w:val="center"/>
          </w:tcPr>
          <w:p w14:paraId="6C4FDF6B">
            <w:pPr>
              <w:spacing w:line="320" w:lineRule="exact"/>
              <w:jc w:val="left"/>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投报文件的装订质量、完整性及对采购文件的理解、响应情况等：</w:t>
            </w:r>
          </w:p>
          <w:p w14:paraId="4F3AF931">
            <w:pPr>
              <w:spacing w:line="320" w:lineRule="exact"/>
              <w:jc w:val="left"/>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1、完全满足并优于招标文件要求，得</w:t>
            </w:r>
            <w:r>
              <w:rPr>
                <w:rFonts w:hint="eastAsia" w:ascii="仿宋_GB2312" w:hAnsi="仿宋_GB2312" w:eastAsia="仿宋_GB2312" w:cs="仿宋_GB2312"/>
                <w:color w:val="auto"/>
                <w:szCs w:val="21"/>
                <w:lang w:val="en-US" w:eastAsia="zh-CN"/>
              </w:rPr>
              <w:t>1</w:t>
            </w:r>
            <w:r>
              <w:rPr>
                <w:rFonts w:hint="eastAsia" w:ascii="仿宋_GB2312" w:hAnsi="仿宋_GB2312" w:eastAsia="仿宋_GB2312" w:cs="仿宋_GB2312"/>
                <w:color w:val="auto"/>
                <w:szCs w:val="21"/>
              </w:rPr>
              <w:t>5分；</w:t>
            </w:r>
          </w:p>
          <w:p w14:paraId="2476A73E">
            <w:pPr>
              <w:spacing w:line="320" w:lineRule="exact"/>
              <w:jc w:val="left"/>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2、较好满足招标文件要求，得</w:t>
            </w:r>
            <w:r>
              <w:rPr>
                <w:rFonts w:hint="eastAsia" w:ascii="仿宋_GB2312" w:hAnsi="仿宋_GB2312" w:eastAsia="仿宋_GB2312" w:cs="仿宋_GB2312"/>
                <w:color w:val="auto"/>
                <w:szCs w:val="21"/>
                <w:lang w:val="en-US" w:eastAsia="zh-CN"/>
              </w:rPr>
              <w:t>12</w:t>
            </w:r>
            <w:r>
              <w:rPr>
                <w:rFonts w:hint="eastAsia" w:ascii="仿宋_GB2312" w:hAnsi="仿宋_GB2312" w:eastAsia="仿宋_GB2312" w:cs="仿宋_GB2312"/>
                <w:color w:val="auto"/>
                <w:szCs w:val="21"/>
              </w:rPr>
              <w:t>分；</w:t>
            </w:r>
          </w:p>
          <w:p w14:paraId="76FAB236">
            <w:pPr>
              <w:spacing w:line="320" w:lineRule="exact"/>
              <w:jc w:val="left"/>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3、基本满足招标文件要求，得</w:t>
            </w:r>
            <w:r>
              <w:rPr>
                <w:rFonts w:hint="eastAsia" w:ascii="仿宋_GB2312" w:hAnsi="仿宋_GB2312" w:eastAsia="仿宋_GB2312" w:cs="仿宋_GB2312"/>
                <w:color w:val="auto"/>
                <w:szCs w:val="21"/>
                <w:lang w:val="en-US" w:eastAsia="zh-CN"/>
              </w:rPr>
              <w:t>10</w:t>
            </w:r>
            <w:r>
              <w:rPr>
                <w:rFonts w:hint="eastAsia" w:ascii="仿宋_GB2312" w:hAnsi="仿宋_GB2312" w:eastAsia="仿宋_GB2312" w:cs="仿宋_GB2312"/>
                <w:color w:val="auto"/>
                <w:szCs w:val="21"/>
              </w:rPr>
              <w:t>分；</w:t>
            </w:r>
          </w:p>
          <w:p w14:paraId="0A93C6C5">
            <w:pPr>
              <w:spacing w:line="320" w:lineRule="exact"/>
              <w:jc w:val="left"/>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4、低于招标文件要求，得8分。</w:t>
            </w:r>
          </w:p>
        </w:tc>
        <w:tc>
          <w:tcPr>
            <w:tcW w:w="1134" w:type="dxa"/>
          </w:tcPr>
          <w:p w14:paraId="15C834F1">
            <w:pPr>
              <w:spacing w:line="320" w:lineRule="exact"/>
              <w:jc w:val="left"/>
              <w:rPr>
                <w:rFonts w:hint="eastAsia" w:ascii="仿宋_GB2312" w:hAnsi="仿宋_GB2312" w:eastAsia="仿宋_GB2312" w:cs="仿宋_GB2312"/>
                <w:szCs w:val="21"/>
              </w:rPr>
            </w:pPr>
          </w:p>
        </w:tc>
        <w:tc>
          <w:tcPr>
            <w:tcW w:w="1134" w:type="dxa"/>
          </w:tcPr>
          <w:p w14:paraId="0C09A1B4">
            <w:pPr>
              <w:spacing w:line="320" w:lineRule="exact"/>
              <w:jc w:val="left"/>
              <w:rPr>
                <w:rFonts w:hint="eastAsia" w:ascii="仿宋_GB2312" w:hAnsi="仿宋_GB2312" w:eastAsia="仿宋_GB2312" w:cs="仿宋_GB2312"/>
                <w:szCs w:val="21"/>
              </w:rPr>
            </w:pPr>
          </w:p>
        </w:tc>
      </w:tr>
      <w:tr w14:paraId="30FE3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1040" w:type="dxa"/>
            <w:vMerge w:val="continue"/>
            <w:vAlign w:val="center"/>
          </w:tcPr>
          <w:p w14:paraId="5DC7F169">
            <w:pPr>
              <w:spacing w:line="320" w:lineRule="exact"/>
              <w:jc w:val="center"/>
              <w:rPr>
                <w:rFonts w:hint="eastAsia" w:ascii="仿宋_GB2312" w:hAnsi="仿宋_GB2312" w:eastAsia="仿宋_GB2312" w:cs="仿宋_GB2312"/>
                <w:szCs w:val="21"/>
              </w:rPr>
            </w:pPr>
          </w:p>
        </w:tc>
        <w:tc>
          <w:tcPr>
            <w:tcW w:w="1250" w:type="dxa"/>
            <w:vAlign w:val="center"/>
          </w:tcPr>
          <w:p w14:paraId="5A852BF9">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销售业绩情况</w:t>
            </w:r>
          </w:p>
          <w:p w14:paraId="41F4DFB3">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（10分）</w:t>
            </w:r>
          </w:p>
        </w:tc>
        <w:tc>
          <w:tcPr>
            <w:tcW w:w="3659" w:type="dxa"/>
            <w:vAlign w:val="center"/>
          </w:tcPr>
          <w:p w14:paraId="6A36B39C">
            <w:pPr>
              <w:spacing w:line="320" w:lineRule="exact"/>
              <w:jc w:val="left"/>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根据投标人提供近</w:t>
            </w:r>
            <w:r>
              <w:rPr>
                <w:rFonts w:hint="eastAsia" w:ascii="仿宋_GB2312" w:hAnsi="仿宋_GB2312" w:eastAsia="仿宋_GB2312" w:cs="仿宋_GB2312"/>
                <w:color w:val="auto"/>
                <w:szCs w:val="21"/>
                <w:lang w:eastAsia="zh-CN"/>
              </w:rPr>
              <w:t>半</w:t>
            </w:r>
            <w:r>
              <w:rPr>
                <w:rFonts w:hint="eastAsia" w:ascii="仿宋_GB2312" w:hAnsi="仿宋_GB2312" w:eastAsia="仿宋_GB2312" w:cs="仿宋_GB2312"/>
                <w:color w:val="auto"/>
                <w:szCs w:val="21"/>
              </w:rPr>
              <w:t>年销售同类产品情况、近</w:t>
            </w:r>
            <w:r>
              <w:rPr>
                <w:rFonts w:hint="eastAsia" w:ascii="仿宋_GB2312" w:hAnsi="仿宋_GB2312" w:eastAsia="仿宋_GB2312" w:cs="仿宋_GB2312"/>
                <w:color w:val="auto"/>
                <w:szCs w:val="21"/>
                <w:lang w:eastAsia="zh-CN"/>
              </w:rPr>
              <w:t>半</w:t>
            </w:r>
            <w:r>
              <w:rPr>
                <w:rFonts w:hint="eastAsia" w:ascii="仿宋_GB2312" w:hAnsi="仿宋_GB2312" w:eastAsia="仿宋_GB2312" w:cs="仿宋_GB2312"/>
                <w:color w:val="auto"/>
                <w:szCs w:val="21"/>
              </w:rPr>
              <w:t>年销售合同进行评审：</w:t>
            </w:r>
          </w:p>
          <w:p w14:paraId="4F9562DA">
            <w:pPr>
              <w:spacing w:line="320" w:lineRule="exact"/>
              <w:jc w:val="left"/>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每提供一份销售合同等材料，得</w:t>
            </w:r>
            <w:r>
              <w:rPr>
                <w:rFonts w:hint="eastAsia" w:ascii="仿宋_GB2312" w:hAnsi="仿宋_GB2312" w:eastAsia="仿宋_GB2312" w:cs="仿宋_GB2312"/>
                <w:color w:val="auto"/>
                <w:szCs w:val="21"/>
                <w:lang w:val="en-US" w:eastAsia="zh-CN"/>
              </w:rPr>
              <w:t>2.5</w:t>
            </w:r>
            <w:r>
              <w:rPr>
                <w:rFonts w:hint="eastAsia" w:ascii="仿宋_GB2312" w:hAnsi="仿宋_GB2312" w:eastAsia="仿宋_GB2312" w:cs="仿宋_GB2312"/>
                <w:color w:val="auto"/>
                <w:szCs w:val="21"/>
              </w:rPr>
              <w:t>分，最高10分。</w:t>
            </w:r>
          </w:p>
        </w:tc>
        <w:tc>
          <w:tcPr>
            <w:tcW w:w="1134" w:type="dxa"/>
          </w:tcPr>
          <w:p w14:paraId="6F6A5EF4">
            <w:pPr>
              <w:spacing w:line="320" w:lineRule="exact"/>
              <w:jc w:val="left"/>
              <w:rPr>
                <w:rFonts w:hint="eastAsia" w:ascii="仿宋_GB2312" w:hAnsi="仿宋_GB2312" w:eastAsia="仿宋_GB2312" w:cs="仿宋_GB2312"/>
                <w:szCs w:val="21"/>
              </w:rPr>
            </w:pPr>
          </w:p>
        </w:tc>
        <w:tc>
          <w:tcPr>
            <w:tcW w:w="1134" w:type="dxa"/>
          </w:tcPr>
          <w:p w14:paraId="08B49089">
            <w:pPr>
              <w:spacing w:line="320" w:lineRule="exact"/>
              <w:jc w:val="left"/>
              <w:rPr>
                <w:rFonts w:hint="eastAsia" w:ascii="仿宋_GB2312" w:hAnsi="仿宋_GB2312" w:eastAsia="仿宋_GB2312" w:cs="仿宋_GB2312"/>
                <w:szCs w:val="21"/>
              </w:rPr>
            </w:pPr>
          </w:p>
        </w:tc>
      </w:tr>
      <w:tr w14:paraId="5D143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040" w:type="dxa"/>
            <w:vMerge w:val="continue"/>
            <w:vAlign w:val="center"/>
          </w:tcPr>
          <w:p w14:paraId="2385C514">
            <w:pPr>
              <w:spacing w:line="320" w:lineRule="exact"/>
              <w:jc w:val="center"/>
              <w:rPr>
                <w:rFonts w:hint="eastAsia" w:ascii="仿宋_GB2312" w:hAnsi="仿宋_GB2312" w:eastAsia="仿宋_GB2312" w:cs="仿宋_GB2312"/>
                <w:szCs w:val="21"/>
              </w:rPr>
            </w:pPr>
          </w:p>
        </w:tc>
        <w:tc>
          <w:tcPr>
            <w:tcW w:w="1250" w:type="dxa"/>
            <w:vAlign w:val="center"/>
          </w:tcPr>
          <w:p w14:paraId="5126AA9A">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投标人安装、调试、培训计划、实施执行方案</w:t>
            </w:r>
          </w:p>
          <w:p w14:paraId="48EC8888">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（10分）</w:t>
            </w:r>
          </w:p>
        </w:tc>
        <w:tc>
          <w:tcPr>
            <w:tcW w:w="3659" w:type="dxa"/>
            <w:vAlign w:val="center"/>
          </w:tcPr>
          <w:p w14:paraId="4A721CA6">
            <w:pPr>
              <w:spacing w:line="320" w:lineRule="exact"/>
              <w:jc w:val="left"/>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根据投标人提供的安装、调试、培训计划、实施执行方案进行评审：</w:t>
            </w:r>
          </w:p>
          <w:p w14:paraId="16C1E2C6">
            <w:pPr>
              <w:spacing w:line="320" w:lineRule="exact"/>
              <w:jc w:val="left"/>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1、投标人提供的方案可行性高，内容具体、细致，得</w:t>
            </w:r>
            <w:r>
              <w:rPr>
                <w:rFonts w:hint="eastAsia" w:ascii="仿宋_GB2312" w:hAnsi="仿宋_GB2312" w:eastAsia="仿宋_GB2312" w:cs="仿宋_GB2312"/>
                <w:color w:val="auto"/>
                <w:szCs w:val="21"/>
                <w:lang w:val="en-US" w:eastAsia="zh-CN"/>
              </w:rPr>
              <w:t>10</w:t>
            </w:r>
            <w:r>
              <w:rPr>
                <w:rFonts w:hint="eastAsia" w:ascii="仿宋_GB2312" w:hAnsi="仿宋_GB2312" w:eastAsia="仿宋_GB2312" w:cs="仿宋_GB2312"/>
                <w:color w:val="auto"/>
                <w:szCs w:val="21"/>
              </w:rPr>
              <w:t>分；</w:t>
            </w:r>
          </w:p>
          <w:p w14:paraId="272590EF">
            <w:pPr>
              <w:spacing w:line="320" w:lineRule="exact"/>
              <w:jc w:val="left"/>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2、投标人提供的方案可行性较高，内容较具体、细致，得</w:t>
            </w:r>
            <w:r>
              <w:rPr>
                <w:rFonts w:hint="eastAsia" w:ascii="仿宋_GB2312" w:hAnsi="仿宋_GB2312" w:eastAsia="仿宋_GB2312" w:cs="仿宋_GB2312"/>
                <w:color w:val="auto"/>
                <w:szCs w:val="21"/>
                <w:lang w:val="en-US" w:eastAsia="zh-CN"/>
              </w:rPr>
              <w:t>7</w:t>
            </w:r>
            <w:r>
              <w:rPr>
                <w:rFonts w:hint="eastAsia" w:ascii="仿宋_GB2312" w:hAnsi="仿宋_GB2312" w:eastAsia="仿宋_GB2312" w:cs="仿宋_GB2312"/>
                <w:color w:val="auto"/>
                <w:szCs w:val="21"/>
              </w:rPr>
              <w:t>分；</w:t>
            </w:r>
          </w:p>
          <w:p w14:paraId="6735F3D8">
            <w:pPr>
              <w:spacing w:line="320" w:lineRule="exact"/>
              <w:jc w:val="left"/>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3、投标人提供的方案可行性一般，内容不够具体、细致，得</w:t>
            </w:r>
            <w:r>
              <w:rPr>
                <w:rFonts w:hint="eastAsia" w:ascii="仿宋_GB2312" w:hAnsi="仿宋_GB2312" w:eastAsia="仿宋_GB2312" w:cs="仿宋_GB2312"/>
                <w:color w:val="auto"/>
                <w:szCs w:val="21"/>
                <w:lang w:val="en-US" w:eastAsia="zh-CN"/>
              </w:rPr>
              <w:t>4</w:t>
            </w:r>
            <w:r>
              <w:rPr>
                <w:rFonts w:hint="eastAsia" w:ascii="仿宋_GB2312" w:hAnsi="仿宋_GB2312" w:eastAsia="仿宋_GB2312" w:cs="仿宋_GB2312"/>
                <w:color w:val="auto"/>
                <w:szCs w:val="21"/>
              </w:rPr>
              <w:t>分；</w:t>
            </w:r>
          </w:p>
          <w:p w14:paraId="1BD88933">
            <w:pPr>
              <w:spacing w:line="320" w:lineRule="exact"/>
              <w:jc w:val="left"/>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4、投标人没有提供方案，或内容有缺项漏项，得0分。</w:t>
            </w:r>
          </w:p>
        </w:tc>
        <w:tc>
          <w:tcPr>
            <w:tcW w:w="1134" w:type="dxa"/>
          </w:tcPr>
          <w:p w14:paraId="7A2ADD37">
            <w:pPr>
              <w:spacing w:line="320" w:lineRule="exact"/>
              <w:jc w:val="left"/>
              <w:rPr>
                <w:rFonts w:hint="eastAsia" w:ascii="仿宋_GB2312" w:hAnsi="仿宋_GB2312" w:eastAsia="仿宋_GB2312" w:cs="仿宋_GB2312"/>
                <w:szCs w:val="21"/>
              </w:rPr>
            </w:pPr>
          </w:p>
        </w:tc>
        <w:tc>
          <w:tcPr>
            <w:tcW w:w="1134" w:type="dxa"/>
          </w:tcPr>
          <w:p w14:paraId="76BB1BAE">
            <w:pPr>
              <w:spacing w:line="320" w:lineRule="exact"/>
              <w:jc w:val="left"/>
              <w:rPr>
                <w:rFonts w:hint="eastAsia" w:ascii="仿宋_GB2312" w:hAnsi="仿宋_GB2312" w:eastAsia="仿宋_GB2312" w:cs="仿宋_GB2312"/>
                <w:szCs w:val="21"/>
              </w:rPr>
            </w:pPr>
          </w:p>
        </w:tc>
      </w:tr>
      <w:tr w14:paraId="0FAC4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040" w:type="dxa"/>
            <w:vMerge w:val="continue"/>
            <w:vAlign w:val="center"/>
          </w:tcPr>
          <w:p w14:paraId="6C0D6E77">
            <w:pPr>
              <w:spacing w:line="320" w:lineRule="exact"/>
              <w:jc w:val="center"/>
              <w:rPr>
                <w:rFonts w:hint="eastAsia" w:ascii="仿宋_GB2312" w:hAnsi="仿宋_GB2312" w:eastAsia="仿宋_GB2312" w:cs="仿宋_GB2312"/>
                <w:szCs w:val="21"/>
              </w:rPr>
            </w:pPr>
          </w:p>
        </w:tc>
        <w:tc>
          <w:tcPr>
            <w:tcW w:w="1250" w:type="dxa"/>
            <w:vAlign w:val="center"/>
          </w:tcPr>
          <w:p w14:paraId="5A53CAE8">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售后服务方案</w:t>
            </w:r>
          </w:p>
          <w:p w14:paraId="5B9C13E6">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（10分）</w:t>
            </w:r>
          </w:p>
        </w:tc>
        <w:tc>
          <w:tcPr>
            <w:tcW w:w="3659" w:type="dxa"/>
            <w:vAlign w:val="center"/>
          </w:tcPr>
          <w:p w14:paraId="0DB454CC">
            <w:pPr>
              <w:spacing w:line="320" w:lineRule="exact"/>
              <w:jc w:val="left"/>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根据投标人提供的售后服务方案及服务承诺进行综合评分：</w:t>
            </w:r>
          </w:p>
          <w:p w14:paraId="5A25BB59">
            <w:pPr>
              <w:spacing w:line="320" w:lineRule="exact"/>
              <w:jc w:val="left"/>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1、售后服务方案完善合理，可行性高，服务人员的资质、备件响应、应急方案详细具体，与项目实际情况相符，得</w:t>
            </w:r>
            <w:r>
              <w:rPr>
                <w:rFonts w:hint="eastAsia" w:ascii="仿宋_GB2312" w:hAnsi="仿宋_GB2312" w:eastAsia="仿宋_GB2312" w:cs="仿宋_GB2312"/>
                <w:color w:val="auto"/>
                <w:szCs w:val="21"/>
                <w:lang w:val="en-US" w:eastAsia="zh-CN"/>
              </w:rPr>
              <w:t>10</w:t>
            </w:r>
            <w:r>
              <w:rPr>
                <w:rFonts w:hint="eastAsia" w:ascii="仿宋_GB2312" w:hAnsi="仿宋_GB2312" w:eastAsia="仿宋_GB2312" w:cs="仿宋_GB2312"/>
                <w:color w:val="auto"/>
                <w:szCs w:val="21"/>
              </w:rPr>
              <w:t>分；</w:t>
            </w:r>
          </w:p>
          <w:p w14:paraId="749129BC">
            <w:pPr>
              <w:spacing w:line="320" w:lineRule="exact"/>
              <w:jc w:val="left"/>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2、售后服务方案较为完善，可行性较高，服务人员的资质、备件响应、应急方案较详细，与项目实际情况相符，得</w:t>
            </w:r>
            <w:r>
              <w:rPr>
                <w:rFonts w:hint="eastAsia" w:ascii="仿宋_GB2312" w:hAnsi="仿宋_GB2312" w:eastAsia="仿宋_GB2312" w:cs="仿宋_GB2312"/>
                <w:color w:val="auto"/>
                <w:szCs w:val="21"/>
                <w:lang w:val="en-US" w:eastAsia="zh-CN"/>
              </w:rPr>
              <w:t>7</w:t>
            </w:r>
            <w:r>
              <w:rPr>
                <w:rFonts w:hint="eastAsia" w:ascii="仿宋_GB2312" w:hAnsi="仿宋_GB2312" w:eastAsia="仿宋_GB2312" w:cs="仿宋_GB2312"/>
                <w:color w:val="auto"/>
                <w:szCs w:val="21"/>
              </w:rPr>
              <w:t>分；</w:t>
            </w:r>
          </w:p>
          <w:p w14:paraId="7FFAFA6B">
            <w:pPr>
              <w:spacing w:line="320" w:lineRule="exact"/>
              <w:jc w:val="left"/>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3、售后服务方案较合理，可行性一般，服务人员的资质、备件响应、应急方案一般，与项目实际情况相符，得</w:t>
            </w:r>
            <w:r>
              <w:rPr>
                <w:rFonts w:hint="eastAsia" w:ascii="仿宋_GB2312" w:hAnsi="仿宋_GB2312" w:eastAsia="仿宋_GB2312" w:cs="仿宋_GB2312"/>
                <w:color w:val="auto"/>
                <w:szCs w:val="21"/>
                <w:lang w:val="en-US" w:eastAsia="zh-CN"/>
              </w:rPr>
              <w:t>4</w:t>
            </w:r>
            <w:r>
              <w:rPr>
                <w:rFonts w:hint="eastAsia" w:ascii="仿宋_GB2312" w:hAnsi="仿宋_GB2312" w:eastAsia="仿宋_GB2312" w:cs="仿宋_GB2312"/>
                <w:color w:val="auto"/>
                <w:szCs w:val="21"/>
              </w:rPr>
              <w:t>分；</w:t>
            </w:r>
          </w:p>
          <w:p w14:paraId="5A65D514">
            <w:pPr>
              <w:spacing w:line="320" w:lineRule="exact"/>
              <w:jc w:val="left"/>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4、售后服务方案可行性差或无提供售后服务方案，得0分。</w:t>
            </w:r>
          </w:p>
        </w:tc>
        <w:tc>
          <w:tcPr>
            <w:tcW w:w="1134" w:type="dxa"/>
          </w:tcPr>
          <w:p w14:paraId="0AB0A058">
            <w:pPr>
              <w:spacing w:line="320" w:lineRule="exact"/>
              <w:jc w:val="left"/>
              <w:rPr>
                <w:rFonts w:hint="eastAsia" w:ascii="仿宋_GB2312" w:hAnsi="仿宋_GB2312" w:eastAsia="仿宋_GB2312" w:cs="仿宋_GB2312"/>
                <w:szCs w:val="21"/>
              </w:rPr>
            </w:pPr>
          </w:p>
        </w:tc>
        <w:tc>
          <w:tcPr>
            <w:tcW w:w="1134" w:type="dxa"/>
          </w:tcPr>
          <w:p w14:paraId="442BE2F2">
            <w:pPr>
              <w:spacing w:line="320" w:lineRule="exact"/>
              <w:jc w:val="left"/>
              <w:rPr>
                <w:rFonts w:hint="eastAsia" w:ascii="仿宋_GB2312" w:hAnsi="仿宋_GB2312" w:eastAsia="仿宋_GB2312" w:cs="仿宋_GB2312"/>
                <w:szCs w:val="21"/>
              </w:rPr>
            </w:pPr>
          </w:p>
        </w:tc>
      </w:tr>
      <w:tr w14:paraId="5D9A3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2290" w:type="dxa"/>
            <w:gridSpan w:val="2"/>
            <w:vAlign w:val="center"/>
          </w:tcPr>
          <w:p w14:paraId="5EB95E68">
            <w:pPr>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价格评分（10%）</w:t>
            </w:r>
          </w:p>
        </w:tc>
        <w:tc>
          <w:tcPr>
            <w:tcW w:w="3659" w:type="dxa"/>
            <w:vAlign w:val="center"/>
          </w:tcPr>
          <w:p w14:paraId="0867B4A5">
            <w:pPr>
              <w:spacing w:line="320" w:lineRule="exact"/>
              <w:jc w:val="lef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Cs w:val="21"/>
              </w:rPr>
              <w:t>满足招标文件要求且价格最低的投标价为基准价，其价格分为满分</w:t>
            </w:r>
            <w:r>
              <w:rPr>
                <w:rFonts w:hint="eastAsia" w:ascii="仿宋_GB2312" w:hAnsi="仿宋_GB2312" w:eastAsia="仿宋_GB2312" w:cs="仿宋_GB2312"/>
                <w:color w:val="auto"/>
                <w:szCs w:val="21"/>
                <w:lang w:val="en-US" w:eastAsia="zh-CN"/>
              </w:rPr>
              <w:t>10分</w:t>
            </w:r>
            <w:r>
              <w:rPr>
                <w:rFonts w:hint="eastAsia" w:ascii="仿宋_GB2312" w:hAnsi="仿宋_GB2312" w:eastAsia="仿宋_GB2312" w:cs="仿宋_GB2312"/>
                <w:color w:val="auto"/>
                <w:szCs w:val="21"/>
              </w:rPr>
              <w:t>。</w:t>
            </w:r>
            <w:r>
              <w:rPr>
                <w:rFonts w:hint="eastAsia" w:ascii="仿宋_GB2312" w:hAnsi="仿宋_GB2312" w:eastAsia="仿宋_GB2312" w:cs="仿宋_GB2312"/>
                <w:color w:val="auto"/>
                <w:kern w:val="0"/>
                <w:sz w:val="21"/>
                <w:szCs w:val="21"/>
              </w:rPr>
              <w:t>其他</w:t>
            </w:r>
            <w:r>
              <w:rPr>
                <w:rFonts w:hint="eastAsia" w:ascii="仿宋_GB2312" w:hAnsi="仿宋_GB2312" w:eastAsia="仿宋_GB2312" w:cs="仿宋_GB2312"/>
                <w:color w:val="auto"/>
                <w:kern w:val="0"/>
                <w:sz w:val="21"/>
                <w:szCs w:val="21"/>
                <w:lang w:eastAsia="zh-CN"/>
              </w:rPr>
              <w:t>供应商</w:t>
            </w:r>
            <w:r>
              <w:rPr>
                <w:rFonts w:hint="eastAsia" w:ascii="仿宋_GB2312" w:hAnsi="仿宋_GB2312" w:eastAsia="仿宋_GB2312" w:cs="仿宋_GB2312"/>
                <w:color w:val="auto"/>
                <w:kern w:val="0"/>
                <w:sz w:val="21"/>
                <w:szCs w:val="21"/>
              </w:rPr>
              <w:t>的价格分统一按照下列公式计算：价格分</w:t>
            </w:r>
            <w:r>
              <w:rPr>
                <w:rFonts w:hint="eastAsia" w:ascii="仿宋_GB2312" w:hAnsi="仿宋_GB2312" w:eastAsia="仿宋_GB2312" w:cs="仿宋_GB2312"/>
                <w:color w:val="auto"/>
                <w:kern w:val="0"/>
                <w:sz w:val="21"/>
                <w:szCs w:val="21"/>
                <w:lang w:val="en-US" w:eastAsia="zh-CN"/>
              </w:rPr>
              <w:t>=</w:t>
            </w:r>
            <w:r>
              <w:rPr>
                <w:rFonts w:hint="eastAsia" w:ascii="仿宋_GB2312" w:hAnsi="仿宋_GB2312" w:eastAsia="仿宋_GB2312" w:cs="仿宋_GB2312"/>
                <w:color w:val="auto"/>
                <w:kern w:val="0"/>
                <w:sz w:val="21"/>
                <w:szCs w:val="21"/>
              </w:rPr>
              <w:t>(基准价／投标报价)×10</w:t>
            </w:r>
          </w:p>
          <w:p w14:paraId="0D89D0E5">
            <w:pPr>
              <w:spacing w:line="320" w:lineRule="exact"/>
              <w:jc w:val="left"/>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说明:</w:t>
            </w:r>
          </w:p>
          <w:p w14:paraId="7B1FA872">
            <w:pPr>
              <w:spacing w:line="320" w:lineRule="exact"/>
              <w:jc w:val="left"/>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1、</w:t>
            </w:r>
            <w:bookmarkStart w:id="0" w:name="_GoBack"/>
            <w:r>
              <w:rPr>
                <w:rFonts w:hint="eastAsia" w:ascii="仿宋_GB2312" w:hAnsi="仿宋_GB2312" w:eastAsia="仿宋_GB2312" w:cs="仿宋_GB2312"/>
                <w:color w:val="auto"/>
                <w:szCs w:val="21"/>
                <w:highlight w:val="none"/>
                <w:lang w:val="en-US" w:eastAsia="zh-CN"/>
              </w:rPr>
              <w:t>对符合规定的小型和微型企业（监狱企业、残疾人福利单位视同小型、微型企业）报价给予10%的价格扣除</w:t>
            </w:r>
            <w:r>
              <w:rPr>
                <w:rFonts w:hint="eastAsia" w:ascii="仿宋_GB2312" w:hAnsi="仿宋_GB2312" w:eastAsia="仿宋_GB2312" w:cs="仿宋_GB2312"/>
                <w:color w:val="auto"/>
                <w:szCs w:val="21"/>
                <w:highlight w:val="none"/>
              </w:rPr>
              <w:t>，</w:t>
            </w:r>
            <w:bookmarkEnd w:id="0"/>
            <w:r>
              <w:rPr>
                <w:rFonts w:hint="eastAsia" w:ascii="仿宋_GB2312" w:hAnsi="仿宋_GB2312" w:eastAsia="仿宋_GB2312" w:cs="仿宋_GB2312"/>
                <w:color w:val="auto"/>
                <w:szCs w:val="21"/>
              </w:rPr>
              <w:t>用扣除后的价格参加评审。</w:t>
            </w:r>
          </w:p>
          <w:p w14:paraId="088E13A8">
            <w:pPr>
              <w:spacing w:line="320" w:lineRule="exact"/>
              <w:jc w:val="left"/>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2、上述扣除后的价格仅用于计算价格评分，成交金额以实际投标(响应)价为准。</w:t>
            </w:r>
          </w:p>
          <w:p w14:paraId="4D94B96C">
            <w:pPr>
              <w:spacing w:line="320" w:lineRule="exact"/>
              <w:jc w:val="left"/>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3、计算过程及结果数字保留两位小数。</w:t>
            </w:r>
          </w:p>
        </w:tc>
        <w:tc>
          <w:tcPr>
            <w:tcW w:w="1134" w:type="dxa"/>
          </w:tcPr>
          <w:p w14:paraId="740834F9">
            <w:pPr>
              <w:spacing w:line="320" w:lineRule="exact"/>
              <w:jc w:val="left"/>
              <w:rPr>
                <w:rFonts w:hint="eastAsia" w:ascii="仿宋_GB2312" w:hAnsi="仿宋_GB2312" w:eastAsia="仿宋_GB2312" w:cs="仿宋_GB2312"/>
                <w:szCs w:val="21"/>
              </w:rPr>
            </w:pPr>
          </w:p>
        </w:tc>
        <w:tc>
          <w:tcPr>
            <w:tcW w:w="1134" w:type="dxa"/>
          </w:tcPr>
          <w:p w14:paraId="52ABD81F">
            <w:pPr>
              <w:spacing w:line="320" w:lineRule="exact"/>
              <w:jc w:val="left"/>
              <w:rPr>
                <w:rFonts w:hint="eastAsia" w:ascii="仿宋_GB2312" w:hAnsi="仿宋_GB2312" w:eastAsia="仿宋_GB2312" w:cs="仿宋_GB2312"/>
                <w:szCs w:val="21"/>
              </w:rPr>
            </w:pPr>
          </w:p>
        </w:tc>
      </w:tr>
    </w:tbl>
    <w:p w14:paraId="027E7ED5">
      <w:pPr>
        <w:ind w:firstLine="211" w:firstLineChars="100"/>
        <w:rPr>
          <w:rFonts w:hint="eastAsia" w:ascii="仿宋_GB2312" w:hAnsi="仿宋_GB2312" w:eastAsia="仿宋_GB2312" w:cs="仿宋_GB2312"/>
          <w:b/>
          <w:bCs/>
          <w:kern w:val="0"/>
          <w:szCs w:val="21"/>
        </w:rPr>
      </w:pPr>
      <w:r>
        <w:rPr>
          <w:rFonts w:hint="eastAsia" w:ascii="仿宋_GB2312" w:hAnsi="仿宋_GB2312" w:eastAsia="仿宋_GB2312" w:cs="仿宋_GB2312"/>
          <w:b/>
          <w:bCs/>
          <w:kern w:val="0"/>
          <w:szCs w:val="21"/>
        </w:rPr>
        <w:t>注：</w:t>
      </w:r>
      <w:r>
        <w:rPr>
          <w:rFonts w:hint="eastAsia" w:ascii="仿宋_GB2312" w:hAnsi="仿宋_GB2312" w:eastAsia="仿宋_GB2312" w:cs="仿宋_GB2312"/>
          <w:b/>
          <w:bCs/>
          <w:szCs w:val="21"/>
        </w:rPr>
        <w:t>1、</w:t>
      </w:r>
      <w:r>
        <w:rPr>
          <w:rFonts w:ascii="仿宋_GB2312" w:hAnsi="仿宋_GB2312" w:eastAsia="仿宋_GB2312" w:cs="仿宋_GB2312"/>
          <w:b/>
          <w:bCs/>
          <w:kern w:val="0"/>
          <w:szCs w:val="21"/>
        </w:rPr>
        <w:t>请投标人在投标文件中标注以上评分项目证明资料对应的页码。</w:t>
      </w:r>
    </w:p>
    <w:p w14:paraId="42C98D1C">
      <w:pPr>
        <w:ind w:left="1052" w:leftChars="300" w:hanging="422" w:hangingChars="200"/>
        <w:rPr>
          <w:rFonts w:hint="eastAsia" w:ascii="仿宋_GB2312" w:hAnsi="仿宋_GB2312" w:eastAsia="仿宋_GB2312" w:cs="仿宋_GB2312"/>
          <w:b/>
          <w:bCs/>
          <w:szCs w:val="21"/>
        </w:rPr>
      </w:pPr>
      <w:r>
        <w:rPr>
          <w:rFonts w:hint="eastAsia" w:ascii="仿宋_GB2312" w:hAnsi="仿宋_GB2312" w:eastAsia="仿宋_GB2312" w:cs="仿宋_GB2312"/>
          <w:b/>
          <w:bCs/>
          <w:kern w:val="0"/>
          <w:szCs w:val="21"/>
        </w:rPr>
        <w:t>2、</w:t>
      </w:r>
      <w:r>
        <w:rPr>
          <w:rFonts w:hint="eastAsia" w:ascii="仿宋_GB2312" w:hAnsi="仿宋_GB2312" w:eastAsia="仿宋_GB2312" w:cs="仿宋_GB2312"/>
          <w:b/>
          <w:bCs/>
          <w:szCs w:val="21"/>
        </w:rPr>
        <w:t>综合评分最高者原则上推荐为成交供应商，综合评分相同的以报价低者推荐为成</w:t>
      </w:r>
    </w:p>
    <w:p w14:paraId="76192E59">
      <w:pPr>
        <w:ind w:firstLine="843" w:firstLineChars="400"/>
        <w:rPr>
          <w:rFonts w:hint="eastAsia" w:ascii="仿宋_GB2312" w:hAnsi="仿宋_GB2312" w:eastAsia="仿宋_GB2312" w:cs="仿宋_GB2312"/>
          <w:b/>
          <w:bCs/>
          <w:szCs w:val="21"/>
        </w:rPr>
      </w:pPr>
      <w:r>
        <w:rPr>
          <w:rFonts w:hint="eastAsia" w:ascii="仿宋_GB2312" w:hAnsi="仿宋_GB2312" w:eastAsia="仿宋_GB2312" w:cs="仿宋_GB2312"/>
          <w:b/>
          <w:bCs/>
          <w:szCs w:val="21"/>
        </w:rPr>
        <w:t>交供应商。</w:t>
      </w:r>
    </w:p>
    <w:p w14:paraId="6808A1F6">
      <w:pPr>
        <w:ind w:left="841" w:leftChars="300" w:hanging="211" w:hangingChars="100"/>
        <w:rPr>
          <w:rFonts w:hint="eastAsia" w:ascii="仿宋_GB2312" w:hAnsi="仿宋_GB2312" w:eastAsia="仿宋_GB2312" w:cs="仿宋_GB2312"/>
          <w:b/>
          <w:bCs/>
          <w:kern w:val="0"/>
          <w:szCs w:val="21"/>
        </w:rPr>
      </w:pPr>
      <w:r>
        <w:rPr>
          <w:rFonts w:hint="eastAsia" w:ascii="仿宋_GB2312" w:hAnsi="仿宋_GB2312" w:eastAsia="仿宋_GB2312" w:cs="仿宋_GB2312"/>
          <w:b/>
          <w:bCs/>
          <w:kern w:val="0"/>
          <w:szCs w:val="21"/>
        </w:rPr>
        <w:t>3、评标委员会认为报价供应商的报价明显低于其他通过符合性审查报价供应商的报价，有可能影响产品质量或者不能诚信履约的，应当要求供应商提供书面说明，必要时提交相证明材料；报价供应商不能证明其报价合理性的，评标委员会应当将其作为无效投标处理。</w:t>
      </w:r>
    </w:p>
    <w:p w14:paraId="16476D3B">
      <w:pPr>
        <w:rPr>
          <w:rFonts w:hint="eastAsia" w:ascii="仿宋_GB2312" w:hAnsi="仿宋_GB2312" w:eastAsia="仿宋_GB2312" w:cs="仿宋_GB2312"/>
          <w:b/>
          <w:bCs/>
          <w:kern w:val="0"/>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0DB"/>
    <w:rsid w:val="0002283F"/>
    <w:rsid w:val="002A056F"/>
    <w:rsid w:val="003530DB"/>
    <w:rsid w:val="003E1F7E"/>
    <w:rsid w:val="005B267E"/>
    <w:rsid w:val="006546EF"/>
    <w:rsid w:val="00870121"/>
    <w:rsid w:val="00AA223E"/>
    <w:rsid w:val="00B70E30"/>
    <w:rsid w:val="00F40034"/>
    <w:rsid w:val="0128178F"/>
    <w:rsid w:val="0F87344A"/>
    <w:rsid w:val="1D5735C9"/>
    <w:rsid w:val="1FCA738C"/>
    <w:rsid w:val="27BD6D7E"/>
    <w:rsid w:val="2AE92340"/>
    <w:rsid w:val="44BC2802"/>
    <w:rsid w:val="4C953C49"/>
    <w:rsid w:val="5B0867BA"/>
    <w:rsid w:val="5FF756B7"/>
    <w:rsid w:val="672568F0"/>
    <w:rsid w:val="72286017"/>
    <w:rsid w:val="78EE44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asciiTheme="minorHAnsi" w:hAnsiTheme="minorHAnsi" w:eastAsiaTheme="minorEastAsia"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asciiTheme="minorHAnsi" w:hAnsiTheme="minorHAnsi" w:eastAsiaTheme="minorEastAsia" w:cstheme="majorBidi"/>
      <w:color w:val="104862" w:themeColor="accent1" w:themeShade="BF"/>
      <w:sz w:val="24"/>
      <w:szCs w:val="24"/>
    </w:rPr>
  </w:style>
  <w:style w:type="paragraph" w:styleId="7">
    <w:name w:val="heading 6"/>
    <w:basedOn w:val="1"/>
    <w:next w:val="1"/>
    <w:link w:val="22"/>
    <w:semiHidden/>
    <w:unhideWhenUsed/>
    <w:qFormat/>
    <w:uiPriority w:val="9"/>
    <w:pPr>
      <w:keepNext/>
      <w:keepLines/>
      <w:spacing w:before="40"/>
      <w:outlineLvl w:val="5"/>
    </w:pPr>
    <w:rPr>
      <w:rFonts w:asciiTheme="minorHAnsi" w:hAnsiTheme="minorHAnsi" w:eastAsiaTheme="minorEastAsia" w:cstheme="majorBidi"/>
      <w:b/>
      <w:bCs/>
      <w:color w:val="104862" w:themeColor="accent1" w:themeShade="BF"/>
    </w:rPr>
  </w:style>
  <w:style w:type="paragraph" w:styleId="8">
    <w:name w:val="heading 7"/>
    <w:basedOn w:val="1"/>
    <w:next w:val="1"/>
    <w:link w:val="23"/>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2">
    <w:name w:val="header"/>
    <w:basedOn w:val="1"/>
    <w:link w:val="35"/>
    <w:unhideWhenUsed/>
    <w:qFormat/>
    <w:uiPriority w:val="99"/>
    <w:pPr>
      <w:tabs>
        <w:tab w:val="center" w:pos="4153"/>
        <w:tab w:val="right" w:pos="8306"/>
      </w:tabs>
      <w:snapToGrid w:val="0"/>
      <w:jc w:val="center"/>
    </w:pPr>
    <w:rPr>
      <w:rFonts w:asciiTheme="minorHAnsi" w:hAnsiTheme="minorHAnsi" w:eastAsiaTheme="minorEastAsia" w:cstheme="minorBidi"/>
      <w:sz w:val="18"/>
      <w:szCs w:val="18"/>
    </w:r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semiHidden/>
    <w:qFormat/>
    <w:uiPriority w:val="9"/>
    <w:rPr>
      <w:rFonts w:cstheme="majorBidi"/>
      <w:color w:val="104862" w:themeColor="accent1" w:themeShade="BF"/>
      <w:sz w:val="28"/>
      <w:szCs w:val="28"/>
    </w:rPr>
  </w:style>
  <w:style w:type="character" w:customStyle="1" w:styleId="21">
    <w:name w:val="标题 5 字符"/>
    <w:basedOn w:val="16"/>
    <w:link w:val="6"/>
    <w:semiHidden/>
    <w:qFormat/>
    <w:uiPriority w:val="9"/>
    <w:rPr>
      <w:rFonts w:cstheme="majorBidi"/>
      <w:color w:val="104862" w:themeColor="accent1" w:themeShade="BF"/>
      <w:sz w:val="24"/>
      <w:szCs w:val="24"/>
    </w:rPr>
  </w:style>
  <w:style w:type="character" w:customStyle="1" w:styleId="22">
    <w:name w:val="标题 6 字符"/>
    <w:basedOn w:val="16"/>
    <w:link w:val="7"/>
    <w:semiHidden/>
    <w:qFormat/>
    <w:uiPriority w:val="9"/>
    <w:rPr>
      <w:rFonts w:cstheme="majorBidi"/>
      <w:b/>
      <w:bCs/>
      <w:color w:val="104862"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rFonts w:asciiTheme="minorHAnsi" w:hAnsiTheme="minorHAnsi" w:eastAsiaTheme="minorEastAsia" w:cstheme="minorBidi"/>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rPr>
      <w:rFonts w:asciiTheme="minorHAnsi" w:hAnsiTheme="minorHAnsi" w:eastAsiaTheme="minorEastAsia" w:cstheme="minorBidi"/>
    </w:rPr>
  </w:style>
  <w:style w:type="character" w:customStyle="1" w:styleId="31">
    <w:name w:val="Intense Emphasis"/>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rFonts w:asciiTheme="minorHAnsi" w:hAnsiTheme="minorHAnsi" w:eastAsiaTheme="minorEastAsia" w:cstheme="minorBidi"/>
      <w:i/>
      <w:iCs/>
      <w:color w:val="104862" w:themeColor="accent1" w:themeShade="BF"/>
    </w:rPr>
  </w:style>
  <w:style w:type="character" w:customStyle="1" w:styleId="33">
    <w:name w:val="明显引用 字符"/>
    <w:basedOn w:val="16"/>
    <w:link w:val="32"/>
    <w:qFormat/>
    <w:uiPriority w:val="30"/>
    <w:rPr>
      <w:i/>
      <w:iCs/>
      <w:color w:val="104862" w:themeColor="accent1" w:themeShade="BF"/>
    </w:rPr>
  </w:style>
  <w:style w:type="character" w:customStyle="1" w:styleId="34">
    <w:name w:val="Intense Reference"/>
    <w:basedOn w:val="16"/>
    <w:qFormat/>
    <w:uiPriority w:val="32"/>
    <w:rPr>
      <w:b/>
      <w:bCs/>
      <w:smallCaps/>
      <w:color w:val="104862" w:themeColor="accent1" w:themeShade="BF"/>
      <w:spacing w:val="5"/>
    </w:rPr>
  </w:style>
  <w:style w:type="character" w:customStyle="1" w:styleId="35">
    <w:name w:val="页眉 字符"/>
    <w:basedOn w:val="16"/>
    <w:link w:val="12"/>
    <w:qFormat/>
    <w:uiPriority w:val="99"/>
    <w:rPr>
      <w:sz w:val="18"/>
      <w:szCs w:val="18"/>
    </w:rPr>
  </w:style>
  <w:style w:type="character" w:customStyle="1" w:styleId="36">
    <w:name w:val="页脚 字符"/>
    <w:basedOn w:val="16"/>
    <w:link w:val="11"/>
    <w:qFormat/>
    <w:uiPriority w:val="99"/>
    <w:rPr>
      <w:sz w:val="18"/>
      <w:szCs w:val="18"/>
    </w:rPr>
  </w:style>
  <w:style w:type="paragraph" w:customStyle="1" w:styleId="37">
    <w:name w:val="Default"/>
    <w:qFormat/>
    <w:uiPriority w:val="0"/>
    <w:pPr>
      <w:widowControl w:val="0"/>
      <w:autoSpaceDE w:val="0"/>
      <w:autoSpaceDN w:val="0"/>
      <w:adjustRightInd w:val="0"/>
    </w:pPr>
    <w:rPr>
      <w:rFonts w:ascii="宋体" w:hAnsi="宋体" w:eastAsia="宋体" w:cs="宋体"/>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1093</Words>
  <Characters>1123</Characters>
  <Lines>67</Lines>
  <Paragraphs>49</Paragraphs>
  <TotalTime>0</TotalTime>
  <ScaleCrop>false</ScaleCrop>
  <LinksUpToDate>false</LinksUpToDate>
  <CharactersWithSpaces>1144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2026-05-17T06:54:00Z</dcterms:created>
  <dc:creator>文 孙</dc:creator>
  <cp:lastModifiedBy>Iris W</cp:lastModifiedBy>
  <dcterms:modified xsi:type="dcterms:W3CDTF">2026-08-12T08:04:36Z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eyJoZGlkIjoiMzYwYTM2YmU1YWE4M2ZjYzhhZWVmYTRlNDcxNzYxZGMiLCJ1c2VySWQiOiI4OTAwMzQzMzQifQ==</vt:lpwstr>
  </property>
  <property fmtid="{D5CDD505-2E9C-101B-9397-08002B2CF9AE}" pid="3" name="KSOProductBuildVer">
    <vt:lpwstr>2052-12.1.0.28043</vt:lpwstr>
  </property>
  <property fmtid="{D5CDD505-2E9C-101B-9397-08002B2CF9AE}" pid="4" name="ICV">
    <vt:lpwstr>637EC52FE143496B9B8A085D2AF29C98_13</vt:lpwstr>
  </property>
</Properties>
</file>