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C6C13">
      <w:pPr>
        <w:spacing w:after="40"/>
      </w:pPr>
      <w:r>
        <w:rPr>
          <w:rFonts w:ascii="Times New Roman" w:hAnsi="Times New Roman" w:eastAsia="SimHei" w:cs="Times New Roman"/>
          <w:b/>
          <w:sz w:val="22"/>
        </w:rPr>
        <w:t>附件1</w:t>
      </w:r>
    </w:p>
    <w:p w14:paraId="13137166">
      <w:pPr>
        <w:spacing w:before="0" w:after="200" w:line="560" w:lineRule="exact"/>
        <w:jc w:val="center"/>
      </w:pPr>
      <w:r>
        <w:rPr>
          <w:rFonts w:ascii="Times New Roman" w:hAnsi="Times New Roman" w:eastAsia="SimHei" w:cs="Times New Roman"/>
          <w:b/>
          <w:sz w:val="40"/>
        </w:rPr>
        <w:t>评分表（修订稿）</w:t>
      </w:r>
    </w:p>
    <w:tbl>
      <w:tblPr>
        <w:tblStyle w:val="32"/>
        <w:tblW w:w="14853" w:type="dxa"/>
        <w:jc w:val="center"/>
        <w:tblBorders>
          <w:top w:val="single" w:color="7F8C8D" w:sz="6" w:space="0"/>
          <w:left w:val="single" w:color="7F8C8D" w:sz="6" w:space="0"/>
          <w:bottom w:val="single" w:color="7F8C8D" w:sz="6" w:space="0"/>
          <w:right w:val="single" w:color="7F8C8D" w:sz="6" w:space="0"/>
          <w:insideH w:val="single" w:color="7F8C8D" w:sz="6" w:space="0"/>
          <w:insideV w:val="single" w:color="7F8C8D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12699"/>
      </w:tblGrid>
      <w:tr w14:paraId="443830BD">
        <w:trPr>
          <w:tblHeader/>
          <w:jc w:val="center"/>
        </w:trPr>
        <w:tc>
          <w:tcPr>
            <w:tcW w:w="215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1E1DA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20"/>
              </w:rPr>
              <w:t>项目名称及编号</w:t>
            </w:r>
          </w:p>
        </w:tc>
        <w:tc>
          <w:tcPr>
            <w:tcW w:w="1269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54F93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20"/>
              </w:rPr>
              <w:t>2026年江门市生态环境执法装备购置项目（恩平分局）／项目编号：202607</w:t>
            </w:r>
          </w:p>
        </w:tc>
      </w:tr>
      <w:tr w14:paraId="20A8501F">
        <w:trPr>
          <w:jc w:val="center"/>
        </w:trPr>
        <w:tc>
          <w:tcPr>
            <w:tcW w:w="215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FD9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20"/>
              </w:rPr>
              <w:t>自评单位名称</w:t>
            </w:r>
          </w:p>
        </w:tc>
        <w:tc>
          <w:tcPr>
            <w:tcW w:w="1269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BE4F1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20"/>
              </w:rPr>
              <w:t>________________________________________（盖章）</w:t>
            </w:r>
          </w:p>
        </w:tc>
      </w:tr>
      <w:tr w14:paraId="7BE0DAAD">
        <w:trPr>
          <w:jc w:val="center"/>
        </w:trPr>
        <w:tc>
          <w:tcPr>
            <w:tcW w:w="215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E30AE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20"/>
              </w:rPr>
              <w:t>评审人员/日期</w:t>
            </w:r>
          </w:p>
        </w:tc>
        <w:tc>
          <w:tcPr>
            <w:tcW w:w="1269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70F87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20"/>
              </w:rPr>
              <w:t>签名：________________________________    日期：2026年____月____日</w:t>
            </w:r>
          </w:p>
        </w:tc>
      </w:tr>
    </w:tbl>
    <w:p w14:paraId="7ABBAEA3">
      <w:pPr>
        <w:spacing w:after="0"/>
      </w:pPr>
    </w:p>
    <w:tbl>
      <w:tblPr>
        <w:tblStyle w:val="32"/>
        <w:tblW w:w="14853" w:type="dxa"/>
        <w:jc w:val="center"/>
        <w:tblBorders>
          <w:top w:val="single" w:color="7F8C8D" w:sz="6" w:space="0"/>
          <w:left w:val="single" w:color="7F8C8D" w:sz="6" w:space="0"/>
          <w:bottom w:val="single" w:color="7F8C8D" w:sz="6" w:space="0"/>
          <w:right w:val="single" w:color="7F8C8D" w:sz="6" w:space="0"/>
          <w:insideH w:val="single" w:color="7F8C8D" w:sz="6" w:space="0"/>
          <w:insideV w:val="single" w:color="7F8C8D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2211"/>
        <w:gridCol w:w="794"/>
        <w:gridCol w:w="7767"/>
        <w:gridCol w:w="1814"/>
        <w:gridCol w:w="907"/>
        <w:gridCol w:w="113"/>
      </w:tblGrid>
      <w:tr w14:paraId="3E333828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EB5A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Hei" w:cs="Times New Roman"/>
                <w:b/>
                <w:color w:val="FFFFFF"/>
                <w:sz w:val="17"/>
              </w:rPr>
              <w:t>类别</w:t>
            </w:r>
          </w:p>
        </w:tc>
        <w:tc>
          <w:tcPr>
            <w:tcW w:w="2211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723B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Hei" w:cs="Times New Roman"/>
                <w:b/>
                <w:color w:val="FFFFFF"/>
                <w:sz w:val="17"/>
              </w:rPr>
              <w:t>评分因素</w:t>
            </w:r>
          </w:p>
        </w:tc>
        <w:tc>
          <w:tcPr>
            <w:tcW w:w="79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3F57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Hei" w:cs="Times New Roman"/>
                <w:b/>
                <w:color w:val="FFFFFF"/>
                <w:sz w:val="17"/>
              </w:rPr>
              <w:t>分值</w:t>
            </w:r>
          </w:p>
        </w:tc>
        <w:tc>
          <w:tcPr>
            <w:tcW w:w="7767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E863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Hei" w:cs="Times New Roman"/>
                <w:b/>
                <w:color w:val="FFFFFF"/>
                <w:sz w:val="17"/>
              </w:rPr>
              <w:t>量化评分标准</w:t>
            </w:r>
          </w:p>
        </w:tc>
        <w:tc>
          <w:tcPr>
            <w:tcW w:w="181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17665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Hei" w:cs="Times New Roman"/>
                <w:b/>
                <w:color w:val="FFFFFF"/>
                <w:sz w:val="17"/>
              </w:rPr>
              <w:t>证明材料/页码</w:t>
            </w:r>
          </w:p>
        </w:tc>
        <w:tc>
          <w:tcPr>
            <w:tcW w:w="1020" w:type="dxa"/>
            <w:gridSpan w:val="2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6C6E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Hei" w:cs="Times New Roman"/>
                <w:b/>
                <w:color w:val="FFFFFF"/>
                <w:sz w:val="17"/>
              </w:rPr>
              <w:t>自评分</w:t>
            </w:r>
          </w:p>
        </w:tc>
      </w:tr>
      <w:tr w14:paraId="0B966214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B10B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7CB0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▲1 化合物选择性检测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FEB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4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47D71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所投产品同时满足本项全部要求，得4分；未满足、负偏离或证明材料不能核实的，得0分。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要求：泵吸式PID检测；配套气体分离耗材，可对苯或1,3-丁二烯进行选择性定性、定量检测。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4B502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95BDE4">
            <w:pPr>
              <w:spacing w:before="0" w:after="0" w:line="240" w:lineRule="auto"/>
              <w:jc w:val="center"/>
            </w:pPr>
          </w:p>
        </w:tc>
      </w:tr>
      <w:tr w14:paraId="2F307A24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C16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30824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▲2 PID灯配置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F0C4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4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99AB9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所投产品同时满足本项全部要求，得4分；未满足、负偏离或证明材料不能核实的，得0分。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要求：传感器支持9.8 eV PID灯，并可配置或更换10.6 eV、11.7 eV PID灯；交付配置应含9.8 eV PID灯。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97B04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08872A">
            <w:pPr>
              <w:spacing w:before="0" w:after="0" w:line="240" w:lineRule="auto"/>
              <w:jc w:val="center"/>
            </w:pPr>
          </w:p>
        </w:tc>
      </w:tr>
      <w:tr w14:paraId="0CF8F9E6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93A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4D9D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▲3 VOC测量性能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EC8F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4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9E011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所投产品同时满足本项全部要求，得4分；未满足、负偏离或证明材料不能核实的，得0分。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要求：VOC量程上限不低于5000 ppm；低量程分辨率不大于0.</w:t>
            </w:r>
            <w:r>
              <w:rPr>
                <w:rFonts w:hint="eastAsia" w:cs="Times New Roman"/>
                <w:b w:val="0"/>
                <w:sz w:val="17"/>
                <w:lang w:val="en-US" w:eastAsia="zh-CN"/>
              </w:rPr>
              <w:t>1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ppm；响应时间不大于3 s。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E331A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B34FE8">
            <w:pPr>
              <w:spacing w:before="0" w:after="0" w:line="240" w:lineRule="auto"/>
              <w:jc w:val="center"/>
            </w:pPr>
          </w:p>
        </w:tc>
      </w:tr>
      <w:tr w14:paraId="5BD2419C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3E80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BDD31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▲4 专用模式性能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FBCD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4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E9B50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所投产品同时满足本项全部要求，得4分；未满足、负偏离或证明材料不能核实的，得0分。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要求：苯或1,3-丁二烯选择性检测量程上限不低于200 ppm，</w:t>
            </w:r>
            <w:r>
              <w:rPr>
                <w:rFonts w:ascii="Times New Roman" w:hAnsi="Times New Roman" w:eastAsia="宋体" w:cs="Times New Roman"/>
                <w:b w:val="0"/>
                <w:sz w:val="18"/>
              </w:rPr>
              <w:t>分辨率不大于0.010 ppm，响应时间T90不大于60 s。</w:t>
            </w:r>
            <w:bookmarkStart w:id="0" w:name="_GoBack"/>
            <w:bookmarkEnd w:id="0"/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23A87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44BDD4">
            <w:pPr>
              <w:spacing w:before="0" w:after="0" w:line="240" w:lineRule="auto"/>
              <w:jc w:val="center"/>
            </w:pPr>
          </w:p>
        </w:tc>
      </w:tr>
      <w:tr w14:paraId="71C6CCD7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61A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E1613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▲5 数据库与补偿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47AD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4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E8B33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所投产品同时满足本项全部要求，得4分；未满足、负偏离或证明材料不能核实的，得0分。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要求：内置不少于200种VOC气体/响应因子数据库；具备温度、湿度补偿或等效的低浓度稳定技术。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C757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F81F5A">
            <w:pPr>
              <w:spacing w:before="0" w:after="0" w:line="240" w:lineRule="auto"/>
              <w:jc w:val="center"/>
            </w:pPr>
          </w:p>
        </w:tc>
      </w:tr>
      <w:tr w14:paraId="01B948E5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5F4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92AD1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▲6 数据与通信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C6E23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4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7BE2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所投产品同时满足本项全部要求，得4分；未满足、负偏离或证明材料不能核实的，得0分。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要求：按1 min间隔可连续记录不少于6个月（或不少于250000个数据点）；支持经充电/下载底座、数据线。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D575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95DFA1">
            <w:pPr>
              <w:spacing w:before="0" w:after="0" w:line="240" w:lineRule="auto"/>
              <w:jc w:val="center"/>
            </w:pPr>
          </w:p>
        </w:tc>
      </w:tr>
      <w:tr w14:paraId="194C4D37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7D0D3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94CBA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7 电池与续航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D91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C7FC5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要求：可充电、现场可更换锂电池，连续运行时间不低于16 h；配备碱性电池适配器或等效应急供电方案。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829B2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0F75E9">
            <w:pPr>
              <w:spacing w:before="0" w:after="0" w:line="240" w:lineRule="auto"/>
              <w:jc w:val="center"/>
            </w:pPr>
          </w:p>
        </w:tc>
      </w:tr>
      <w:tr w14:paraId="174C7A82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43BF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8302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8 显示与直接读数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7119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EB1A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要求：带背光图形显示屏；可直接显示实时值、STEL、TWA、峰值/高低值、电池状态、日期时间和温度等信息。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F1E3A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65D649">
            <w:pPr>
              <w:spacing w:before="0" w:after="0" w:line="240" w:lineRule="auto"/>
              <w:jc w:val="center"/>
            </w:pPr>
          </w:p>
        </w:tc>
      </w:tr>
      <w:tr w14:paraId="71406259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458E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1CA2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9 报警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63B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F51F0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要求：声光报警，蜂鸣器声压不低于95 dB（30 cm）；支持高报、低报、STEL、TWA及电池不足、泵堵塞等故障诊断报警。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16B08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1BF5FA">
            <w:pPr>
              <w:spacing w:before="0" w:after="0" w:line="240" w:lineRule="auto"/>
              <w:jc w:val="center"/>
            </w:pPr>
          </w:p>
        </w:tc>
      </w:tr>
      <w:tr w14:paraId="4B905DB1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43802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FF2B0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10 采样泵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A229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74FB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要求：内置采样泵，典型流量不低于400 cc/min；水平或垂直采样距离不低于30 m；具备低流量保护或自动停泵功能。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285F1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E04590">
            <w:pPr>
              <w:spacing w:before="0" w:after="0" w:line="240" w:lineRule="auto"/>
              <w:jc w:val="center"/>
            </w:pPr>
          </w:p>
        </w:tc>
      </w:tr>
      <w:tr w14:paraId="1602F396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6E90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51EC1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11 标定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5ECF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1BEA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要求：支持两点或三点零点/量程标定，并可保存不少于8种标定气体的标定信息或具备等效功能。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E9017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59B5DD">
            <w:pPr>
              <w:spacing w:before="0" w:after="0" w:line="240" w:lineRule="auto"/>
              <w:jc w:val="center"/>
            </w:pPr>
          </w:p>
        </w:tc>
      </w:tr>
      <w:tr w14:paraId="119EBAA0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EE3E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093A1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12 安全与防护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D11B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56412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要求：整机防护等级不低于IP65；具备有效的本质安全防爆认证（ATEX、IECEx、CSA或同等国际/国家认证至少一种），并符合适用的电磁兼容要求。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957F6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防护等级材料、防爆认证证书/报告；外文材料附中文译文并标注页码。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801EC">
            <w:pPr>
              <w:spacing w:before="0" w:after="0" w:line="240" w:lineRule="auto"/>
              <w:jc w:val="center"/>
            </w:pPr>
          </w:p>
        </w:tc>
      </w:tr>
      <w:tr w14:paraId="0E33D234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281F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22223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13 工作环境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291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61176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要求：工作温度范围至少覆盖-20℃～50℃；相对湿度范围至少覆盖0%～95%（非冷凝）。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53346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3C351">
            <w:pPr>
              <w:spacing w:before="0" w:after="0" w:line="240" w:lineRule="auto"/>
              <w:jc w:val="center"/>
            </w:pPr>
          </w:p>
        </w:tc>
      </w:tr>
      <w:tr w14:paraId="5779FDF3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9E8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15D35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14 语言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0B552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44917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要求：操作界面包含中文。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4D35E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267B91">
            <w:pPr>
              <w:spacing w:before="0" w:after="0" w:line="240" w:lineRule="auto"/>
              <w:jc w:val="center"/>
            </w:pPr>
          </w:p>
        </w:tc>
      </w:tr>
      <w:tr w14:paraId="0EFDAD2F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DDB8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34E65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15 便携性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B6A6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4362F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要求：整机（含锂电池）重量不大于800 g，适合单手携带和现场执法。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D0C1A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899594">
            <w:pPr>
              <w:spacing w:before="0" w:after="0" w:line="240" w:lineRule="auto"/>
              <w:jc w:val="center"/>
            </w:pPr>
          </w:p>
        </w:tc>
      </w:tr>
      <w:tr w14:paraId="759BC892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364E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技术参数响应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416EE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16 维护与配置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E4A1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099D5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所投产品同时满足本项全部要求，得1分；未满足、负偏离或证明材料不能核实的，得0分。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要求：紫外灯和传感器可在无需专用工具或仅使用随附工具的情况下维护；提供主机、9.8 eV灯、锂电池、充电器、碱性电池适配器、采样探头、外置过滤器、灯清洁工具及便携箱等基本附件。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29A18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制造商公开彩页、官方数据表、说明书或具有相应资质的检测材料；标注页码。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D11E2">
            <w:pPr>
              <w:spacing w:before="0" w:after="0" w:line="240" w:lineRule="auto"/>
              <w:jc w:val="center"/>
            </w:pPr>
          </w:p>
        </w:tc>
      </w:tr>
      <w:tr w14:paraId="409BCD53">
        <w:trPr>
          <w:cantSplit/>
          <w:jc w:val="center"/>
        </w:trPr>
        <w:tc>
          <w:tcPr>
            <w:tcW w:w="1247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2F7A7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实物演示</w:t>
            </w:r>
          </w:p>
        </w:tc>
        <w:tc>
          <w:tcPr>
            <w:tcW w:w="2211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760F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现场实物功能演示</w:t>
            </w:r>
          </w:p>
        </w:tc>
        <w:tc>
          <w:tcPr>
            <w:tcW w:w="794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E4F7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5</w:t>
            </w:r>
          </w:p>
        </w:tc>
        <w:tc>
          <w:tcPr>
            <w:tcW w:w="7767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BB788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演示为自愿评分环节，不参加不作无效响应处理。拟供同品牌、同型号、同主要配置实物在15分钟内完成以下5项，每完整通过1项得1分，未通过得0分：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（1）型号/配置与响应文件一致并完成开机自检；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（2）中文界面及实时值、STEL、TWA、峰值等读数显示；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（3）采样泵运行及进气口阻断后的低流量报警/停泵保护；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（4）声光报警触发及复位；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（5）数据记录、历史查询及经底座/数据线/BLE等方式导出或查看。</w:t>
            </w:r>
          </w:p>
        </w:tc>
        <w:tc>
          <w:tcPr>
            <w:tcW w:w="1814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F5CE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现场演示记录；评委按每项“通过/未通过”勾选。不得携带危险化学品。</w:t>
            </w:r>
          </w:p>
        </w:tc>
        <w:tc>
          <w:tcPr>
            <w:tcW w:w="1020" w:type="dxa"/>
            <w:gridSpan w:val="2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AF1AB1">
            <w:pPr>
              <w:spacing w:before="0" w:after="0" w:line="240" w:lineRule="auto"/>
              <w:jc w:val="center"/>
            </w:pPr>
          </w:p>
        </w:tc>
      </w:tr>
      <w:tr w14:paraId="00EDFFE1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8C5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质量保障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74C10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质量保证措施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C34E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13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91E94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按下列子项客观计分，材料中具备对应流程、责任人/责任岗位和可核验表单或承诺的得分，否则该子项0分：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（1）到货真实性和可追溯措施，含序列号、装箱单、来源及资料核验：3分；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（2）交付校准/量值溯源安排，承诺提供制造商校准证明或法定计量技术机构/CMA/CNAS机构出具的有效校准证书：3分；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（3）供货、开箱、初始化、验收和培训计划，含时间表、岗位和验收清单：3分；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（4）运输、储存及关键部件防护措施和异常处置：2分；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（5）质量投诉登记、原因分析、纠正和闭环跟踪机制：2分。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5140B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质量保证方案及相应流程、表单样例、承诺或证明材料。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0B02FE">
            <w:pPr>
              <w:spacing w:before="0" w:after="0" w:line="240" w:lineRule="auto"/>
              <w:jc w:val="center"/>
            </w:pPr>
          </w:p>
        </w:tc>
      </w:tr>
      <w:tr w14:paraId="680E2097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5EFD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售后服务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1BA0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售后服务方案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3A3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18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D41B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按下列子项累计计分：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（1）主机免费质保3年得3分，4年得4分，5年及以上得5分；少于3年得0分。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（2）故障响应与保障共5分：2小时内响应2分；4小时内提供远程诊断方案1分；需要到场时48小时内到场1分；72小时内不能恢复时免费提供同等或更优备用机1分。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（3）至少1次现场培训，覆盖不少于3名使用人员，并提供中文课件、操作资料和培训确认记录：3分。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（4）质保期内每年至少1次预防性维护/回访，并形成维护记录：3分。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（5）承诺主要配件和耗材持续供应不少于5年，并提供耗材/配件清单及报价原则：2分。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8E81D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售后服务承诺、服务流程、培训计划、维护计划、配件耗材清单等。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7A4708">
            <w:pPr>
              <w:spacing w:before="0" w:after="0" w:line="240" w:lineRule="auto"/>
              <w:jc w:val="center"/>
            </w:pPr>
          </w:p>
        </w:tc>
      </w:tr>
      <w:tr w14:paraId="7F03857B"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2831A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价格</w:t>
            </w: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76CC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响应报价</w:t>
            </w:r>
          </w:p>
        </w:tc>
        <w:tc>
          <w:tcPr>
            <w:tcW w:w="79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CB76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30</w:t>
            </w:r>
          </w:p>
        </w:tc>
        <w:tc>
          <w:tcPr>
            <w:tcW w:w="77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AC306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评审价格＝响应报价×（1－价格扣除率）。符合中小企业政策且货物由小型或微型企业制造的，价格扣除率为10%；其他为0%。</w:t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sz w:val="17"/>
              </w:rPr>
              <w:t>价格分＝（评审基准价÷本供应商评审价格）×30。评审基准价为通过资格性、符合性审查的最低评审价格。计算结果四舍五入保留两位小数。价格扣除仅用于评审，合同价仍为响应报价。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D7946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报价单；中小企业声明函（如申请价格优惠）。</w:t>
            </w:r>
          </w:p>
        </w:tc>
        <w:tc>
          <w:tcPr>
            <w:tcW w:w="102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DF3925">
            <w:pPr>
              <w:spacing w:before="0" w:after="0" w:line="240" w:lineRule="auto"/>
              <w:jc w:val="center"/>
            </w:pPr>
          </w:p>
        </w:tc>
      </w:tr>
      <w:tr w14:paraId="767EDA12">
        <w:trPr>
          <w:jc w:val="center"/>
        </w:trPr>
        <w:tc>
          <w:tcPr>
            <w:tcW w:w="3458" w:type="dxa"/>
            <w:gridSpan w:val="2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170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合计</w:t>
            </w:r>
          </w:p>
        </w:tc>
        <w:tc>
          <w:tcPr>
            <w:tcW w:w="79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A525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100</w:t>
            </w:r>
          </w:p>
        </w:tc>
        <w:tc>
          <w:tcPr>
            <w:tcW w:w="9581" w:type="dxa"/>
            <w:gridSpan w:val="2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9418F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SimSun" w:cs="Times New Roman"/>
                <w:b w:val="0"/>
                <w:sz w:val="17"/>
              </w:rPr>
              <w:t>技术商务70分（技术参数34分＋实物演示5分＋质量保障13分＋售后服务18分）＋价格30分。</w:t>
            </w:r>
          </w:p>
        </w:tc>
        <w:tc>
          <w:tcPr>
            <w:tcW w:w="1020" w:type="dxa"/>
            <w:gridSpan w:val="2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4EA05C">
            <w:pPr>
              <w:spacing w:before="0" w:after="0" w:line="240" w:lineRule="auto"/>
              <w:jc w:val="left"/>
            </w:pPr>
          </w:p>
        </w:tc>
      </w:tr>
      <w:tr w14:paraId="0AC2CA01">
        <w:tblPrEx>
          <w:tblBorders>
            <w:top w:val="single" w:color="C9B458" w:sz="6" w:space="0"/>
            <w:left w:val="single" w:color="C9B458" w:sz="6" w:space="0"/>
            <w:bottom w:val="single" w:color="C9B458" w:sz="6" w:space="0"/>
            <w:right w:val="single" w:color="C9B458" w:sz="6" w:space="0"/>
            <w:insideH w:val="single" w:color="C9B458" w:sz="6" w:space="0"/>
            <w:insideV w:val="single" w:color="C9B458" w:sz="6" w:space="0"/>
          </w:tblBorders>
        </w:tblPrEx>
        <w:trPr>
          <w:gridAfter w:val="1"/>
          <w:cantSplit/>
          <w:tblHeader/>
          <w:jc w:val="center"/>
        </w:trPr>
        <w:tc>
          <w:tcPr>
            <w:tcW w:w="14740" w:type="dxa"/>
            <w:gridSpan w:val="6"/>
            <w:shd w:val="clear" w:color="auto" w:fill="F3F6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1DDE2C1">
            <w:pPr>
              <w:spacing w:before="0" w:after="0" w:line="240" w:lineRule="auto"/>
            </w:pPr>
            <w:r>
              <w:rPr>
                <w:rFonts w:ascii="Times New Roman" w:hAnsi="Times New Roman" w:eastAsia="SimHei" w:cs="Times New Roman"/>
                <w:b/>
                <w:sz w:val="21"/>
              </w:rPr>
              <w:t>评审说明：</w:t>
            </w:r>
            <w:r>
              <w:rPr>
                <w:rFonts w:ascii="Times New Roman" w:hAnsi="Times New Roman" w:eastAsia="SimSun" w:cs="Times New Roman"/>
                <w:b w:val="0"/>
                <w:sz w:val="21"/>
              </w:rPr>
              <w:t>同一材料可对应多项，须标注页码。评审只按采购文件预载标准执行，不得临时改变演示项目或评分尺度；综合得分保留两位小数。</w:t>
            </w:r>
          </w:p>
        </w:tc>
      </w:tr>
    </w:tbl>
    <w:p w14:paraId="135F069C">
      <w:pPr>
        <w:spacing w:after="0"/>
      </w:pPr>
    </w:p>
    <w:sectPr>
      <w:footerReference r:id="rId5" w:type="default"/>
      <w:pgSz w:w="16838" w:h="11906" w:orient="landscape"/>
      <w:pgMar w:top="850" w:right="850" w:bottom="850" w:left="850" w:header="567" w:footer="56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300040101010101"/>
    <w:charset w:val="86"/>
    <w:family w:val="auto"/>
    <w:pitch w:val="default"/>
    <w:sig w:usb0="E00022FF" w:usb1="F8CF7CFB" w:usb2="000A005F" w:usb3="00000000" w:csb0="600401DF" w:csb1="FFD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MS Mincho">
    <w:altName w:val="Hiragino Sans"/>
    <w:panose1 w:val="02020609040205080304"/>
    <w:charset w:val="86"/>
    <w:family w:val="roman"/>
    <w:pitch w:val="default"/>
    <w:sig w:usb0="00000000" w:usb1="00000000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DCF0D">
    <w:pPr>
      <w:pStyle w:val="24"/>
      <w:spacing w:before="0" w:after="0"/>
      <w:jc w:val="center"/>
    </w:pPr>
    <w:r>
      <w:rPr>
        <w:rFonts w:ascii="Times New Roman" w:hAnsi="Times New Roman" w:eastAsia="SimSun" w:cs="Times New Roman"/>
        <w:b w:val="0"/>
        <w:sz w:val="18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rFonts w:ascii="Times New Roman" w:hAnsi="Times New Roman" w:eastAsia="SimSun" w:cs="Times New Roman"/>
        <w:b w:val="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BFFDA41E"/>
    <w:rsid w:val="E7BBB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SimSun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  <w:rPr>
      <w:rFonts w:ascii="Times New Roman" w:hAnsi="Times New Roman" w:eastAsia="SimSun"/>
      <w:sz w:val="24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Times New Roman" w:hAnsi="Times New Roman" w:eastAsia="SimSun"/>
      <w:sz w:val="24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江门市生态环境局恩平分局</dc:creator>
  <dc:description>generated by python-docx</dc:description>
  <cp:lastModifiedBy>Lux</cp:lastModifiedBy>
  <dcterms:modified xsi:type="dcterms:W3CDTF">2026-08-19T11:49:11Z</dcterms:modified>
  <dc:subject>手持式PID VOC检测仪采购评分表</dc:subject>
  <dc:title>附件1 评分表（修订稿）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788E7085E12060E89927856AD3CAC3BA_42</vt:lpwstr>
  </property>
</Properties>
</file>