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hAnsi="宋体" w:eastAsia="宋体" w:cs="宋体"/>
          <w:b/>
          <w:bCs/>
          <w:kern w:val="2"/>
          <w:sz w:val="36"/>
          <w:szCs w:val="36"/>
        </w:rPr>
      </w:pPr>
      <w:r>
        <w:rPr>
          <w:rFonts w:hint="eastAsia" w:hAnsi="宋体" w:eastAsia="宋体" w:cs="宋体"/>
          <w:b/>
          <w:bCs/>
          <w:kern w:val="2"/>
          <w:sz w:val="36"/>
          <w:szCs w:val="36"/>
        </w:rPr>
        <w:t>江门市市区公路</w:t>
      </w:r>
      <w:r>
        <w:rPr>
          <w:rFonts w:hint="eastAsia" w:hAnsi="宋体" w:eastAsia="宋体" w:cs="宋体"/>
          <w:b/>
          <w:bCs/>
          <w:kern w:val="2"/>
          <w:sz w:val="36"/>
          <w:szCs w:val="36"/>
          <w:lang w:eastAsia="zh-CN"/>
        </w:rPr>
        <w:t>局养护</w:t>
      </w:r>
      <w:r>
        <w:rPr>
          <w:rFonts w:hint="eastAsia" w:hAnsi="宋体" w:eastAsia="宋体" w:cs="宋体"/>
          <w:b/>
          <w:bCs/>
          <w:kern w:val="2"/>
          <w:sz w:val="36"/>
          <w:szCs w:val="36"/>
        </w:rPr>
        <w:t>中心</w:t>
      </w:r>
      <w:r>
        <w:rPr>
          <w:rFonts w:hint="eastAsia" w:hAnsi="宋体" w:eastAsia="宋体" w:cs="宋体"/>
          <w:b/>
          <w:bCs/>
          <w:kern w:val="2"/>
          <w:sz w:val="36"/>
          <w:szCs w:val="36"/>
          <w:lang w:val="en-US" w:eastAsia="zh-CN"/>
        </w:rPr>
        <w:t>2026-2027年</w:t>
      </w:r>
      <w:r>
        <w:rPr>
          <w:rFonts w:hint="eastAsia" w:hAnsi="宋体" w:eastAsia="宋体" w:cs="宋体"/>
          <w:b/>
          <w:bCs/>
          <w:kern w:val="2"/>
          <w:sz w:val="36"/>
          <w:szCs w:val="36"/>
        </w:rPr>
        <w:t>公务</w:t>
      </w:r>
      <w:r>
        <w:rPr>
          <w:rFonts w:hint="eastAsia" w:hAnsi="宋体" w:eastAsia="宋体" w:cs="宋体"/>
          <w:b/>
          <w:bCs/>
          <w:kern w:val="2"/>
          <w:sz w:val="36"/>
          <w:szCs w:val="36"/>
          <w:lang w:eastAsia="zh-CN"/>
        </w:rPr>
        <w:t>用</w:t>
      </w:r>
      <w:r>
        <w:rPr>
          <w:rFonts w:hint="eastAsia" w:hAnsi="宋体" w:eastAsia="宋体" w:cs="宋体"/>
          <w:b/>
          <w:bCs/>
          <w:kern w:val="2"/>
          <w:sz w:val="36"/>
          <w:szCs w:val="36"/>
        </w:rPr>
        <w:t>车</w:t>
      </w:r>
      <w:r>
        <w:rPr>
          <w:rFonts w:hint="eastAsia" w:hAnsi="宋体" w:eastAsia="宋体" w:cs="宋体"/>
          <w:b/>
          <w:bCs/>
          <w:kern w:val="2"/>
          <w:sz w:val="36"/>
          <w:szCs w:val="36"/>
          <w:lang w:eastAsia="zh-CN"/>
        </w:rPr>
        <w:t>（机械）</w:t>
      </w:r>
      <w:r>
        <w:rPr>
          <w:rFonts w:hint="eastAsia" w:hAnsi="宋体" w:eastAsia="宋体" w:cs="宋体"/>
          <w:b/>
          <w:bCs/>
          <w:kern w:val="2"/>
          <w:sz w:val="36"/>
          <w:szCs w:val="36"/>
        </w:rPr>
        <w:t>定点加油服务采购综合评分标准</w:t>
      </w:r>
    </w:p>
    <w:p>
      <w:pPr>
        <w:spacing w:line="520" w:lineRule="exact"/>
        <w:ind w:left="-420" w:leftChars="-200" w:right="-313" w:rightChars="-149"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一、评分选取方式</w:t>
      </w:r>
    </w:p>
    <w:p>
      <w:pPr>
        <w:spacing w:line="520" w:lineRule="exact"/>
        <w:ind w:left="-420" w:leftChars="-200" w:right="-313" w:rightChars="-149"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本次采购采用综合选取的方式确定中选单位。评选小组先对报名单位进行初步评审；然后对满足初步评审要求的单位，按照详细评审规定的评分标准进行打分。</w:t>
      </w:r>
    </w:p>
    <w:p>
      <w:pPr>
        <w:spacing w:line="520" w:lineRule="exact"/>
        <w:ind w:left="-420" w:leftChars="-200" w:right="-313" w:rightChars="-149"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评选小组成员对报名单位的详细评审中各评审因素进行评分，计算出各评审因素的算术平均值后合计总和作为该单位的得分，并按得分由高到低顺序推荐中选单位。</w:t>
      </w:r>
    </w:p>
    <w:p>
      <w:pPr>
        <w:spacing w:line="520" w:lineRule="exact"/>
        <w:ind w:left="-420" w:leftChars="-200" w:right="-313" w:rightChars="-149"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综合评分相等时，评选小组视报名单位的情况综合比较，投票确定其名次。</w:t>
      </w:r>
    </w:p>
    <w:p>
      <w:pPr>
        <w:spacing w:line="480" w:lineRule="exact"/>
        <w:ind w:left="-420" w:leftChars="-200" w:right="-313" w:rightChars="-149" w:firstLine="420" w:firstLineChars="200"/>
      </w:pPr>
    </w:p>
    <w:p>
      <w:pPr>
        <w:spacing w:line="400" w:lineRule="exact"/>
        <w:ind w:left="0" w:leftChars="0" w:right="-313" w:rightChars="-149" w:firstLine="0" w:firstLineChars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初步审查</w:t>
      </w:r>
    </w:p>
    <w:tbl>
      <w:tblPr>
        <w:tblStyle w:val="7"/>
        <w:tblW w:w="9743" w:type="dxa"/>
        <w:jc w:val="center"/>
        <w:tblLayout w:type="fixed"/>
        <w:tblCellMar>
          <w:top w:w="0" w:type="dxa"/>
          <w:left w:w="108" w:type="dxa"/>
          <w:bottom w:w="67" w:type="dxa"/>
          <w:right w:w="0" w:type="dxa"/>
        </w:tblCellMar>
      </w:tblPr>
      <w:tblGrid>
        <w:gridCol w:w="2984"/>
        <w:gridCol w:w="6759"/>
      </w:tblGrid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698" w:hRule="atLeast"/>
          <w:tblHeader/>
          <w:jc w:val="center"/>
        </w:trPr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ind w:right="109"/>
              <w:jc w:val="center"/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 w:val="24"/>
                <w:szCs w:val="24"/>
              </w:rPr>
              <w:t>审查</w:t>
            </w:r>
            <w:r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6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ind w:right="107"/>
              <w:jc w:val="center"/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 w:val="24"/>
                <w:szCs w:val="24"/>
              </w:rPr>
              <w:t>审查</w:t>
            </w:r>
            <w:r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  <w:t>标准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4071" w:hRule="atLeast"/>
          <w:jc w:val="center"/>
        </w:trPr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hd w:val="clear" w:color="auto" w:fill="FFFFFF"/>
              <w:spacing w:before="0" w:beforeAutospacing="0" w:after="0" w:afterAutospacing="0" w:line="720" w:lineRule="atLeast"/>
              <w:jc w:val="center"/>
              <w:textAlignment w:val="baseline"/>
              <w:rPr>
                <w:rFonts w:ascii="仿宋" w:hAnsi="仿宋" w:eastAsia="仿宋" w:cs="Times New Roman"/>
                <w:color w:val="000000"/>
              </w:rPr>
            </w:pPr>
            <w:r>
              <w:rPr>
                <w:rStyle w:val="9"/>
                <w:rFonts w:ascii="仿宋" w:hAnsi="仿宋" w:eastAsia="仿宋" w:cs="Times New Roman"/>
              </w:rPr>
              <w:t>资格性审查</w:t>
            </w:r>
          </w:p>
        </w:tc>
        <w:tc>
          <w:tcPr>
            <w:tcW w:w="67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 w:firstLine="411" w:firstLineChars="196"/>
              <w:rPr>
                <w:highlight w:val="yellow"/>
              </w:rPr>
            </w:pPr>
            <w:r>
              <w:rPr>
                <w:rFonts w:hint="eastAsia"/>
              </w:rPr>
              <w:t>1.符合《中华人民共和国政府采购法》</w:t>
            </w:r>
            <w:r>
              <w:rPr>
                <w:rFonts w:hint="eastAsia"/>
                <w:highlight w:val="none"/>
              </w:rPr>
              <w:t>第二十二条规定；</w:t>
            </w:r>
          </w:p>
          <w:p>
            <w:pPr>
              <w:widowControl/>
              <w:spacing w:line="360" w:lineRule="exact"/>
              <w:ind w:right="108" w:firstLine="411" w:firstLineChars="196"/>
            </w:pPr>
            <w:r>
              <w:rPr>
                <w:rFonts w:hint="eastAsia"/>
              </w:rPr>
              <w:t>2.</w:t>
            </w:r>
            <w:r>
              <w:t>具有《成品油批发经营批准证书》或《成品油零售经营批准证书》</w:t>
            </w:r>
            <w:r>
              <w:rPr>
                <w:rFonts w:hint="eastAsia"/>
              </w:rPr>
              <w:t>（提供证明文件并加盖公章）；</w:t>
            </w:r>
          </w:p>
          <w:p>
            <w:pPr>
              <w:widowControl/>
              <w:spacing w:line="360" w:lineRule="exact"/>
              <w:ind w:right="108" w:firstLine="411" w:firstLineChars="196"/>
            </w:pPr>
            <w:r>
              <w:rPr>
                <w:rFonts w:hint="eastAsia"/>
              </w:rPr>
              <w:t>3.具有独立承担民事责任能力的在中华人民共和国境内注册的法人；</w:t>
            </w:r>
          </w:p>
          <w:p>
            <w:pPr>
              <w:widowControl/>
              <w:spacing w:line="360" w:lineRule="exact"/>
              <w:ind w:right="108" w:firstLine="411" w:firstLineChars="196"/>
            </w:pPr>
            <w:r>
              <w:rPr>
                <w:rFonts w:hint="eastAsia"/>
              </w:rPr>
              <w:t>4.近三年内未被列入失信被执行人名单、重大税收违法案件当事人名单、政府采购严重违法失信行为记录名单，无受到政府采购行政处罚且相关信用惩戒期限未满情形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供应商需提供</w:t>
            </w:r>
            <w:r>
              <w:rPr>
                <w:rFonts w:hint="eastAsia"/>
                <w:lang w:eastAsia="zh-CN"/>
              </w:rPr>
              <w:t>报名月份</w:t>
            </w:r>
            <w:r>
              <w:rPr>
                <w:rFonts w:hint="eastAsia"/>
              </w:rPr>
              <w:t>相</w:t>
            </w:r>
            <w:r>
              <w:rPr>
                <w:rFonts w:hint="eastAsia"/>
                <w:lang w:eastAsia="zh-CN"/>
              </w:rPr>
              <w:t>应查询记录的</w:t>
            </w:r>
            <w:r>
              <w:rPr>
                <w:rFonts w:hint="eastAsia"/>
              </w:rPr>
              <w:t>证明资料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</w:t>
            </w:r>
          </w:p>
          <w:p>
            <w:pPr>
              <w:widowControl/>
              <w:spacing w:line="360" w:lineRule="exact"/>
              <w:ind w:right="108" w:firstLine="411" w:firstLineChars="196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5.本项目不接受联合体供应商投标；不允许转包、分包。</w:t>
            </w:r>
          </w:p>
        </w:tc>
      </w:tr>
      <w:tr>
        <w:trPr>
          <w:trHeight w:val="696" w:hRule="atLeast"/>
          <w:jc w:val="center"/>
        </w:trPr>
        <w:tc>
          <w:tcPr>
            <w:tcW w:w="29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hd w:val="clear" w:color="auto" w:fill="FFFFFF"/>
              <w:spacing w:before="0" w:beforeAutospacing="0" w:after="0" w:afterAutospacing="0" w:line="720" w:lineRule="atLeast"/>
              <w:jc w:val="center"/>
              <w:textAlignment w:val="baseline"/>
              <w:rPr>
                <w:rStyle w:val="9"/>
                <w:rFonts w:hint="eastAsia" w:ascii="仿宋" w:hAnsi="仿宋" w:eastAsia="仿宋" w:cs="Times New Roman"/>
                <w:lang w:eastAsia="zh-CN"/>
              </w:rPr>
            </w:pPr>
            <w:r>
              <w:rPr>
                <w:rStyle w:val="9"/>
                <w:rFonts w:hint="eastAsia" w:ascii="仿宋" w:hAnsi="仿宋" w:eastAsia="仿宋" w:cs="Times New Roman"/>
                <w:lang w:eastAsia="zh-CN"/>
              </w:rPr>
              <w:t>报价</w:t>
            </w:r>
          </w:p>
        </w:tc>
        <w:tc>
          <w:tcPr>
            <w:tcW w:w="67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 w:firstLine="411" w:firstLineChars="196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Theme="minorHAnsi" w:hAnsiTheme="minorHAnsi"/>
                <w:kern w:val="2"/>
                <w:sz w:val="21"/>
                <w:szCs w:val="22"/>
              </w:rPr>
              <w:t>本项目报价方式为油品优惠额，油品优惠额不少于0.</w:t>
            </w:r>
            <w:r>
              <w:rPr>
                <w:rFonts w:hint="default"/>
                <w:kern w:val="2"/>
                <w:sz w:val="21"/>
                <w:szCs w:val="22"/>
                <w:lang w:val="en-US"/>
              </w:rPr>
              <w:t>15</w:t>
            </w:r>
            <w:r>
              <w:rPr>
                <w:rFonts w:hint="eastAsia" w:asciiTheme="minorHAnsi" w:hAnsiTheme="minorHAnsi"/>
                <w:kern w:val="2"/>
                <w:sz w:val="21"/>
                <w:szCs w:val="22"/>
              </w:rPr>
              <w:t>元/升</w:t>
            </w:r>
            <w:r>
              <w:rPr>
                <w:rFonts w:hint="eastAsia"/>
                <w:kern w:val="2"/>
                <w:sz w:val="21"/>
                <w:szCs w:val="22"/>
                <w:lang w:eastAsia="zh-CN"/>
              </w:rPr>
              <w:t>。供应商可以投报一个或两个区域采购标的；供应商同时投报两个区域采购标的，需按区域分别提供报价文件。</w:t>
            </w:r>
          </w:p>
        </w:tc>
      </w:tr>
    </w:tbl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line="400" w:lineRule="exact"/>
        <w:ind w:right="-313" w:rightChars="-149" w:firstLine="562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三、详细评审</w:t>
      </w:r>
    </w:p>
    <w:tbl>
      <w:tblPr>
        <w:tblStyle w:val="7"/>
        <w:tblW w:w="10166" w:type="dxa"/>
        <w:jc w:val="center"/>
        <w:tblLayout w:type="fixed"/>
        <w:tblCellMar>
          <w:top w:w="0" w:type="dxa"/>
          <w:left w:w="108" w:type="dxa"/>
          <w:bottom w:w="67" w:type="dxa"/>
          <w:right w:w="0" w:type="dxa"/>
        </w:tblCellMar>
      </w:tblPr>
      <w:tblGrid>
        <w:gridCol w:w="731"/>
        <w:gridCol w:w="1298"/>
        <w:gridCol w:w="6772"/>
        <w:gridCol w:w="1365"/>
      </w:tblGrid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559" w:hRule="atLeast"/>
          <w:tblHeader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ind w:right="109"/>
              <w:jc w:val="center"/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ind w:right="109"/>
              <w:jc w:val="center"/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  <w:t>评价项目</w:t>
            </w:r>
          </w:p>
        </w:tc>
        <w:tc>
          <w:tcPr>
            <w:tcW w:w="6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ind w:right="107"/>
              <w:jc w:val="center"/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  <w:t>评价标准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color w:val="000000"/>
                <w:sz w:val="24"/>
                <w:szCs w:val="24"/>
              </w:rPr>
              <w:t>单项分数</w:t>
            </w:r>
          </w:p>
        </w:tc>
      </w:tr>
      <w:tr>
        <w:trPr>
          <w:trHeight w:val="1491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Style w:val="9"/>
                <w:rFonts w:ascii="Times New Roman" w:hAnsi="Times New Roman" w:cs="Times New Roman"/>
                <w:szCs w:val="30"/>
              </w:rPr>
            </w:pPr>
            <w:r>
              <w:rPr>
                <w:rStyle w:val="9"/>
                <w:rFonts w:hint="eastAsia" w:ascii="仿宋" w:hAnsi="仿宋" w:eastAsia="仿宋" w:cs="Times New Roman"/>
                <w:sz w:val="24"/>
                <w:szCs w:val="24"/>
              </w:rPr>
              <w:t>总体服务</w:t>
            </w:r>
            <w:r>
              <w:rPr>
                <w:rStyle w:val="9"/>
                <w:rFonts w:ascii="仿宋" w:hAnsi="仿宋" w:eastAsia="仿宋" w:cs="Times New Roman"/>
                <w:sz w:val="24"/>
                <w:szCs w:val="24"/>
              </w:rPr>
              <w:t>方案</w:t>
            </w:r>
          </w:p>
        </w:tc>
        <w:tc>
          <w:tcPr>
            <w:tcW w:w="6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 w:firstLine="411" w:firstLineChars="196"/>
            </w:pPr>
            <w:r>
              <w:t>根据</w:t>
            </w:r>
            <w:r>
              <w:rPr>
                <w:rFonts w:hint="eastAsia"/>
              </w:rPr>
              <w:t>供应商</w:t>
            </w:r>
            <w:r>
              <w:t>提供的总体服务方案</w:t>
            </w:r>
            <w:r>
              <w:rPr>
                <w:rFonts w:hint="eastAsia"/>
                <w:lang w:eastAsia="zh-CN"/>
              </w:rPr>
              <w:t>以及公告中服务要求相应的响应内容</w:t>
            </w:r>
            <w:r>
              <w:t>进行评审，包括服务方案是否详细、可行、合理等。方案详细、可行、合理，符合项目实际情况，有利于项目组织实施的，得</w:t>
            </w:r>
            <w:r>
              <w:rPr>
                <w:rFonts w:hint="eastAsia"/>
                <w:lang w:val="en-US" w:eastAsia="zh-CN"/>
              </w:rPr>
              <w:t>15</w:t>
            </w:r>
            <w:r>
              <w:t>分；方案</w:t>
            </w:r>
            <w:r>
              <w:rPr>
                <w:rFonts w:hint="eastAsia"/>
                <w:lang w:eastAsia="zh-CN"/>
              </w:rPr>
              <w:t>简单</w:t>
            </w:r>
            <w:r>
              <w:t>、</w:t>
            </w:r>
            <w:r>
              <w:rPr>
                <w:rFonts w:hint="eastAsia"/>
                <w:lang w:eastAsia="zh-CN"/>
              </w:rPr>
              <w:t>有一定的可操作性，基本</w:t>
            </w:r>
            <w:r>
              <w:t>合理，</w:t>
            </w:r>
            <w:r>
              <w:rPr>
                <w:rFonts w:hint="eastAsia"/>
                <w:lang w:eastAsia="zh-CN"/>
              </w:rPr>
              <w:t>部分</w:t>
            </w:r>
            <w:r>
              <w:t>符合项目实际情况，</w:t>
            </w:r>
            <w:r>
              <w:rPr>
                <w:rFonts w:hint="eastAsia"/>
                <w:lang w:eastAsia="zh-CN"/>
              </w:rPr>
              <w:t>符合</w:t>
            </w:r>
            <w:r>
              <w:t>项目组织实施的，</w:t>
            </w:r>
            <w:r>
              <w:rPr>
                <w:rFonts w:hint="eastAsia"/>
                <w:lang w:eastAsia="zh-CN"/>
              </w:rPr>
              <w:t>得</w:t>
            </w:r>
            <w:r>
              <w:rPr>
                <w:rFonts w:hint="eastAsia"/>
                <w:lang w:val="en-US" w:eastAsia="zh-CN"/>
              </w:rPr>
              <w:t>10分；</w:t>
            </w:r>
            <w:r>
              <w:t>方案不详细、不可行、不合理，不符合项目实际情况，不利于项目组织实施的，得</w:t>
            </w:r>
            <w:r>
              <w:rPr>
                <w:rFonts w:hint="eastAsia"/>
                <w:lang w:val="en-US" w:eastAsia="zh-CN"/>
              </w:rPr>
              <w:t>5</w:t>
            </w:r>
            <w:r>
              <w:t>分</w:t>
            </w:r>
            <w:r>
              <w:rPr>
                <w:rFonts w:hint="eastAsia"/>
                <w:lang w:val="en-US" w:eastAsia="zh-CN"/>
              </w:rPr>
              <w:t>。</w:t>
            </w:r>
            <w:r>
              <w:t>未提供相关方案的不得分。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ascii="仿宋" w:hAnsi="仿宋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7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Style w:val="9"/>
                <w:rFonts w:hint="eastAsia" w:ascii="仿宋" w:hAnsi="仿宋" w:eastAsia="仿宋" w:cs="Times New Roman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加油站点服务便利性</w:t>
            </w:r>
          </w:p>
        </w:tc>
        <w:tc>
          <w:tcPr>
            <w:tcW w:w="67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exact"/>
              <w:ind w:right="108" w:firstLine="411" w:firstLineChars="196"/>
              <w:jc w:val="left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color w:val="auto"/>
                <w:highlight w:val="none"/>
              </w:rPr>
              <w:t>根据</w:t>
            </w:r>
            <w:r>
              <w:rPr>
                <w:rFonts w:hint="eastAsia"/>
                <w:color w:val="auto"/>
                <w:highlight w:val="none"/>
              </w:rPr>
              <w:t>供应商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报名</w:t>
            </w:r>
            <w:r>
              <w:rPr>
                <w:color w:val="auto"/>
                <w:highlight w:val="none"/>
              </w:rPr>
              <w:t>加油点地理位置便捷度等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进行评审。</w:t>
            </w:r>
          </w:p>
          <w:p>
            <w:pPr>
              <w:widowControl/>
              <w:spacing w:line="360" w:lineRule="exact"/>
              <w:ind w:right="108" w:firstLine="411" w:firstLineChars="196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1.供应商在采购人蓬江或江海‌主要驻地行车距离在5 公里内有2个经营加油站点的得15分；</w:t>
            </w:r>
          </w:p>
          <w:p>
            <w:pPr>
              <w:widowControl/>
              <w:spacing w:line="360" w:lineRule="exact"/>
              <w:ind w:right="108" w:firstLine="411" w:firstLineChars="196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2.供应商在采购人蓬江或江海主要驻地行车距离在5 公里内有1个经营站点的得10分；</w:t>
            </w:r>
          </w:p>
          <w:p>
            <w:pPr>
              <w:widowControl/>
              <w:spacing w:line="360" w:lineRule="exact"/>
              <w:ind w:right="108" w:firstLine="411" w:firstLineChars="196"/>
              <w:jc w:val="left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3.供应商与采购人</w:t>
            </w:r>
            <w:r>
              <w:rPr>
                <w:rFonts w:hint="eastAsia"/>
                <w:color w:val="auto"/>
                <w:highlight w:val="none"/>
              </w:rPr>
              <w:t>主要驻地行车距离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为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5-15公里内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的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，得5分。</w:t>
            </w:r>
          </w:p>
          <w:p>
            <w:pPr>
              <w:widowControl/>
              <w:spacing w:line="360" w:lineRule="exact"/>
              <w:ind w:right="108" w:firstLine="411" w:firstLineChars="196"/>
              <w:jc w:val="left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4.供应商与采购人主要驻地行车距离超出15公里的，不得分。</w:t>
            </w:r>
          </w:p>
          <w:p>
            <w:pPr>
              <w:widowControl/>
              <w:spacing w:line="360" w:lineRule="exact"/>
              <w:ind w:right="108" w:firstLine="411" w:firstLineChars="196"/>
              <w:jc w:val="left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（采购人主要驻地地址详见附件2，供应商需提供主要驻地至油站导航截图、站点营业执照复印件、供应商与站点的经营管理权属或合作证明文件）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27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Style w:val="9"/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 w:cs="Times New Roman"/>
                <w:sz w:val="24"/>
                <w:szCs w:val="24"/>
              </w:rPr>
              <w:t>加油卡管理措施</w:t>
            </w:r>
          </w:p>
        </w:tc>
        <w:tc>
          <w:tcPr>
            <w:tcW w:w="6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 w:firstLine="420" w:firstLineChars="200"/>
              <w:rPr>
                <w:rFonts w:hint="eastAsia" w:ascii="仿宋" w:hAnsi="仿宋" w:cs="Times New Roman" w:eastAsiaTheme="min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按照公务车“一车一卡”管理规定，对</w:t>
            </w:r>
            <w:r>
              <w:rPr>
                <w:rFonts w:hint="eastAsia"/>
                <w:color w:val="auto"/>
                <w:highlight w:val="none"/>
              </w:rPr>
              <w:t>供应商</w:t>
            </w:r>
            <w:r>
              <w:rPr>
                <w:color w:val="auto"/>
                <w:highlight w:val="none"/>
              </w:rPr>
              <w:t>提供的加油卡管理措施进行评审，包括管理措施是否详细、可行、合理等。措施详细、可行、合理，满足项目需要，有利于项目组织实施的，得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10</w:t>
            </w:r>
            <w:r>
              <w:rPr>
                <w:color w:val="auto"/>
                <w:highlight w:val="none"/>
              </w:rPr>
              <w:t>分；措施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简单</w:t>
            </w:r>
            <w:r>
              <w:rPr>
                <w:color w:val="auto"/>
                <w:highlight w:val="none"/>
              </w:rPr>
              <w:t>、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有一定的可操作性，基本</w:t>
            </w:r>
            <w:r>
              <w:rPr>
                <w:color w:val="auto"/>
                <w:highlight w:val="none"/>
              </w:rPr>
              <w:t>合理，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部分</w:t>
            </w:r>
            <w:r>
              <w:rPr>
                <w:color w:val="auto"/>
                <w:highlight w:val="none"/>
              </w:rPr>
              <w:t>符合项目实际情况，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符合</w:t>
            </w:r>
            <w:r>
              <w:rPr>
                <w:color w:val="auto"/>
                <w:highlight w:val="none"/>
              </w:rPr>
              <w:t>项目组织实施的，得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color w:val="auto"/>
                <w:highlight w:val="none"/>
              </w:rPr>
              <w:t>分；措施不详细、不可行、不合理 ，不满足项目需要，不利于项目组织实施的，得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2</w:t>
            </w:r>
            <w:r>
              <w:rPr>
                <w:color w:val="auto"/>
                <w:highlight w:val="none"/>
              </w:rPr>
              <w:t>分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。</w:t>
            </w:r>
            <w:r>
              <w:rPr>
                <w:color w:val="auto"/>
                <w:highlight w:val="none"/>
              </w:rPr>
              <w:t>未提供相关措施的不得分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ascii="仿宋" w:hAnsi="仿宋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Style w:val="9"/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 w:cs="Times New Roman"/>
                <w:sz w:val="24"/>
                <w:szCs w:val="24"/>
              </w:rPr>
              <w:t>安全保障措施及应急方案</w:t>
            </w:r>
          </w:p>
        </w:tc>
        <w:tc>
          <w:tcPr>
            <w:tcW w:w="6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 w:firstLine="420" w:firstLineChars="2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1.</w:t>
            </w:r>
            <w:r>
              <w:rPr>
                <w:highlight w:val="none"/>
              </w:rPr>
              <w:t>根据</w:t>
            </w:r>
            <w:r>
              <w:rPr>
                <w:rFonts w:hint="eastAsia"/>
                <w:highlight w:val="none"/>
                <w:lang w:eastAsia="zh-CN"/>
              </w:rPr>
              <w:t>供应商</w:t>
            </w:r>
            <w:r>
              <w:rPr>
                <w:highlight w:val="none"/>
              </w:rPr>
              <w:t>提供的安全保障措施</w:t>
            </w:r>
            <w:r>
              <w:rPr>
                <w:rFonts w:hint="eastAsia"/>
                <w:highlight w:val="none"/>
                <w:lang w:eastAsia="zh-CN"/>
              </w:rPr>
              <w:t>进行评审</w:t>
            </w:r>
            <w:r>
              <w:rPr>
                <w:highlight w:val="none"/>
              </w:rPr>
              <w:t>。安全保障措施详细、具体、可行，配套设施符合国家有关要求的证明文件的，得</w:t>
            </w:r>
            <w:r>
              <w:rPr>
                <w:rFonts w:hint="eastAsia"/>
                <w:highlight w:val="none"/>
                <w:lang w:val="en-US" w:eastAsia="zh-CN"/>
              </w:rPr>
              <w:t>5</w:t>
            </w:r>
            <w:r>
              <w:rPr>
                <w:highlight w:val="none"/>
              </w:rPr>
              <w:t>分；安全保障措施较详细、较具体、较可行，配套设施符合国家有关要求的证明文件的，得</w:t>
            </w:r>
            <w:r>
              <w:rPr>
                <w:rFonts w:hint="eastAsia"/>
                <w:highlight w:val="none"/>
                <w:lang w:val="en-US" w:eastAsia="zh-CN"/>
              </w:rPr>
              <w:t>2</w:t>
            </w:r>
            <w:r>
              <w:rPr>
                <w:highlight w:val="none"/>
              </w:rPr>
              <w:t>分</w:t>
            </w:r>
            <w:r>
              <w:rPr>
                <w:rFonts w:hint="eastAsia"/>
                <w:highlight w:val="none"/>
                <w:lang w:eastAsia="zh-CN"/>
              </w:rPr>
              <w:t>。</w:t>
            </w:r>
            <w:r>
              <w:rPr>
                <w:highlight w:val="none"/>
              </w:rPr>
              <w:t>未提供安全保障措施的不得分。</w:t>
            </w:r>
          </w:p>
          <w:p>
            <w:pPr>
              <w:widowControl/>
              <w:spacing w:line="360" w:lineRule="exact"/>
              <w:ind w:right="108" w:firstLine="420" w:firstLineChars="200"/>
              <w:rPr>
                <w:rFonts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/>
                <w:highlight w:val="none"/>
              </w:rPr>
              <w:t>2.</w:t>
            </w:r>
            <w:r>
              <w:rPr>
                <w:highlight w:val="none"/>
              </w:rPr>
              <w:t>根据</w:t>
            </w:r>
            <w:r>
              <w:rPr>
                <w:rFonts w:hint="eastAsia"/>
                <w:highlight w:val="none"/>
                <w:lang w:eastAsia="zh-CN"/>
              </w:rPr>
              <w:t>供应商</w:t>
            </w:r>
            <w:r>
              <w:rPr>
                <w:highlight w:val="none"/>
              </w:rPr>
              <w:t>提供的应急方案内容</w:t>
            </w:r>
            <w:r>
              <w:rPr>
                <w:rFonts w:hint="eastAsia"/>
                <w:highlight w:val="none"/>
                <w:lang w:eastAsia="zh-CN"/>
              </w:rPr>
              <w:t>（</w:t>
            </w:r>
            <w:r>
              <w:rPr>
                <w:highlight w:val="none"/>
              </w:rPr>
              <w:t>采购人紧急任务、不可抗力事件、加油故障或其他可能预测事件的处理等</w:t>
            </w:r>
            <w:r>
              <w:rPr>
                <w:rFonts w:hint="eastAsia"/>
                <w:highlight w:val="none"/>
                <w:lang w:eastAsia="zh-CN"/>
              </w:rPr>
              <w:t>）</w:t>
            </w:r>
            <w:r>
              <w:rPr>
                <w:highlight w:val="none"/>
              </w:rPr>
              <w:t>是否</w:t>
            </w:r>
            <w:bookmarkStart w:id="0" w:name="_GoBack"/>
            <w:bookmarkEnd w:id="0"/>
            <w:r>
              <w:rPr>
                <w:highlight w:val="none"/>
              </w:rPr>
              <w:t>全面，应对措施是否安全可行进行评审。应急方案考虑周全，贴合实际，应对措施合理，得</w:t>
            </w:r>
            <w:r>
              <w:rPr>
                <w:rFonts w:hint="eastAsia"/>
                <w:highlight w:val="none"/>
                <w:lang w:val="en-US" w:eastAsia="zh-CN"/>
              </w:rPr>
              <w:t>5</w:t>
            </w:r>
            <w:r>
              <w:rPr>
                <w:highlight w:val="none"/>
              </w:rPr>
              <w:t>分；应急方案较贴合实际，应对措施一般，得</w:t>
            </w:r>
            <w:r>
              <w:rPr>
                <w:rFonts w:hint="eastAsia"/>
                <w:highlight w:val="none"/>
                <w:lang w:val="en-US" w:eastAsia="zh-CN"/>
              </w:rPr>
              <w:t>2</w:t>
            </w:r>
            <w:r>
              <w:rPr>
                <w:highlight w:val="none"/>
              </w:rPr>
              <w:t>分</w:t>
            </w:r>
            <w:r>
              <w:rPr>
                <w:rFonts w:hint="eastAsia"/>
                <w:highlight w:val="none"/>
                <w:lang w:eastAsia="zh-CN"/>
              </w:rPr>
              <w:t>。</w:t>
            </w:r>
            <w:r>
              <w:rPr>
                <w:highlight w:val="none"/>
              </w:rPr>
              <w:t>未提供应急方案的不得分。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793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Style w:val="9"/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 w:cs="Times New Roman"/>
                <w:sz w:val="24"/>
                <w:szCs w:val="24"/>
              </w:rPr>
              <w:t>报价</w:t>
            </w:r>
          </w:p>
        </w:tc>
        <w:tc>
          <w:tcPr>
            <w:tcW w:w="6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1" w:firstLineChars="20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  <w:lang w:eastAsia="zh-CN"/>
              </w:rPr>
              <w:t>报价方式为优惠额，优惠额为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highlight w:val="none"/>
                <w:lang w:val="en-US" w:eastAsia="zh-CN"/>
              </w:rPr>
              <w:t>0.15元/升得10分，每增加优惠0.05元/升，得分增加4分，报价最高得分为50分。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ascii="仿宋" w:hAnsi="仿宋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</w:tr>
    </w:tbl>
    <w:p>
      <w:pPr>
        <w:pStyle w:val="2"/>
        <w:rPr>
          <w:rFonts w:hint="default" w:ascii="仿宋" w:hAnsi="仿宋" w:eastAsia="仿宋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Fan Heiti Std B">
    <w:panose1 w:val="020B0700000000000000"/>
    <w:charset w:val="88"/>
    <w:family w:val="auto"/>
    <w:pitch w:val="default"/>
    <w:sig w:usb0="00000001" w:usb1="1A0F1900" w:usb2="00000016" w:usb3="00000000" w:csb0="00120005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56210401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1ODdiMDBmZTA2YTRlYzkwYmIyM2MyYTRiNzkwZDQifQ=="/>
  </w:docVars>
  <w:rsids>
    <w:rsidRoot w:val="192F1C53"/>
    <w:rsid w:val="00027A97"/>
    <w:rsid w:val="0003446D"/>
    <w:rsid w:val="000A39DD"/>
    <w:rsid w:val="000E2E33"/>
    <w:rsid w:val="000E4B69"/>
    <w:rsid w:val="000F72EC"/>
    <w:rsid w:val="0011333C"/>
    <w:rsid w:val="00114905"/>
    <w:rsid w:val="001C00E7"/>
    <w:rsid w:val="001D7913"/>
    <w:rsid w:val="002159E3"/>
    <w:rsid w:val="00253497"/>
    <w:rsid w:val="002F2FAE"/>
    <w:rsid w:val="0035071A"/>
    <w:rsid w:val="00355E70"/>
    <w:rsid w:val="0036726B"/>
    <w:rsid w:val="003C2D17"/>
    <w:rsid w:val="00444802"/>
    <w:rsid w:val="00452A5E"/>
    <w:rsid w:val="00516F57"/>
    <w:rsid w:val="00531394"/>
    <w:rsid w:val="005C24A7"/>
    <w:rsid w:val="005F6C58"/>
    <w:rsid w:val="006011E3"/>
    <w:rsid w:val="006B210B"/>
    <w:rsid w:val="00715E72"/>
    <w:rsid w:val="007448B4"/>
    <w:rsid w:val="00747AAF"/>
    <w:rsid w:val="00760CDA"/>
    <w:rsid w:val="00777AAB"/>
    <w:rsid w:val="0078481B"/>
    <w:rsid w:val="007D2AFE"/>
    <w:rsid w:val="007F142F"/>
    <w:rsid w:val="0083215C"/>
    <w:rsid w:val="00863270"/>
    <w:rsid w:val="008B7D05"/>
    <w:rsid w:val="008C75BA"/>
    <w:rsid w:val="008F49A7"/>
    <w:rsid w:val="009307A7"/>
    <w:rsid w:val="00955CC6"/>
    <w:rsid w:val="00983B5C"/>
    <w:rsid w:val="009D4687"/>
    <w:rsid w:val="00A93BDA"/>
    <w:rsid w:val="00AD3527"/>
    <w:rsid w:val="00B24BB7"/>
    <w:rsid w:val="00BA1A5A"/>
    <w:rsid w:val="00BB4370"/>
    <w:rsid w:val="00BF2CDA"/>
    <w:rsid w:val="00C57C85"/>
    <w:rsid w:val="00D27F30"/>
    <w:rsid w:val="00D91FAF"/>
    <w:rsid w:val="00F32136"/>
    <w:rsid w:val="09C4763F"/>
    <w:rsid w:val="09CE595E"/>
    <w:rsid w:val="192F1C53"/>
    <w:rsid w:val="276B739B"/>
    <w:rsid w:val="31A830A5"/>
    <w:rsid w:val="395D6DF7"/>
    <w:rsid w:val="3DDC834A"/>
    <w:rsid w:val="41FF1FAD"/>
    <w:rsid w:val="4BFE98BF"/>
    <w:rsid w:val="4C39008F"/>
    <w:rsid w:val="57E984DE"/>
    <w:rsid w:val="5B761EF1"/>
    <w:rsid w:val="5FFC28CD"/>
    <w:rsid w:val="63BA198E"/>
    <w:rsid w:val="643DD768"/>
    <w:rsid w:val="6FFD27FE"/>
    <w:rsid w:val="731C41B1"/>
    <w:rsid w:val="738251C9"/>
    <w:rsid w:val="749B21CD"/>
    <w:rsid w:val="76F870A1"/>
    <w:rsid w:val="77FE69B3"/>
    <w:rsid w:val="7B7A6232"/>
    <w:rsid w:val="7DFEC971"/>
    <w:rsid w:val="7E3DC743"/>
    <w:rsid w:val="7EFE94D9"/>
    <w:rsid w:val="7F3DF2DC"/>
    <w:rsid w:val="7FFF3CBE"/>
    <w:rsid w:val="99DEFAA5"/>
    <w:rsid w:val="BB93DDBA"/>
    <w:rsid w:val="DAEB4CB2"/>
    <w:rsid w:val="DDF671EC"/>
    <w:rsid w:val="DF3ADD17"/>
    <w:rsid w:val="E7EA5D73"/>
    <w:rsid w:val="E9FD3F82"/>
    <w:rsid w:val="EBCB8C98"/>
    <w:rsid w:val="ED361445"/>
    <w:rsid w:val="EDB123BA"/>
    <w:rsid w:val="EDFD41D1"/>
    <w:rsid w:val="EF6A32E7"/>
    <w:rsid w:val="F5FE825B"/>
    <w:rsid w:val="F5FFDF52"/>
    <w:rsid w:val="F9D7B3B9"/>
    <w:rsid w:val="FCBDE765"/>
    <w:rsid w:val="FD4FFABE"/>
    <w:rsid w:val="FD699213"/>
    <w:rsid w:val="FD7EFE4F"/>
    <w:rsid w:val="FEB5B2D2"/>
    <w:rsid w:val="FFF3264D"/>
    <w:rsid w:val="FF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1494</Words>
  <Characters>1518</Characters>
  <Lines>13</Lines>
  <Paragraphs>3</Paragraphs>
  <TotalTime>22</TotalTime>
  <ScaleCrop>false</ScaleCrop>
  <LinksUpToDate>false</LinksUpToDate>
  <CharactersWithSpaces>1537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2024-08-13T19:41:00Z</dcterms:created>
  <dc:creator>李耀明</dc:creator>
  <cp:lastModifiedBy>uos</cp:lastModifiedBy>
  <cp:lastPrinted>2023-12-03T17:21:00Z</cp:lastPrinted>
  <dcterms:modified xsi:type="dcterms:W3CDTF">2026-08-21T10:50:54Z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48947724DD035F0ED19E7A6A7243C68D_43</vt:lpwstr>
  </property>
  <property fmtid="{D5CDD505-2E9C-101B-9397-08002B2CF9AE}" pid="5" name="KSOTemplateDocerSaveRecord">
    <vt:lpwstr>eyJoZGlkIjoiOTIyY2M0N2Y4ZDJhNmQzODNlMTNmODFiM2I0Mzc3ZDciLCJ1c2VySWQiOiIxMDg0NzExODY0In0=</vt:lpwstr>
  </property>
</Properties>
</file>