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spacing w:line="600" w:lineRule="exact"/>
        <w:ind w:right="280" w:rightChars="100"/>
        <w:jc w:val="center"/>
        <w:rPr>
          <w:rFonts w:hint="eastAsia" w:ascii="宋体" w:hAnsi="宋体" w:eastAsia="宋体" w:cs="宋体"/>
          <w:b/>
          <w:bCs/>
          <w:sz w:val="36"/>
          <w:szCs w:val="36"/>
          <w:highlight w:val="none"/>
          <w:lang w:eastAsia="zh-CN" w:bidi="ar"/>
        </w:rPr>
      </w:pPr>
      <w:bookmarkStart w:id="0" w:name="_GoBack"/>
      <w:bookmarkEnd w:id="0"/>
      <w:r>
        <w:rPr>
          <w:rFonts w:hint="eastAsia" w:ascii="宋体" w:hAnsi="宋体" w:eastAsia="宋体" w:cs="宋体"/>
          <w:b/>
          <w:bCs/>
          <w:kern w:val="2"/>
          <w:sz w:val="36"/>
          <w:szCs w:val="36"/>
          <w:highlight w:val="none"/>
          <w:lang w:eastAsia="zh-CN" w:bidi="ar"/>
        </w:rPr>
        <w:t>江门市</w:t>
      </w:r>
      <w:r>
        <w:rPr>
          <w:rFonts w:hint="eastAsia" w:hAnsi="宋体" w:eastAsia="宋体" w:cs="宋体"/>
          <w:b/>
          <w:bCs/>
          <w:kern w:val="2"/>
          <w:sz w:val="36"/>
          <w:szCs w:val="36"/>
          <w:highlight w:val="none"/>
          <w:lang w:val="en-US" w:eastAsia="zh-CN" w:bidi="ar"/>
        </w:rPr>
        <w:t>第六届</w:t>
      </w:r>
      <w:r>
        <w:rPr>
          <w:rFonts w:hint="eastAsia" w:ascii="宋体" w:hAnsi="宋体" w:eastAsia="宋体" w:cs="宋体"/>
          <w:b/>
          <w:bCs/>
          <w:sz w:val="36"/>
          <w:szCs w:val="36"/>
          <w:highlight w:val="none"/>
          <w:lang w:eastAsia="zh-CN" w:bidi="ar"/>
        </w:rPr>
        <w:t>职业技能大赛</w:t>
      </w:r>
    </w:p>
    <w:p>
      <w:pPr>
        <w:pStyle w:val="25"/>
        <w:spacing w:line="600" w:lineRule="exact"/>
        <w:ind w:right="280" w:rightChars="100"/>
        <w:jc w:val="center"/>
        <w:rPr>
          <w:rFonts w:hint="eastAsia" w:ascii="宋体" w:hAnsi="宋体" w:eastAsia="宋体" w:cs="宋体"/>
          <w:b/>
          <w:bCs/>
          <w:kern w:val="2"/>
          <w:sz w:val="36"/>
          <w:szCs w:val="36"/>
          <w:highlight w:val="none"/>
          <w:lang w:val="en-US" w:eastAsia="zh-CN" w:bidi="ar"/>
        </w:rPr>
      </w:pPr>
      <w:r>
        <w:rPr>
          <w:rFonts w:ascii="宋体" w:hAnsi="宋体" w:eastAsia="宋体"/>
          <w:b/>
          <w:sz w:val="36"/>
        </w:rPr>
        <w:t>数智化创新应用职业技能竞赛</w:t>
      </w:r>
      <w:r>
        <w:rPr>
          <w:rFonts w:ascii="宋体" w:hAnsi="宋体" w:eastAsia="宋体"/>
          <w:b/>
          <w:sz w:val="36"/>
          <w:highlight w:val="none"/>
        </w:rPr>
        <w:t>技术</w:t>
      </w:r>
      <w:r>
        <w:rPr>
          <w:rFonts w:hint="eastAsia" w:hAnsi="宋体" w:eastAsia="宋体"/>
          <w:b/>
          <w:sz w:val="36"/>
          <w:highlight w:val="none"/>
          <w:lang w:eastAsia="zh-CN"/>
        </w:rPr>
        <w:t>文件</w:t>
      </w:r>
    </w:p>
    <w:p>
      <w:pPr>
        <w:tabs>
          <w:tab w:val="center" w:pos="4744"/>
        </w:tabs>
        <w:spacing w:line="520" w:lineRule="exact"/>
        <w:ind w:firstLine="645"/>
        <w:rPr>
          <w:rFonts w:hint="eastAsia" w:ascii="方正黑体简体" w:hAnsi="方正黑体简体" w:eastAsia="方正黑体简体" w:cs="方正黑体简体"/>
          <w:sz w:val="32"/>
          <w:szCs w:val="32"/>
          <w:highlight w:val="none"/>
          <w:lang w:eastAsia="zh-CN"/>
        </w:rPr>
      </w:pPr>
    </w:p>
    <w:p>
      <w:pPr>
        <w:keepNext w:val="0"/>
        <w:keepLines w:val="0"/>
        <w:pageBreakBefore w:val="0"/>
        <w:widowControl/>
        <w:tabs>
          <w:tab w:val="center" w:pos="4744"/>
        </w:tabs>
        <w:kinsoku/>
        <w:wordWrap/>
        <w:overflowPunct/>
        <w:topLinePunct w:val="0"/>
        <w:autoSpaceDE/>
        <w:autoSpaceDN/>
        <w:bidi w:val="0"/>
        <w:adjustRightInd/>
        <w:snapToGrid/>
        <w:spacing w:line="360" w:lineRule="auto"/>
        <w:ind w:left="0" w:leftChars="0" w:firstLine="640" w:firstLineChars="200"/>
        <w:textAlignment w:val="auto"/>
        <w:rPr>
          <w:rFonts w:hint="default" w:ascii="方正黑体简体" w:hAnsi="方正黑体简体" w:eastAsia="方正黑体简体" w:cs="方正黑体简体"/>
          <w:sz w:val="32"/>
          <w:szCs w:val="32"/>
          <w:highlight w:val="none"/>
          <w:lang w:val="en-US" w:eastAsia="zh-CN"/>
        </w:rPr>
      </w:pPr>
      <w:r>
        <w:rPr>
          <w:rFonts w:hint="eastAsia" w:ascii="方正黑体简体" w:hAnsi="方正黑体简体" w:eastAsia="方正黑体简体" w:cs="方正黑体简体"/>
          <w:sz w:val="32"/>
          <w:szCs w:val="32"/>
          <w:highlight w:val="none"/>
          <w:lang w:eastAsia="zh-CN"/>
        </w:rPr>
        <w:t>一、</w:t>
      </w:r>
      <w:r>
        <w:rPr>
          <w:rFonts w:hint="eastAsia" w:ascii="方正黑体简体" w:hAnsi="方正黑体简体" w:eastAsia="方正黑体简体" w:cs="方正黑体简体"/>
          <w:sz w:val="32"/>
          <w:szCs w:val="32"/>
          <w:highlight w:val="none"/>
          <w:lang w:val="en-US" w:eastAsia="zh-CN"/>
        </w:rPr>
        <w:t>竞赛项目</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sz w:val="32"/>
          <w:szCs w:val="32"/>
        </w:rPr>
      </w:pPr>
      <w:r>
        <w:rPr>
          <w:rFonts w:ascii="仿宋" w:hAnsi="仿宋" w:eastAsia="仿宋"/>
          <w:sz w:val="32"/>
          <w:szCs w:val="32"/>
        </w:rPr>
        <w:t>为深入贯彻落实国家关于加快数字化发展的战略部署，推动江门市产业数字化转型与高技能人才队伍建设，充分发挥职业技能竞赛在选拔优秀数字技能人才、弘扬工匠精神中的示范引领作用，拟组织举办江门市第六届职业技能大赛数智化创新应用职业技能竞赛（以下简称“本次竞赛”）。本次竞赛聚焦“数字技能”，特指面向工业企业生产运营、工程建设、经营管理及核电等重点领域，运用低代码开发工具或人工智能（AI）智能体平台，解决实际业务痛点、搭建数字化应用、实现技术与业务深度融合的专项技能，兼具技术实操性、业务适配性、创新落地性三大核心特征。从工作内涵来看，数字技能涵盖低代码平台实操应用、AI</w:t>
      </w:r>
      <w:r>
        <w:rPr>
          <w:rFonts w:hint="eastAsia"/>
          <w:sz w:val="32"/>
          <w:szCs w:val="32"/>
          <w:lang w:val="en-US" w:eastAsia="zh-CN"/>
        </w:rPr>
        <w:t>应用</w:t>
      </w:r>
      <w:r>
        <w:rPr>
          <w:rFonts w:ascii="仿宋" w:hAnsi="仿宋" w:eastAsia="仿宋"/>
          <w:sz w:val="32"/>
          <w:szCs w:val="32"/>
        </w:rPr>
        <w:t>场景开发、数字化业务流程配置、创新成果落地转化等内容，是依托人工智能、低代码开发、智能体搭建等新一代数字化技术，从事数字化应用设计、实操搭建、场景落地、创新优化的复合型技能。</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sz w:val="32"/>
          <w:szCs w:val="32"/>
        </w:rPr>
      </w:pPr>
      <w:r>
        <w:rPr>
          <w:rFonts w:ascii="仿宋" w:hAnsi="仿宋" w:eastAsia="仿宋"/>
          <w:sz w:val="32"/>
          <w:szCs w:val="32"/>
        </w:rPr>
        <w:t>本次技能竞赛以“激发众创、赋能业务”为核心，围绕低代码与AI应用两大方向开展比赛，推动人工智能与生产经营深度融合，</w:t>
      </w:r>
      <w:r>
        <w:rPr>
          <w:rFonts w:hint="default" w:ascii="仿宋" w:hAnsi="仿宋" w:eastAsia="仿宋"/>
          <w:sz w:val="32"/>
          <w:szCs w:val="32"/>
        </w:rPr>
        <w:t>助力降低成本、提高效率</w:t>
      </w:r>
      <w:r>
        <w:rPr>
          <w:rFonts w:ascii="仿宋" w:hAnsi="仿宋" w:eastAsia="仿宋"/>
          <w:sz w:val="32"/>
          <w:szCs w:val="32"/>
        </w:rPr>
        <w:t>。竞赛分为个人赛和团体赛。个人赛聚焦低代码平台的实操能力，考核选手基础搭建、流程配置与应用部署的技能；团体赛着重评估团队运用AI</w:t>
      </w:r>
      <w:r>
        <w:rPr>
          <w:rFonts w:hint="eastAsia"/>
          <w:sz w:val="32"/>
          <w:szCs w:val="32"/>
          <w:lang w:val="en-US" w:eastAsia="zh-CN"/>
        </w:rPr>
        <w:t>工具</w:t>
      </w:r>
      <w:r>
        <w:rPr>
          <w:rFonts w:ascii="仿宋" w:hAnsi="仿宋" w:eastAsia="仿宋"/>
          <w:sz w:val="32"/>
          <w:szCs w:val="32"/>
        </w:rPr>
        <w:t>平台解决实际业务场景问题的综合能力，围绕AI智能体的方案设计、场景搭建、成果演示等内容展开。</w:t>
      </w:r>
    </w:p>
    <w:p>
      <w:pPr>
        <w:keepNext w:val="0"/>
        <w:keepLines w:val="0"/>
        <w:pageBreakBefore w:val="0"/>
        <w:widowControl/>
        <w:tabs>
          <w:tab w:val="center" w:pos="4744"/>
        </w:tabs>
        <w:kinsoku/>
        <w:wordWrap/>
        <w:overflowPunct/>
        <w:topLinePunct w:val="0"/>
        <w:autoSpaceDE/>
        <w:autoSpaceDN/>
        <w:bidi w:val="0"/>
        <w:adjustRightInd/>
        <w:snapToGrid/>
        <w:spacing w:line="360" w:lineRule="auto"/>
        <w:ind w:left="0" w:leftChars="0" w:firstLine="640" w:firstLineChars="200"/>
        <w:textAlignment w:val="auto"/>
        <w:rPr>
          <w:rFonts w:hint="eastAsia" w:ascii="方正黑体简体" w:hAnsi="方正黑体简体" w:eastAsia="方正黑体简体" w:cs="方正黑体简体"/>
          <w:sz w:val="32"/>
          <w:szCs w:val="32"/>
          <w:highlight w:val="none"/>
          <w:lang w:eastAsia="zh-CN"/>
        </w:rPr>
      </w:pPr>
      <w:r>
        <w:rPr>
          <w:rFonts w:hint="eastAsia" w:ascii="方正黑体简体" w:hAnsi="方正黑体简体" w:eastAsia="方正黑体简体" w:cs="方正黑体简体"/>
          <w:sz w:val="32"/>
          <w:szCs w:val="32"/>
          <w:highlight w:val="none"/>
          <w:lang w:eastAsia="zh-CN"/>
        </w:rPr>
        <w:t>二、竞赛标准</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本次竞赛以相近职业（工种）高级工国家职业技能标准——数字化解决方案设计师（职业编码：4-04-04-05）为竞赛标准。命题在上述标准要求的基础上，将理论知识融入实操考核之中，适当增加新知识、新技术、新技能等内容。</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竞赛技术文件由竞赛组委会办公室组织编制</w:t>
      </w:r>
      <w:r>
        <w:rPr>
          <w:rFonts w:hint="eastAsia"/>
          <w:sz w:val="32"/>
          <w:szCs w:val="32"/>
          <w:lang w:eastAsia="zh-CN"/>
        </w:rPr>
        <w:t>，</w:t>
      </w:r>
      <w:r>
        <w:rPr>
          <w:rFonts w:ascii="仿宋" w:hAnsi="仿宋" w:eastAsia="仿宋"/>
          <w:sz w:val="32"/>
          <w:szCs w:val="32"/>
        </w:rPr>
        <w:t>命题工作由竞赛命题组统一组织，参照业界数字化技能竞赛标准，结合江门市工业企业实际应用业务情况及数字化转型需求，确保竞赛内容贴合实际、公平公正。</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本次竞赛所涉及的系统环境及操作平台信息如下：</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eastAsia="zh-CN"/>
        </w:rPr>
      </w:pPr>
      <w:r>
        <w:rPr>
          <w:rFonts w:ascii="仿宋" w:hAnsi="仿宋" w:eastAsia="仿宋"/>
          <w:sz w:val="32"/>
          <w:szCs w:val="32"/>
        </w:rPr>
        <w:t>1. 操作系统版本：Windows 10 / 麒麟</w:t>
      </w:r>
      <w:r>
        <w:rPr>
          <w:rFonts w:hint="eastAsia" w:ascii="仿宋" w:hAnsi="仿宋" w:eastAsia="仿宋"/>
          <w:sz w:val="32"/>
          <w:szCs w:val="32"/>
          <w:lang w:val="en-US" w:eastAsia="zh-CN"/>
        </w:rPr>
        <w:t>V10 SP1</w:t>
      </w:r>
      <w:r>
        <w:rPr>
          <w:rFonts w:ascii="仿宋" w:hAnsi="仿宋" w:eastAsia="仿宋"/>
          <w:sz w:val="32"/>
          <w:szCs w:val="32"/>
        </w:rPr>
        <w:t>。</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2. 浏览器版本：中广核浏览器</w:t>
      </w:r>
      <w:r>
        <w:rPr>
          <w:rFonts w:hint="eastAsia" w:ascii="仿宋" w:hAnsi="仿宋" w:eastAsia="仿宋"/>
          <w:sz w:val="32"/>
          <w:szCs w:val="32"/>
          <w:lang w:eastAsia="zh-CN"/>
        </w:rPr>
        <w:t>（</w:t>
      </w:r>
      <w:r>
        <w:rPr>
          <w:rFonts w:ascii="仿宋" w:hAnsi="仿宋" w:eastAsia="仿宋"/>
          <w:sz w:val="32"/>
          <w:szCs w:val="32"/>
        </w:rPr>
        <w:t>版本号：13.3.2005.580</w:t>
      </w:r>
      <w:r>
        <w:rPr>
          <w:rFonts w:hint="eastAsia" w:ascii="仿宋" w:hAnsi="仿宋" w:eastAsia="仿宋"/>
          <w:sz w:val="32"/>
          <w:szCs w:val="32"/>
          <w:lang w:val="en-US" w:eastAsia="zh-CN"/>
        </w:rPr>
        <w:t xml:space="preserve"> 64位</w:t>
      </w:r>
      <w:r>
        <w:rPr>
          <w:rFonts w:ascii="仿宋" w:hAnsi="仿宋" w:eastAsia="仿宋"/>
          <w:sz w:val="32"/>
          <w:szCs w:val="32"/>
        </w:rPr>
        <w:t>内核版本：108.0.5359.95</w:t>
      </w:r>
      <w:r>
        <w:rPr>
          <w:rFonts w:hint="eastAsia" w:ascii="仿宋" w:hAnsi="仿宋" w:eastAsia="仿宋"/>
          <w:sz w:val="32"/>
          <w:szCs w:val="32"/>
          <w:lang w:eastAsia="zh-CN"/>
        </w:rPr>
        <w:t>）</w:t>
      </w:r>
      <w:r>
        <w:rPr>
          <w:rFonts w:ascii="仿宋" w:hAnsi="仿宋" w:eastAsia="仿宋"/>
          <w:sz w:val="32"/>
          <w:szCs w:val="32"/>
        </w:rPr>
        <w:t>。</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3. 低代码开发平台：</w:t>
      </w:r>
      <w:r>
        <w:rPr>
          <w:rFonts w:hint="eastAsia" w:ascii="仿宋" w:hAnsi="仿宋" w:eastAsia="仿宋"/>
          <w:sz w:val="32"/>
          <w:szCs w:val="32"/>
          <w:lang w:val="en-US" w:eastAsia="zh-CN"/>
        </w:rPr>
        <w:t>快搭低代码平台（泛微科技e-Builder）</w:t>
      </w:r>
      <w:r>
        <w:rPr>
          <w:rFonts w:ascii="仿宋" w:hAnsi="仿宋" w:eastAsia="仿宋"/>
          <w:sz w:val="32"/>
          <w:szCs w:val="32"/>
        </w:rPr>
        <w:t>。</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4. AI智能体平台：</w:t>
      </w:r>
      <w:r>
        <w:rPr>
          <w:rFonts w:hint="eastAsia" w:ascii="仿宋" w:hAnsi="仿宋" w:eastAsia="仿宋"/>
          <w:sz w:val="32"/>
          <w:szCs w:val="32"/>
          <w:lang w:val="en-US" w:eastAsia="zh-CN"/>
        </w:rPr>
        <w:t>台山核电AI</w:t>
      </w:r>
      <w:r>
        <w:rPr>
          <w:rFonts w:ascii="仿宋" w:hAnsi="仿宋" w:eastAsia="仿宋"/>
          <w:sz w:val="32"/>
          <w:szCs w:val="32"/>
        </w:rPr>
        <w:t>智能体平</w:t>
      </w:r>
      <w:r>
        <w:rPr>
          <w:rFonts w:hint="eastAsia" w:ascii="仿宋" w:hAnsi="仿宋" w:eastAsia="仿宋"/>
          <w:sz w:val="32"/>
          <w:szCs w:val="32"/>
          <w:lang w:val="en-US" w:eastAsia="zh-CN"/>
        </w:rPr>
        <w:t>台（启明致远璟问AuraAsk）</w:t>
      </w:r>
      <w:r>
        <w:rPr>
          <w:rFonts w:ascii="仿宋" w:hAnsi="仿宋" w:eastAsia="仿宋"/>
          <w:sz w:val="32"/>
          <w:szCs w:val="32"/>
        </w:rPr>
        <w:t>。</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5. 网络环境：台山核电办公内网环境</w:t>
      </w:r>
      <w:r>
        <w:rPr>
          <w:rFonts w:hint="eastAsia"/>
          <w:sz w:val="32"/>
          <w:szCs w:val="32"/>
          <w:lang w:eastAsia="zh-CN"/>
        </w:rPr>
        <w:t>（</w:t>
      </w:r>
      <w:r>
        <w:rPr>
          <w:rFonts w:hint="eastAsia"/>
          <w:sz w:val="32"/>
          <w:szCs w:val="32"/>
          <w:lang w:val="en-US" w:eastAsia="zh-CN"/>
        </w:rPr>
        <w:t>外部人员可使用外网盒子访问</w:t>
      </w:r>
      <w:r>
        <w:rPr>
          <w:rFonts w:hint="eastAsia" w:ascii="仿宋" w:hAnsi="仿宋" w:eastAsia="仿宋"/>
          <w:sz w:val="32"/>
          <w:szCs w:val="32"/>
          <w:lang w:val="en-US" w:eastAsia="zh-CN"/>
        </w:rPr>
        <w:t>AI</w:t>
      </w:r>
      <w:r>
        <w:rPr>
          <w:rFonts w:ascii="仿宋" w:hAnsi="仿宋" w:eastAsia="仿宋"/>
          <w:sz w:val="32"/>
          <w:szCs w:val="32"/>
        </w:rPr>
        <w:t>智能体平</w:t>
      </w:r>
      <w:r>
        <w:rPr>
          <w:rFonts w:hint="eastAsia" w:ascii="仿宋" w:hAnsi="仿宋" w:eastAsia="仿宋"/>
          <w:sz w:val="32"/>
          <w:szCs w:val="32"/>
          <w:lang w:val="en-US" w:eastAsia="zh-CN"/>
        </w:rPr>
        <w:t>台</w:t>
      </w:r>
      <w:r>
        <w:rPr>
          <w:rFonts w:hint="eastAsia"/>
          <w:sz w:val="32"/>
          <w:szCs w:val="32"/>
          <w:lang w:eastAsia="zh-CN"/>
        </w:rPr>
        <w:t>）</w:t>
      </w:r>
      <w:r>
        <w:rPr>
          <w:rFonts w:ascii="仿宋" w:hAnsi="仿宋" w:eastAsia="仿宋"/>
          <w:sz w:val="32"/>
          <w:szCs w:val="32"/>
        </w:rPr>
        <w:t>。</w:t>
      </w:r>
    </w:p>
    <w:p>
      <w:pPr>
        <w:keepNext w:val="0"/>
        <w:keepLines w:val="0"/>
        <w:pageBreakBefore w:val="0"/>
        <w:widowControl/>
        <w:tabs>
          <w:tab w:val="center" w:pos="4744"/>
        </w:tabs>
        <w:kinsoku/>
        <w:wordWrap/>
        <w:overflowPunct/>
        <w:topLinePunct w:val="0"/>
        <w:autoSpaceDE/>
        <w:autoSpaceDN/>
        <w:bidi w:val="0"/>
        <w:adjustRightInd/>
        <w:snapToGrid/>
        <w:spacing w:line="360" w:lineRule="auto"/>
        <w:ind w:left="0" w:leftChars="0" w:firstLine="640" w:firstLineChars="200"/>
        <w:textAlignment w:val="auto"/>
        <w:rPr>
          <w:rFonts w:hint="eastAsia" w:ascii="方正黑体简体" w:hAnsi="方正黑体简体" w:eastAsia="方正黑体简体" w:cs="方正黑体简体"/>
          <w:sz w:val="32"/>
          <w:szCs w:val="32"/>
          <w:highlight w:val="none"/>
          <w:lang w:eastAsia="zh-CN"/>
        </w:rPr>
      </w:pPr>
      <w:r>
        <w:rPr>
          <w:rFonts w:hint="eastAsia" w:ascii="方正黑体简体" w:hAnsi="方正黑体简体" w:eastAsia="方正黑体简体" w:cs="方正黑体简体"/>
          <w:sz w:val="32"/>
          <w:szCs w:val="32"/>
          <w:highlight w:val="none"/>
          <w:lang w:eastAsia="zh-CN"/>
        </w:rPr>
        <w:t>三、竞赛方式</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（一）个人赛</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本次个人赛包括初赛和决赛两个阶段，是否开展初赛由竞赛组委会根据报名人数确定。</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1. 初赛为理论知识竞赛或技术单元实操考核，由竞赛组委会组织专家参照竞赛标准命题</w:t>
      </w:r>
      <w:r>
        <w:rPr>
          <w:rFonts w:hint="eastAsia" w:ascii="仿宋" w:hAnsi="仿宋" w:eastAsia="仿宋"/>
          <w:sz w:val="32"/>
          <w:szCs w:val="32"/>
          <w:lang w:eastAsia="zh-CN"/>
        </w:rPr>
        <w:t>，</w:t>
      </w:r>
      <w:r>
        <w:rPr>
          <w:rFonts w:ascii="仿宋" w:hAnsi="仿宋" w:eastAsia="仿宋"/>
          <w:sz w:val="32"/>
          <w:szCs w:val="32"/>
        </w:rPr>
        <w:t>考试时间为120分钟。各单位报名参加个人赛初赛的人数不限，按初赛成绩择优选拔选手进入决赛。如不开展初赛，报名选手直接参加决赛。</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2. 决赛为实操竞赛，由竞赛组委会组织专家参照竞赛标准命题，以现场实操方式进行。决赛命题方向为工业应用方向和通用办公方向，参赛选手根据任务书，在规定时间内使用指定低代码平台完成应用搭建及调试。考试时间为180分钟。</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（二）团体赛</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团体赛分为工业应用组和通用办公组两个赛道，包括初赛和决赛两个阶段，其中决赛分为第一阶段（</w:t>
      </w:r>
      <w:r>
        <w:rPr>
          <w:rFonts w:hint="eastAsia" w:ascii="仿宋" w:hAnsi="仿宋" w:eastAsia="仿宋" w:cs="仿宋"/>
          <w:color w:val="auto"/>
          <w:kern w:val="2"/>
          <w:sz w:val="32"/>
          <w:szCs w:val="32"/>
          <w:highlight w:val="none"/>
          <w:lang w:val="en-US" w:eastAsia="zh-CN" w:bidi="ar"/>
        </w:rPr>
        <w:t>参赛智能体开发及应用效果介绍材料评审</w:t>
      </w:r>
      <w:r>
        <w:rPr>
          <w:rFonts w:ascii="仿宋" w:hAnsi="仿宋" w:eastAsia="仿宋"/>
          <w:sz w:val="32"/>
          <w:szCs w:val="32"/>
        </w:rPr>
        <w:t>）和第二阶段（路演展示与答辩）。</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1. 初赛阶段，团体赛应用场景申报不限数量，各单位均可组队报名，每个团队由2-5人组成。各团队按照申报要求，结合本单位主营业务范围及业务场景，提交AI智能体搭建的初步设想方案。初步设想方案的格式、命名及提交渠道按竞赛报名通知执行。竞赛组委会将按工业应用组和通用办公组分别选出入围决赛的队伍</w:t>
      </w:r>
      <w:r>
        <w:rPr>
          <w:rFonts w:hint="eastAsia" w:ascii="仿宋" w:hAnsi="仿宋" w:eastAsia="仿宋"/>
          <w:sz w:val="32"/>
          <w:szCs w:val="32"/>
          <w:lang w:eastAsia="zh-CN"/>
        </w:rPr>
        <w:t>（</w:t>
      </w:r>
      <w:r>
        <w:rPr>
          <w:rFonts w:hint="eastAsia" w:ascii="仿宋" w:hAnsi="仿宋" w:eastAsia="仿宋"/>
          <w:sz w:val="32"/>
          <w:szCs w:val="32"/>
          <w:lang w:val="en-US" w:eastAsia="zh-CN"/>
        </w:rPr>
        <w:t>每个赛道不超过6支队伍</w:t>
      </w:r>
      <w:r>
        <w:rPr>
          <w:rFonts w:hint="eastAsia" w:ascii="仿宋" w:hAnsi="仿宋" w:eastAsia="仿宋"/>
          <w:sz w:val="32"/>
          <w:szCs w:val="32"/>
          <w:lang w:eastAsia="zh-CN"/>
        </w:rPr>
        <w:t>）</w:t>
      </w:r>
      <w:r>
        <w:rPr>
          <w:rFonts w:ascii="仿宋" w:hAnsi="仿宋" w:eastAsia="仿宋"/>
          <w:sz w:val="32"/>
          <w:szCs w:val="32"/>
        </w:rPr>
        <w:t>。如</w:t>
      </w:r>
      <w:r>
        <w:rPr>
          <w:rFonts w:hint="eastAsia" w:ascii="仿宋" w:hAnsi="仿宋" w:eastAsia="仿宋"/>
          <w:sz w:val="32"/>
          <w:szCs w:val="32"/>
          <w:lang w:val="en-US" w:eastAsia="zh-CN"/>
        </w:rPr>
        <w:t>不</w:t>
      </w:r>
      <w:r>
        <w:rPr>
          <w:rFonts w:ascii="仿宋" w:hAnsi="仿宋" w:eastAsia="仿宋"/>
          <w:sz w:val="32"/>
          <w:szCs w:val="32"/>
        </w:rPr>
        <w:t>开展</w:t>
      </w:r>
      <w:r>
        <w:rPr>
          <w:rFonts w:hint="eastAsia" w:ascii="仿宋" w:hAnsi="仿宋" w:eastAsia="仿宋"/>
          <w:sz w:val="32"/>
          <w:szCs w:val="32"/>
          <w:lang w:val="en-US" w:eastAsia="zh-CN"/>
        </w:rPr>
        <w:t>初赛</w:t>
      </w:r>
      <w:r>
        <w:rPr>
          <w:rFonts w:hint="eastAsia"/>
          <w:sz w:val="32"/>
          <w:szCs w:val="32"/>
          <w:lang w:val="en-US" w:eastAsia="zh-CN"/>
        </w:rPr>
        <w:t>，</w:t>
      </w:r>
      <w:r>
        <w:rPr>
          <w:rFonts w:ascii="仿宋" w:hAnsi="仿宋" w:eastAsia="仿宋"/>
          <w:sz w:val="32"/>
          <w:szCs w:val="32"/>
        </w:rPr>
        <w:t>报名队伍直接进入决赛第一阶段</w:t>
      </w:r>
      <w:r>
        <w:rPr>
          <w:rFonts w:hint="eastAsia" w:ascii="仿宋" w:hAnsi="仿宋" w:eastAsia="仿宋"/>
          <w:sz w:val="32"/>
          <w:szCs w:val="32"/>
          <w:lang w:eastAsia="zh-CN"/>
        </w:rPr>
        <w:t>。</w:t>
      </w:r>
      <w:r>
        <w:rPr>
          <w:rFonts w:ascii="仿宋" w:hAnsi="仿宋" w:eastAsia="仿宋"/>
          <w:sz w:val="32"/>
          <w:szCs w:val="32"/>
        </w:rPr>
        <w:t>是否</w:t>
      </w:r>
      <w:r>
        <w:rPr>
          <w:rFonts w:hint="eastAsia" w:ascii="仿宋" w:hAnsi="仿宋" w:eastAsia="仿宋"/>
          <w:sz w:val="32"/>
          <w:szCs w:val="32"/>
          <w:lang w:val="en-US" w:eastAsia="zh-CN"/>
        </w:rPr>
        <w:t>开展初赛</w:t>
      </w:r>
      <w:r>
        <w:rPr>
          <w:rFonts w:ascii="仿宋" w:hAnsi="仿宋" w:eastAsia="仿宋"/>
          <w:sz w:val="32"/>
          <w:szCs w:val="32"/>
        </w:rPr>
        <w:t>由竞赛组委会根据报名队伍数量确定。</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2. 决赛第一阶段：进入决赛的队伍需在指定时间内（暂定1个月，具体起止时间由竞赛组委会另行通知）使用竞赛规定的智能体平台完成所申报AI智能体的搭建（搭建期开始前，由竞赛组委会向各参赛队伍通知智能体平台账号及接入方式，并在搭建期间提供必要的技术支持），并向组委会提交参赛作品及相关材料说明（含智能体成果展示录屏、技术说明文档、应用场景说明等）。决赛第一阶段采用材料评审方式，由评审专家组依据材料评审标准进行打分排序，按工业应用组和通用办公组每个赛道分别评选出不超过3支队伍（合计不超过6支）入围决赛第二阶段。</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3. 决赛第二阶段：入围第二阶段的队伍（不超过6支）进行现场路演展示与答辩。路演展示环节，各参赛队伍重点演示智能体的实际运行效果、业务价值体现及推广应用前景；答辩环节，由评审专家组针对技术实现细节、创新亮点等进行现场提问，参赛队伍进行回答。由评审专家组根据路演与答辩评审标准进行综合评分，按赛道得分高低角逐一等奖、二等奖、三等奖。</w:t>
      </w:r>
    </w:p>
    <w:p>
      <w:pPr>
        <w:keepNext w:val="0"/>
        <w:keepLines w:val="0"/>
        <w:pageBreakBefore w:val="0"/>
        <w:widowControl/>
        <w:tabs>
          <w:tab w:val="center" w:pos="4744"/>
        </w:tabs>
        <w:kinsoku/>
        <w:wordWrap/>
        <w:overflowPunct/>
        <w:topLinePunct w:val="0"/>
        <w:autoSpaceDE/>
        <w:autoSpaceDN/>
        <w:bidi w:val="0"/>
        <w:adjustRightInd/>
        <w:snapToGrid/>
        <w:spacing w:line="360" w:lineRule="auto"/>
        <w:ind w:left="0" w:leftChars="0" w:firstLine="640" w:firstLineChars="200"/>
        <w:textAlignment w:val="auto"/>
        <w:rPr>
          <w:rFonts w:hint="eastAsia" w:ascii="方正黑体简体" w:hAnsi="方正黑体简体" w:eastAsia="方正黑体简体" w:cs="方正黑体简体"/>
          <w:sz w:val="32"/>
          <w:szCs w:val="32"/>
          <w:highlight w:val="none"/>
          <w:lang w:eastAsia="zh-CN"/>
        </w:rPr>
      </w:pPr>
      <w:r>
        <w:rPr>
          <w:rFonts w:hint="eastAsia" w:ascii="方正黑体简体" w:hAnsi="方正黑体简体" w:eastAsia="方正黑体简体" w:cs="方正黑体简体"/>
          <w:sz w:val="32"/>
          <w:szCs w:val="32"/>
          <w:highlight w:val="none"/>
          <w:lang w:eastAsia="zh-CN"/>
        </w:rPr>
        <w:t>四、竞赛内容</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（一）个人赛竞赛内容</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个人赛初赛（如开展）考核内容为理论知识，主要涵盖以下知识领域：</w:t>
      </w:r>
    </w:p>
    <w:p>
      <w:pPr>
        <w:spacing w:line="560" w:lineRule="exact"/>
        <w:ind w:firstLine="0"/>
        <w:jc w:val="center"/>
      </w:pPr>
      <w:r>
        <w:rPr>
          <w:rFonts w:ascii="仿宋" w:hAnsi="仿宋" w:eastAsia="仿宋"/>
          <w:sz w:val="28"/>
        </w:rPr>
        <w:t>表1  个人赛初赛考核内容大纲</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88"/>
        <w:gridCol w:w="3353"/>
        <w:gridCol w:w="68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shd w:val="clear" w:color="auto" w:fill="D9E2F3"/>
          </w:tcPr>
          <w:p>
            <w:pPr>
              <w:spacing w:before="40" w:after="40" w:line="400" w:lineRule="exact"/>
              <w:ind w:firstLine="0"/>
              <w:jc w:val="center"/>
            </w:pPr>
            <w:r>
              <w:rPr>
                <w:rFonts w:ascii="黑体" w:hAnsi="黑体" w:eastAsia="黑体"/>
                <w:b/>
                <w:sz w:val="22"/>
              </w:rPr>
              <w:t>序号</w:t>
            </w:r>
          </w:p>
        </w:tc>
        <w:tc>
          <w:tcPr>
            <w:tcW w:w="1588" w:type="dxa"/>
            <w:shd w:val="clear" w:color="auto" w:fill="D9E2F3"/>
          </w:tcPr>
          <w:p>
            <w:pPr>
              <w:spacing w:before="40" w:after="40" w:line="400" w:lineRule="exact"/>
              <w:ind w:firstLine="0"/>
              <w:jc w:val="center"/>
            </w:pPr>
            <w:r>
              <w:rPr>
                <w:rFonts w:ascii="黑体" w:hAnsi="黑体" w:eastAsia="黑体"/>
                <w:b/>
                <w:sz w:val="22"/>
              </w:rPr>
              <w:t>考核模块</w:t>
            </w:r>
          </w:p>
        </w:tc>
        <w:tc>
          <w:tcPr>
            <w:tcW w:w="3353" w:type="dxa"/>
            <w:shd w:val="clear" w:color="auto" w:fill="D9E2F3"/>
          </w:tcPr>
          <w:p>
            <w:pPr>
              <w:spacing w:before="40" w:after="40" w:line="400" w:lineRule="exact"/>
              <w:ind w:firstLine="0"/>
              <w:jc w:val="center"/>
            </w:pPr>
            <w:r>
              <w:rPr>
                <w:rFonts w:ascii="黑体" w:hAnsi="黑体" w:eastAsia="黑体"/>
                <w:b/>
                <w:sz w:val="22"/>
              </w:rPr>
              <w:t>考核内容</w:t>
            </w:r>
          </w:p>
        </w:tc>
        <w:tc>
          <w:tcPr>
            <w:tcW w:w="680" w:type="dxa"/>
            <w:shd w:val="clear" w:color="auto" w:fill="D9E2F3"/>
          </w:tcPr>
          <w:p>
            <w:pPr>
              <w:spacing w:before="40" w:after="40" w:line="400" w:lineRule="exact"/>
              <w:ind w:firstLine="0"/>
              <w:jc w:val="center"/>
            </w:pPr>
            <w:r>
              <w:rPr>
                <w:rFonts w:ascii="黑体" w:hAnsi="黑体" w:eastAsia="黑体"/>
                <w:b/>
                <w:sz w:val="22"/>
              </w:rPr>
              <w:t>占比</w:t>
            </w:r>
          </w:p>
        </w:tc>
        <w:tc>
          <w:tcPr>
            <w:tcW w:w="850" w:type="dxa"/>
            <w:shd w:val="clear" w:color="auto" w:fill="D9E2F3"/>
          </w:tcPr>
          <w:p>
            <w:pPr>
              <w:spacing w:before="40" w:after="40" w:line="400" w:lineRule="exact"/>
              <w:ind w:firstLine="0"/>
              <w:jc w:val="center"/>
            </w:pPr>
            <w:r>
              <w:rPr>
                <w:rFonts w:ascii="黑体" w:hAnsi="黑体" w:eastAsia="黑体"/>
                <w:b/>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Pr>
          <w:p>
            <w:pPr>
              <w:spacing w:before="40" w:after="40" w:line="400" w:lineRule="exact"/>
              <w:ind w:firstLine="0"/>
              <w:jc w:val="center"/>
            </w:pPr>
            <w:r>
              <w:rPr>
                <w:rFonts w:ascii="仿宋" w:hAnsi="仿宋" w:eastAsia="仿宋"/>
                <w:b w:val="0"/>
                <w:sz w:val="22"/>
              </w:rPr>
              <w:t>1</w:t>
            </w:r>
          </w:p>
        </w:tc>
        <w:tc>
          <w:tcPr>
            <w:tcW w:w="1588" w:type="dxa"/>
            <w:vAlign w:val="top"/>
          </w:tcPr>
          <w:p>
            <w:pPr>
              <w:spacing w:before="40" w:after="40" w:line="400" w:lineRule="exact"/>
              <w:ind w:firstLine="0" w:firstLineChars="0"/>
              <w:jc w:val="left"/>
            </w:pPr>
            <w:r>
              <w:rPr>
                <w:rFonts w:ascii="仿宋" w:hAnsi="仿宋" w:eastAsia="仿宋"/>
                <w:b w:val="0"/>
                <w:sz w:val="22"/>
              </w:rPr>
              <w:t>低代码基础概念</w:t>
            </w:r>
          </w:p>
        </w:tc>
        <w:tc>
          <w:tcPr>
            <w:tcW w:w="3353" w:type="dxa"/>
            <w:vAlign w:val="top"/>
          </w:tcPr>
          <w:p>
            <w:pPr>
              <w:spacing w:before="40" w:after="40" w:line="400" w:lineRule="exact"/>
              <w:ind w:firstLine="0" w:firstLineChars="0"/>
              <w:jc w:val="left"/>
            </w:pPr>
            <w:r>
              <w:rPr>
                <w:rFonts w:ascii="仿宋" w:hAnsi="仿宋" w:eastAsia="仿宋"/>
                <w:b w:val="0"/>
                <w:sz w:val="22"/>
              </w:rPr>
              <w:t>低代码平台的基本概念、架构原理、技术特点、适用场景及与传统开发的差异对比</w:t>
            </w:r>
          </w:p>
        </w:tc>
        <w:tc>
          <w:tcPr>
            <w:tcW w:w="680" w:type="dxa"/>
          </w:tcPr>
          <w:p>
            <w:pPr>
              <w:spacing w:before="40" w:after="40" w:line="400" w:lineRule="exact"/>
              <w:ind w:firstLine="0"/>
              <w:jc w:val="left"/>
            </w:pPr>
            <w:r>
              <w:rPr>
                <w:rFonts w:ascii="仿宋" w:hAnsi="仿宋" w:eastAsia="仿宋"/>
                <w:b w:val="0"/>
                <w:sz w:val="22"/>
              </w:rPr>
              <w:t>10%</w:t>
            </w:r>
          </w:p>
        </w:tc>
        <w:tc>
          <w:tcPr>
            <w:tcW w:w="850" w:type="dxa"/>
          </w:tcPr>
          <w:p>
            <w:pPr>
              <w:spacing w:before="40" w:after="40" w:line="400" w:lineRule="exact"/>
              <w:ind w:firstLine="0"/>
              <w:jc w:val="left"/>
            </w:pPr>
            <w:r>
              <w:rPr>
                <w:rFonts w:ascii="仿宋" w:hAnsi="仿宋" w:eastAsia="仿宋"/>
                <w:b w:val="0"/>
                <w:sz w:val="22"/>
              </w:rPr>
              <w:t>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Pr>
          <w:p>
            <w:pPr>
              <w:spacing w:before="40" w:after="40" w:line="400" w:lineRule="exact"/>
              <w:ind w:firstLine="0"/>
              <w:jc w:val="center"/>
            </w:pPr>
            <w:r>
              <w:rPr>
                <w:rFonts w:ascii="仿宋" w:hAnsi="仿宋" w:eastAsia="仿宋"/>
                <w:b w:val="0"/>
                <w:sz w:val="22"/>
              </w:rPr>
              <w:t>2</w:t>
            </w:r>
          </w:p>
        </w:tc>
        <w:tc>
          <w:tcPr>
            <w:tcW w:w="1588" w:type="dxa"/>
            <w:vAlign w:val="top"/>
          </w:tcPr>
          <w:p>
            <w:pPr>
              <w:spacing w:before="40" w:after="40" w:line="400" w:lineRule="exact"/>
              <w:ind w:firstLine="0" w:firstLineChars="0"/>
              <w:jc w:val="left"/>
            </w:pPr>
            <w:r>
              <w:rPr>
                <w:rFonts w:ascii="仿宋" w:hAnsi="仿宋" w:eastAsia="仿宋"/>
                <w:b w:val="0"/>
                <w:sz w:val="22"/>
              </w:rPr>
              <w:t>平台操作基础</w:t>
            </w:r>
          </w:p>
        </w:tc>
        <w:tc>
          <w:tcPr>
            <w:tcW w:w="3353" w:type="dxa"/>
            <w:vAlign w:val="top"/>
          </w:tcPr>
          <w:p>
            <w:pPr>
              <w:spacing w:before="40" w:after="40" w:line="400" w:lineRule="exact"/>
              <w:ind w:firstLine="0" w:firstLineChars="0"/>
              <w:jc w:val="left"/>
            </w:pPr>
            <w:r>
              <w:rPr>
                <w:rFonts w:ascii="仿宋" w:hAnsi="仿宋" w:eastAsia="仿宋"/>
                <w:b w:val="0"/>
                <w:sz w:val="22"/>
              </w:rPr>
              <w:t>指定低代码平台的功能模块、操作界面、组件库、</w:t>
            </w:r>
            <w:r>
              <w:rPr>
                <w:b w:val="0"/>
                <w:sz w:val="22"/>
              </w:rPr>
              <w:t>字段与表单设计、</w:t>
            </w:r>
            <w:r>
              <w:rPr>
                <w:rFonts w:ascii="仿宋" w:hAnsi="仿宋" w:eastAsia="仿宋"/>
                <w:b w:val="0"/>
                <w:sz w:val="22"/>
              </w:rPr>
              <w:t>数据源配置、页面设计</w:t>
            </w:r>
            <w:r>
              <w:rPr>
                <w:b w:val="0"/>
                <w:sz w:val="22"/>
              </w:rPr>
              <w:t>、应用发布、应用权限</w:t>
            </w:r>
            <w:r>
              <w:rPr>
                <w:rFonts w:ascii="仿宋" w:hAnsi="仿宋" w:eastAsia="仿宋"/>
                <w:b w:val="0"/>
                <w:sz w:val="22"/>
              </w:rPr>
              <w:t>等基础操作知识</w:t>
            </w:r>
          </w:p>
        </w:tc>
        <w:tc>
          <w:tcPr>
            <w:tcW w:w="680" w:type="dxa"/>
          </w:tcPr>
          <w:p>
            <w:pPr>
              <w:spacing w:before="40" w:after="40" w:line="400" w:lineRule="exact"/>
              <w:ind w:firstLine="0"/>
              <w:jc w:val="left"/>
            </w:pPr>
            <w:r>
              <w:rPr>
                <w:rFonts w:ascii="仿宋" w:hAnsi="仿宋" w:eastAsia="仿宋"/>
                <w:b w:val="0"/>
                <w:sz w:val="22"/>
              </w:rPr>
              <w:t>30%</w:t>
            </w:r>
          </w:p>
        </w:tc>
        <w:tc>
          <w:tcPr>
            <w:tcW w:w="850" w:type="dxa"/>
          </w:tcPr>
          <w:p>
            <w:pPr>
              <w:spacing w:before="40" w:after="40" w:line="400" w:lineRule="exact"/>
              <w:ind w:firstLine="0"/>
              <w:jc w:val="left"/>
            </w:pPr>
            <w:r>
              <w:rPr>
                <w:rFonts w:ascii="仿宋" w:hAnsi="仿宋" w:eastAsia="仿宋"/>
                <w:b w:val="0"/>
                <w:sz w:val="22"/>
              </w:rPr>
              <w:t>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0" w:type="dxa"/>
          </w:tcPr>
          <w:p>
            <w:pPr>
              <w:spacing w:before="40" w:after="40" w:line="400" w:lineRule="exact"/>
              <w:ind w:firstLine="0"/>
              <w:jc w:val="center"/>
            </w:pPr>
            <w:r>
              <w:rPr>
                <w:rFonts w:ascii="仿宋" w:hAnsi="仿宋" w:eastAsia="仿宋"/>
                <w:b w:val="0"/>
                <w:sz w:val="22"/>
              </w:rPr>
              <w:t>3</w:t>
            </w:r>
          </w:p>
        </w:tc>
        <w:tc>
          <w:tcPr>
            <w:tcW w:w="1588" w:type="dxa"/>
            <w:vAlign w:val="top"/>
          </w:tcPr>
          <w:p>
            <w:pPr>
              <w:spacing w:before="40" w:after="40" w:line="400" w:lineRule="exact"/>
              <w:ind w:firstLine="0" w:firstLineChars="0"/>
              <w:jc w:val="left"/>
            </w:pPr>
            <w:r>
              <w:rPr>
                <w:rFonts w:ascii="仿宋" w:hAnsi="仿宋" w:eastAsia="仿宋"/>
                <w:b w:val="0"/>
                <w:sz w:val="22"/>
              </w:rPr>
              <w:t>流程与逻辑配置</w:t>
            </w:r>
          </w:p>
        </w:tc>
        <w:tc>
          <w:tcPr>
            <w:tcW w:w="3353" w:type="dxa"/>
            <w:vAlign w:val="top"/>
          </w:tcPr>
          <w:p>
            <w:pPr>
              <w:spacing w:before="40" w:after="40" w:line="400" w:lineRule="exact"/>
              <w:ind w:firstLine="0" w:firstLineChars="0"/>
              <w:jc w:val="left"/>
            </w:pPr>
            <w:r>
              <w:rPr>
                <w:rFonts w:ascii="仿宋" w:hAnsi="仿宋" w:eastAsia="仿宋"/>
                <w:b w:val="0"/>
                <w:sz w:val="22"/>
              </w:rPr>
              <w:t>业务流程设计、工作流配置、逻辑规则设定、条件判断与自动化触发等知识</w:t>
            </w:r>
          </w:p>
        </w:tc>
        <w:tc>
          <w:tcPr>
            <w:tcW w:w="680" w:type="dxa"/>
          </w:tcPr>
          <w:p>
            <w:pPr>
              <w:spacing w:before="40" w:after="40" w:line="400" w:lineRule="exact"/>
              <w:ind w:firstLine="0"/>
              <w:jc w:val="left"/>
            </w:pPr>
            <w:r>
              <w:rPr>
                <w:rFonts w:ascii="仿宋" w:hAnsi="仿宋" w:eastAsia="仿宋"/>
                <w:b w:val="0"/>
                <w:sz w:val="22"/>
              </w:rPr>
              <w:t>30%</w:t>
            </w:r>
          </w:p>
        </w:tc>
        <w:tc>
          <w:tcPr>
            <w:tcW w:w="850" w:type="dxa"/>
          </w:tcPr>
          <w:p>
            <w:pPr>
              <w:spacing w:before="40" w:after="40" w:line="400" w:lineRule="exact"/>
              <w:ind w:firstLine="0"/>
              <w:jc w:val="left"/>
            </w:pPr>
            <w:r>
              <w:rPr>
                <w:rFonts w:ascii="仿宋" w:hAnsi="仿宋" w:eastAsia="仿宋"/>
                <w:b w:val="0"/>
                <w:sz w:val="22"/>
              </w:rPr>
              <w:t>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Pr>
          <w:p>
            <w:pPr>
              <w:spacing w:before="40" w:after="40" w:line="400" w:lineRule="exact"/>
              <w:ind w:firstLine="0"/>
              <w:jc w:val="center"/>
            </w:pPr>
            <w:r>
              <w:rPr>
                <w:rFonts w:ascii="仿宋" w:hAnsi="仿宋" w:eastAsia="仿宋"/>
                <w:b w:val="0"/>
                <w:sz w:val="22"/>
              </w:rPr>
              <w:t>4</w:t>
            </w:r>
          </w:p>
        </w:tc>
        <w:tc>
          <w:tcPr>
            <w:tcW w:w="1588" w:type="dxa"/>
            <w:vAlign w:val="top"/>
          </w:tcPr>
          <w:p>
            <w:pPr>
              <w:spacing w:before="40" w:after="40" w:line="400" w:lineRule="exact"/>
              <w:ind w:firstLine="0" w:firstLineChars="0"/>
              <w:jc w:val="left"/>
            </w:pPr>
            <w:r>
              <w:rPr>
                <w:rFonts w:ascii="仿宋" w:hAnsi="仿宋" w:eastAsia="仿宋"/>
                <w:b w:val="0"/>
                <w:sz w:val="22"/>
              </w:rPr>
              <w:t>数据处理与分析</w:t>
            </w:r>
          </w:p>
        </w:tc>
        <w:tc>
          <w:tcPr>
            <w:tcW w:w="3353" w:type="dxa"/>
            <w:vAlign w:val="top"/>
          </w:tcPr>
          <w:p>
            <w:pPr>
              <w:spacing w:before="40" w:after="40" w:line="400" w:lineRule="exact"/>
              <w:ind w:firstLine="0" w:firstLineChars="0"/>
              <w:jc w:val="left"/>
            </w:pPr>
            <w:r>
              <w:rPr>
                <w:rFonts w:ascii="仿宋" w:hAnsi="仿宋" w:eastAsia="仿宋"/>
                <w:b w:val="0"/>
                <w:sz w:val="22"/>
              </w:rPr>
              <w:t>数据模型设计、数据关联、报表配置、数据可视化与仪表盘搭建等知识</w:t>
            </w:r>
          </w:p>
        </w:tc>
        <w:tc>
          <w:tcPr>
            <w:tcW w:w="680" w:type="dxa"/>
          </w:tcPr>
          <w:p>
            <w:pPr>
              <w:spacing w:before="40" w:after="40" w:line="400" w:lineRule="exact"/>
              <w:ind w:firstLine="0"/>
              <w:jc w:val="left"/>
            </w:pPr>
            <w:r>
              <w:rPr>
                <w:rFonts w:ascii="仿宋" w:hAnsi="仿宋" w:eastAsia="仿宋"/>
                <w:b w:val="0"/>
                <w:sz w:val="22"/>
              </w:rPr>
              <w:t>20%</w:t>
            </w:r>
          </w:p>
        </w:tc>
        <w:tc>
          <w:tcPr>
            <w:tcW w:w="850" w:type="dxa"/>
          </w:tcPr>
          <w:p>
            <w:pPr>
              <w:spacing w:before="40" w:after="40" w:line="400" w:lineRule="exact"/>
              <w:ind w:firstLine="0"/>
              <w:jc w:val="left"/>
            </w:pPr>
            <w:r>
              <w:rPr>
                <w:rFonts w:ascii="仿宋" w:hAnsi="仿宋" w:eastAsia="仿宋"/>
                <w:b w:val="0"/>
                <w:sz w:val="22"/>
              </w:rPr>
              <w:t>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Pr>
          <w:p>
            <w:pPr>
              <w:spacing w:before="40" w:after="40" w:line="400" w:lineRule="exact"/>
              <w:ind w:firstLine="0"/>
              <w:jc w:val="center"/>
            </w:pPr>
            <w:r>
              <w:rPr>
                <w:rFonts w:ascii="仿宋" w:hAnsi="仿宋" w:eastAsia="仿宋"/>
                <w:b w:val="0"/>
                <w:sz w:val="22"/>
              </w:rPr>
              <w:t>5</w:t>
            </w:r>
          </w:p>
        </w:tc>
        <w:tc>
          <w:tcPr>
            <w:tcW w:w="1588" w:type="dxa"/>
            <w:vAlign w:val="top"/>
          </w:tcPr>
          <w:p>
            <w:pPr>
              <w:spacing w:before="40" w:after="40" w:line="400" w:lineRule="exact"/>
              <w:ind w:firstLine="0" w:firstLineChars="0"/>
              <w:jc w:val="left"/>
            </w:pPr>
            <w:r>
              <w:rPr>
                <w:rFonts w:ascii="仿宋" w:hAnsi="仿宋" w:eastAsia="仿宋"/>
                <w:b w:val="0"/>
                <w:sz w:val="22"/>
              </w:rPr>
              <w:t>数字化应用安全与规范</w:t>
            </w:r>
          </w:p>
        </w:tc>
        <w:tc>
          <w:tcPr>
            <w:tcW w:w="3353" w:type="dxa"/>
            <w:vAlign w:val="top"/>
          </w:tcPr>
          <w:p>
            <w:pPr>
              <w:spacing w:before="40" w:after="40" w:line="400" w:lineRule="exact"/>
              <w:ind w:firstLine="0" w:firstLineChars="0"/>
              <w:jc w:val="left"/>
            </w:pPr>
            <w:r>
              <w:rPr>
                <w:rFonts w:ascii="仿宋" w:hAnsi="仿宋" w:eastAsia="仿宋"/>
                <w:b w:val="0"/>
                <w:sz w:val="22"/>
              </w:rPr>
              <w:t>数据安全、合规要求、最佳实践与行业标准等</w:t>
            </w:r>
          </w:p>
        </w:tc>
        <w:tc>
          <w:tcPr>
            <w:tcW w:w="680" w:type="dxa"/>
          </w:tcPr>
          <w:p>
            <w:pPr>
              <w:spacing w:before="40" w:after="40" w:line="400" w:lineRule="exact"/>
              <w:ind w:firstLine="0"/>
              <w:jc w:val="left"/>
            </w:pPr>
            <w:r>
              <w:rPr>
                <w:rFonts w:ascii="仿宋" w:hAnsi="仿宋" w:eastAsia="仿宋"/>
                <w:b w:val="0"/>
                <w:sz w:val="22"/>
              </w:rPr>
              <w:t>10%</w:t>
            </w:r>
          </w:p>
        </w:tc>
        <w:tc>
          <w:tcPr>
            <w:tcW w:w="850" w:type="dxa"/>
          </w:tcPr>
          <w:p>
            <w:pPr>
              <w:spacing w:before="40" w:after="40" w:line="400" w:lineRule="exact"/>
              <w:ind w:firstLine="0"/>
              <w:jc w:val="left"/>
            </w:pPr>
            <w:r>
              <w:rPr>
                <w:rFonts w:ascii="仿宋" w:hAnsi="仿宋" w:eastAsia="仿宋"/>
                <w:b w:val="0"/>
                <w:sz w:val="22"/>
              </w:rPr>
              <w:t>理论知识</w:t>
            </w:r>
          </w:p>
        </w:tc>
      </w:tr>
    </w:tbl>
    <w:p>
      <w:pPr>
        <w:spacing w:line="120" w:lineRule="exact"/>
        <w:ind w:firstLine="0"/>
      </w:pP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个人赛决赛为实操竞赛，主要考核选手运用低代码平台完成业务场景应用搭建的实操能力。考核内容大纲如下：</w:t>
      </w:r>
    </w:p>
    <w:p>
      <w:pPr>
        <w:spacing w:line="560" w:lineRule="exact"/>
        <w:ind w:firstLine="0"/>
        <w:jc w:val="center"/>
      </w:pPr>
      <w:r>
        <w:rPr>
          <w:rFonts w:ascii="仿宋" w:hAnsi="仿宋" w:eastAsia="仿宋"/>
          <w:sz w:val="28"/>
        </w:rPr>
        <w:t>表2  个人赛决赛考核内容大纲</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23"/>
        <w:gridCol w:w="3650"/>
        <w:gridCol w:w="68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shd w:val="clear" w:color="auto" w:fill="D9E2F3"/>
          </w:tcPr>
          <w:p>
            <w:pPr>
              <w:spacing w:before="40" w:after="40" w:line="400" w:lineRule="exact"/>
              <w:ind w:firstLine="0"/>
              <w:jc w:val="center"/>
            </w:pPr>
            <w:r>
              <w:rPr>
                <w:rFonts w:ascii="黑体" w:hAnsi="黑体" w:eastAsia="黑体"/>
                <w:b/>
                <w:sz w:val="22"/>
              </w:rPr>
              <w:t>序号</w:t>
            </w:r>
          </w:p>
        </w:tc>
        <w:tc>
          <w:tcPr>
            <w:tcW w:w="1323" w:type="dxa"/>
            <w:shd w:val="clear" w:color="auto" w:fill="D9E2F3"/>
          </w:tcPr>
          <w:p>
            <w:pPr>
              <w:spacing w:before="40" w:after="40" w:line="400" w:lineRule="exact"/>
              <w:ind w:firstLine="0"/>
              <w:jc w:val="center"/>
              <w:rPr>
                <w:rFonts w:hint="eastAsia" w:eastAsia="黑体"/>
                <w:lang w:val="en-US" w:eastAsia="zh-CN"/>
              </w:rPr>
            </w:pPr>
            <w:r>
              <w:rPr>
                <w:rFonts w:ascii="黑体" w:hAnsi="黑体" w:eastAsia="黑体"/>
                <w:b/>
                <w:sz w:val="22"/>
              </w:rPr>
              <w:t>考核</w:t>
            </w:r>
            <w:r>
              <w:rPr>
                <w:rFonts w:hint="eastAsia" w:ascii="黑体" w:hAnsi="黑体" w:eastAsia="黑体"/>
                <w:b/>
                <w:sz w:val="22"/>
                <w:lang w:val="en-US" w:eastAsia="zh-CN"/>
              </w:rPr>
              <w:t>维度</w:t>
            </w:r>
          </w:p>
        </w:tc>
        <w:tc>
          <w:tcPr>
            <w:tcW w:w="3650" w:type="dxa"/>
            <w:shd w:val="clear" w:color="auto" w:fill="D9E2F3"/>
          </w:tcPr>
          <w:p>
            <w:pPr>
              <w:spacing w:before="40" w:after="40" w:line="400" w:lineRule="exact"/>
              <w:ind w:firstLine="0"/>
              <w:jc w:val="center"/>
            </w:pPr>
            <w:r>
              <w:rPr>
                <w:rFonts w:ascii="黑体" w:hAnsi="黑体" w:eastAsia="黑体"/>
                <w:b/>
                <w:sz w:val="22"/>
              </w:rPr>
              <w:t>考核内容与要求</w:t>
            </w:r>
          </w:p>
        </w:tc>
        <w:tc>
          <w:tcPr>
            <w:tcW w:w="680" w:type="dxa"/>
            <w:shd w:val="clear" w:color="auto" w:fill="D9E2F3"/>
          </w:tcPr>
          <w:p>
            <w:pPr>
              <w:spacing w:before="40" w:after="40" w:line="400" w:lineRule="exact"/>
              <w:ind w:firstLine="0"/>
              <w:jc w:val="center"/>
            </w:pPr>
            <w:r>
              <w:rPr>
                <w:rFonts w:ascii="黑体" w:hAnsi="黑体" w:eastAsia="黑体"/>
                <w:b/>
                <w:sz w:val="22"/>
              </w:rPr>
              <w:t>分值</w:t>
            </w:r>
          </w:p>
        </w:tc>
        <w:tc>
          <w:tcPr>
            <w:tcW w:w="850" w:type="dxa"/>
            <w:shd w:val="clear" w:color="auto" w:fill="D9E2F3"/>
          </w:tcPr>
          <w:p>
            <w:pPr>
              <w:spacing w:before="40" w:after="40" w:line="400" w:lineRule="exact"/>
              <w:ind w:firstLine="0"/>
              <w:jc w:val="center"/>
            </w:pPr>
            <w:r>
              <w:rPr>
                <w:rFonts w:ascii="黑体" w:hAnsi="黑体" w:eastAsia="黑体"/>
                <w:b/>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tcPr>
          <w:p>
            <w:pPr>
              <w:spacing w:before="40" w:after="40" w:line="400" w:lineRule="exact"/>
              <w:ind w:firstLine="0"/>
              <w:jc w:val="center"/>
            </w:pPr>
            <w:r>
              <w:rPr>
                <w:rFonts w:ascii="仿宋" w:hAnsi="仿宋" w:eastAsia="仿宋"/>
                <w:b w:val="0"/>
                <w:sz w:val="22"/>
              </w:rPr>
              <w:t>1</w:t>
            </w:r>
          </w:p>
        </w:tc>
        <w:tc>
          <w:tcPr>
            <w:tcW w:w="1323" w:type="dxa"/>
            <w:vAlign w:val="top"/>
          </w:tcPr>
          <w:p>
            <w:pPr>
              <w:spacing w:before="40" w:after="40" w:line="400" w:lineRule="exact"/>
              <w:ind w:firstLine="0" w:firstLineChars="0"/>
              <w:jc w:val="left"/>
            </w:pPr>
            <w:r>
              <w:rPr>
                <w:b w:val="0"/>
                <w:sz w:val="22"/>
              </w:rPr>
              <w:t>表单</w:t>
            </w:r>
            <w:r>
              <w:rPr>
                <w:rFonts w:ascii="仿宋" w:hAnsi="仿宋" w:eastAsia="仿宋"/>
                <w:b w:val="0"/>
                <w:sz w:val="22"/>
              </w:rPr>
              <w:t>设计与搭建</w:t>
            </w:r>
          </w:p>
        </w:tc>
        <w:tc>
          <w:tcPr>
            <w:tcW w:w="3650" w:type="dxa"/>
            <w:vAlign w:val="top"/>
          </w:tcPr>
          <w:p>
            <w:pPr>
              <w:spacing w:before="40" w:after="40" w:line="400" w:lineRule="exact"/>
              <w:ind w:firstLine="0" w:firstLineChars="0"/>
              <w:jc w:val="left"/>
            </w:pPr>
            <w:r>
              <w:rPr>
                <w:rFonts w:ascii="仿宋" w:hAnsi="仿宋" w:eastAsia="仿宋"/>
                <w:b w:val="0"/>
                <w:sz w:val="22"/>
              </w:rPr>
              <w:t>根据命题要求，使用低代码平台完成</w:t>
            </w:r>
            <w:r>
              <w:rPr>
                <w:b w:val="0"/>
                <w:sz w:val="22"/>
              </w:rPr>
              <w:t>字段配置、字段定义、字段类型设定、</w:t>
            </w:r>
            <w:r>
              <w:rPr>
                <w:rFonts w:ascii="仿宋" w:hAnsi="仿宋" w:eastAsia="仿宋"/>
                <w:b w:val="0"/>
                <w:sz w:val="22"/>
              </w:rPr>
              <w:t>数据关联与数据源绑定</w:t>
            </w:r>
            <w:r>
              <w:rPr>
                <w:b w:val="0"/>
                <w:sz w:val="22"/>
              </w:rPr>
              <w:t>，</w:t>
            </w:r>
            <w:r>
              <w:rPr>
                <w:rFonts w:ascii="仿宋" w:hAnsi="仿宋" w:eastAsia="仿宋"/>
                <w:b w:val="0"/>
                <w:sz w:val="22"/>
              </w:rPr>
              <w:t>要求数据结构规范、逻辑清晰</w:t>
            </w:r>
          </w:p>
        </w:tc>
        <w:tc>
          <w:tcPr>
            <w:tcW w:w="680" w:type="dxa"/>
            <w:vAlign w:val="top"/>
          </w:tcPr>
          <w:p>
            <w:pPr>
              <w:spacing w:before="40" w:after="40" w:line="400" w:lineRule="exact"/>
              <w:ind w:firstLine="0" w:firstLineChars="0"/>
              <w:jc w:val="left"/>
            </w:pPr>
            <w:r>
              <w:rPr>
                <w:b w:val="0"/>
                <w:sz w:val="22"/>
              </w:rPr>
              <w:t>15</w:t>
            </w:r>
            <w:r>
              <w:rPr>
                <w:rFonts w:ascii="仿宋" w:hAnsi="仿宋" w:eastAsia="仿宋"/>
                <w:b w:val="0"/>
                <w:sz w:val="22"/>
              </w:rPr>
              <w:t>%</w:t>
            </w:r>
          </w:p>
        </w:tc>
        <w:tc>
          <w:tcPr>
            <w:tcW w:w="850" w:type="dxa"/>
            <w:vAlign w:val="top"/>
          </w:tcPr>
          <w:p>
            <w:pPr>
              <w:spacing w:before="40" w:after="40" w:line="400" w:lineRule="exact"/>
              <w:ind w:firstLine="0" w:firstLineChars="0"/>
              <w:jc w:val="left"/>
            </w:pPr>
            <w:r>
              <w:rPr>
                <w:rFonts w:ascii="仿宋" w:hAnsi="仿宋" w:eastAsia="仿宋"/>
                <w:b w:val="0"/>
                <w:sz w:val="22"/>
              </w:rPr>
              <w:t>实际操作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tcPr>
          <w:p>
            <w:pPr>
              <w:spacing w:before="40" w:after="40" w:line="400" w:lineRule="exact"/>
              <w:ind w:firstLine="0"/>
              <w:jc w:val="center"/>
            </w:pPr>
            <w:r>
              <w:rPr>
                <w:rFonts w:ascii="仿宋" w:hAnsi="仿宋" w:eastAsia="仿宋"/>
                <w:b w:val="0"/>
                <w:sz w:val="22"/>
              </w:rPr>
              <w:t>2</w:t>
            </w:r>
          </w:p>
        </w:tc>
        <w:tc>
          <w:tcPr>
            <w:tcW w:w="1323" w:type="dxa"/>
            <w:vAlign w:val="top"/>
          </w:tcPr>
          <w:p>
            <w:pPr>
              <w:spacing w:before="40" w:after="40" w:line="400" w:lineRule="exact"/>
              <w:ind w:firstLine="0" w:firstLineChars="0"/>
              <w:jc w:val="left"/>
            </w:pPr>
            <w:r>
              <w:rPr>
                <w:b w:val="0"/>
                <w:sz w:val="22"/>
              </w:rPr>
              <w:t>页面设计与搭建</w:t>
            </w:r>
          </w:p>
        </w:tc>
        <w:tc>
          <w:tcPr>
            <w:tcW w:w="3650" w:type="dxa"/>
            <w:vAlign w:val="top"/>
          </w:tcPr>
          <w:p>
            <w:pPr>
              <w:spacing w:before="40" w:after="40" w:line="400" w:lineRule="exact"/>
              <w:ind w:firstLine="0" w:firstLineChars="0"/>
              <w:jc w:val="left"/>
            </w:pPr>
            <w:r>
              <w:rPr>
                <w:rFonts w:ascii="仿宋" w:hAnsi="仿宋" w:eastAsia="仿宋"/>
                <w:b w:val="0"/>
                <w:sz w:val="22"/>
              </w:rPr>
              <w:t>完成</w:t>
            </w:r>
            <w:r>
              <w:rPr>
                <w:b w:val="0"/>
                <w:sz w:val="22"/>
              </w:rPr>
              <w:t>页面布局、校验提醒、填写规则、组件引用</w:t>
            </w:r>
            <w:r>
              <w:rPr>
                <w:rFonts w:ascii="仿宋" w:hAnsi="仿宋" w:eastAsia="仿宋"/>
                <w:b w:val="0"/>
                <w:sz w:val="22"/>
              </w:rPr>
              <w:t>，要求</w:t>
            </w:r>
            <w:r>
              <w:rPr>
                <w:rFonts w:hint="eastAsia"/>
                <w:b w:val="0"/>
                <w:sz w:val="22"/>
                <w:lang w:val="en-US" w:eastAsia="zh-CN"/>
              </w:rPr>
              <w:t>页面功能完整、逻辑正确</w:t>
            </w:r>
          </w:p>
        </w:tc>
        <w:tc>
          <w:tcPr>
            <w:tcW w:w="680" w:type="dxa"/>
            <w:vAlign w:val="top"/>
          </w:tcPr>
          <w:p>
            <w:pPr>
              <w:spacing w:before="40" w:after="40" w:line="400" w:lineRule="exact"/>
              <w:ind w:firstLine="0" w:firstLineChars="0"/>
              <w:jc w:val="left"/>
            </w:pPr>
            <w:r>
              <w:rPr>
                <w:b w:val="0"/>
                <w:sz w:val="22"/>
              </w:rPr>
              <w:t>2</w:t>
            </w:r>
            <w:r>
              <w:rPr>
                <w:rFonts w:ascii="仿宋" w:hAnsi="仿宋" w:eastAsia="仿宋"/>
                <w:b w:val="0"/>
                <w:sz w:val="22"/>
              </w:rPr>
              <w:t>0%</w:t>
            </w:r>
          </w:p>
        </w:tc>
        <w:tc>
          <w:tcPr>
            <w:tcW w:w="850" w:type="dxa"/>
            <w:vAlign w:val="top"/>
          </w:tcPr>
          <w:p>
            <w:pPr>
              <w:spacing w:before="40" w:after="40" w:line="400" w:lineRule="exact"/>
              <w:ind w:firstLine="0" w:firstLineChars="0"/>
              <w:jc w:val="left"/>
            </w:pPr>
            <w:r>
              <w:rPr>
                <w:rFonts w:ascii="仿宋" w:hAnsi="仿宋" w:eastAsia="仿宋"/>
                <w:b w:val="0"/>
                <w:sz w:val="22"/>
              </w:rPr>
              <w:t>实际操作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4" w:type="dxa"/>
          </w:tcPr>
          <w:p>
            <w:pPr>
              <w:spacing w:before="40" w:after="40" w:line="400" w:lineRule="exact"/>
              <w:ind w:firstLine="0"/>
              <w:jc w:val="center"/>
            </w:pPr>
            <w:r>
              <w:rPr>
                <w:rFonts w:ascii="仿宋" w:hAnsi="仿宋" w:eastAsia="仿宋"/>
                <w:b w:val="0"/>
                <w:sz w:val="22"/>
              </w:rPr>
              <w:t>3</w:t>
            </w:r>
          </w:p>
        </w:tc>
        <w:tc>
          <w:tcPr>
            <w:tcW w:w="1323" w:type="dxa"/>
            <w:vAlign w:val="top"/>
          </w:tcPr>
          <w:p>
            <w:pPr>
              <w:spacing w:before="40" w:after="40" w:line="400" w:lineRule="exact"/>
              <w:ind w:firstLine="0" w:firstLineChars="0"/>
              <w:jc w:val="left"/>
            </w:pPr>
            <w:r>
              <w:rPr>
                <w:rFonts w:ascii="仿宋" w:hAnsi="仿宋" w:eastAsia="仿宋"/>
                <w:b w:val="0"/>
                <w:sz w:val="22"/>
              </w:rPr>
              <w:t>流程与业务</w:t>
            </w:r>
            <w:r>
              <w:rPr>
                <w:b w:val="0"/>
                <w:sz w:val="22"/>
              </w:rPr>
              <w:t>构建</w:t>
            </w:r>
          </w:p>
        </w:tc>
        <w:tc>
          <w:tcPr>
            <w:tcW w:w="3650" w:type="dxa"/>
            <w:vAlign w:val="top"/>
          </w:tcPr>
          <w:p>
            <w:pPr>
              <w:spacing w:before="40" w:after="40" w:line="400" w:lineRule="exact"/>
              <w:ind w:firstLine="0" w:firstLineChars="0"/>
              <w:jc w:val="left"/>
            </w:pPr>
            <w:r>
              <w:rPr>
                <w:rFonts w:ascii="仿宋" w:hAnsi="仿宋" w:eastAsia="仿宋"/>
                <w:b w:val="0"/>
                <w:sz w:val="22"/>
              </w:rPr>
              <w:t>完成业务流程配置、审批流设置、自动化规则与逻辑判断</w:t>
            </w:r>
            <w:r>
              <w:rPr>
                <w:b w:val="0"/>
                <w:sz w:val="22"/>
              </w:rPr>
              <w:t>，查询页面定义、流程转业务数据定义</w:t>
            </w:r>
            <w:r>
              <w:rPr>
                <w:rFonts w:ascii="仿宋" w:hAnsi="仿宋" w:eastAsia="仿宋"/>
                <w:b w:val="0"/>
                <w:sz w:val="22"/>
              </w:rPr>
              <w:t>，要求流程</w:t>
            </w:r>
            <w:r>
              <w:rPr>
                <w:b w:val="0"/>
                <w:sz w:val="22"/>
              </w:rPr>
              <w:t>及应用</w:t>
            </w:r>
            <w:r>
              <w:rPr>
                <w:rFonts w:ascii="仿宋" w:hAnsi="仿宋" w:eastAsia="仿宋"/>
                <w:b w:val="0"/>
                <w:sz w:val="22"/>
              </w:rPr>
              <w:t>完整、逻辑正确</w:t>
            </w:r>
          </w:p>
        </w:tc>
        <w:tc>
          <w:tcPr>
            <w:tcW w:w="680" w:type="dxa"/>
            <w:vAlign w:val="top"/>
          </w:tcPr>
          <w:p>
            <w:pPr>
              <w:spacing w:before="40" w:after="40" w:line="400" w:lineRule="exact"/>
              <w:ind w:firstLine="0" w:firstLineChars="0"/>
              <w:jc w:val="left"/>
            </w:pPr>
            <w:r>
              <w:rPr>
                <w:b w:val="0"/>
                <w:sz w:val="22"/>
              </w:rPr>
              <w:t>3</w:t>
            </w:r>
            <w:r>
              <w:rPr>
                <w:rFonts w:ascii="仿宋" w:hAnsi="仿宋" w:eastAsia="仿宋"/>
                <w:b w:val="0"/>
                <w:sz w:val="22"/>
              </w:rPr>
              <w:t>0%</w:t>
            </w:r>
          </w:p>
        </w:tc>
        <w:tc>
          <w:tcPr>
            <w:tcW w:w="850" w:type="dxa"/>
            <w:vAlign w:val="top"/>
          </w:tcPr>
          <w:p>
            <w:pPr>
              <w:spacing w:before="40" w:after="40" w:line="400" w:lineRule="exact"/>
              <w:ind w:firstLine="0" w:firstLineChars="0"/>
              <w:jc w:val="left"/>
            </w:pPr>
            <w:r>
              <w:rPr>
                <w:rFonts w:ascii="仿宋" w:hAnsi="仿宋" w:eastAsia="仿宋"/>
                <w:b w:val="0"/>
                <w:sz w:val="22"/>
              </w:rPr>
              <w:t>实际操作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tcPr>
          <w:p>
            <w:pPr>
              <w:spacing w:before="40" w:after="40" w:line="400" w:lineRule="exact"/>
              <w:ind w:firstLine="0"/>
              <w:jc w:val="center"/>
            </w:pPr>
            <w:r>
              <w:rPr>
                <w:rFonts w:ascii="仿宋" w:hAnsi="仿宋" w:eastAsia="仿宋"/>
                <w:b w:val="0"/>
                <w:sz w:val="22"/>
              </w:rPr>
              <w:t>4</w:t>
            </w:r>
          </w:p>
        </w:tc>
        <w:tc>
          <w:tcPr>
            <w:tcW w:w="1323" w:type="dxa"/>
            <w:vAlign w:val="top"/>
          </w:tcPr>
          <w:p>
            <w:pPr>
              <w:spacing w:before="40" w:after="40" w:line="400" w:lineRule="exact"/>
              <w:ind w:firstLine="0" w:firstLineChars="0"/>
              <w:jc w:val="left"/>
            </w:pPr>
            <w:r>
              <w:rPr>
                <w:rFonts w:ascii="仿宋" w:hAnsi="仿宋" w:eastAsia="仿宋"/>
                <w:b w:val="0"/>
                <w:sz w:val="22"/>
              </w:rPr>
              <w:t>报表与分析</w:t>
            </w:r>
          </w:p>
        </w:tc>
        <w:tc>
          <w:tcPr>
            <w:tcW w:w="3650" w:type="dxa"/>
            <w:vAlign w:val="top"/>
          </w:tcPr>
          <w:p>
            <w:pPr>
              <w:spacing w:before="40" w:after="40" w:line="400" w:lineRule="exact"/>
              <w:ind w:firstLine="0" w:firstLineChars="0"/>
              <w:jc w:val="left"/>
            </w:pPr>
            <w:r>
              <w:rPr>
                <w:rFonts w:ascii="仿宋" w:hAnsi="仿宋" w:eastAsia="仿宋"/>
                <w:b w:val="0"/>
                <w:sz w:val="22"/>
              </w:rPr>
              <w:t>完成数据报表、统计图表、仪表盘配置，要求数据展示准确、可视化效果良好</w:t>
            </w:r>
          </w:p>
        </w:tc>
        <w:tc>
          <w:tcPr>
            <w:tcW w:w="680" w:type="dxa"/>
            <w:vAlign w:val="top"/>
          </w:tcPr>
          <w:p>
            <w:pPr>
              <w:spacing w:before="40" w:after="40" w:line="400" w:lineRule="exact"/>
              <w:ind w:firstLine="0" w:firstLineChars="0"/>
              <w:jc w:val="left"/>
            </w:pPr>
            <w:r>
              <w:rPr>
                <w:b w:val="0"/>
                <w:sz w:val="22"/>
              </w:rPr>
              <w:t>20</w:t>
            </w:r>
            <w:r>
              <w:rPr>
                <w:rFonts w:ascii="仿宋" w:hAnsi="仿宋" w:eastAsia="仿宋"/>
                <w:b w:val="0"/>
                <w:sz w:val="22"/>
              </w:rPr>
              <w:t>%</w:t>
            </w:r>
          </w:p>
        </w:tc>
        <w:tc>
          <w:tcPr>
            <w:tcW w:w="850" w:type="dxa"/>
            <w:vAlign w:val="top"/>
          </w:tcPr>
          <w:p>
            <w:pPr>
              <w:spacing w:before="40" w:after="40" w:line="400" w:lineRule="exact"/>
              <w:ind w:firstLine="0" w:firstLineChars="0"/>
              <w:jc w:val="left"/>
            </w:pPr>
            <w:r>
              <w:rPr>
                <w:rFonts w:ascii="仿宋" w:hAnsi="仿宋" w:eastAsia="仿宋"/>
                <w:b w:val="0"/>
                <w:sz w:val="22"/>
              </w:rPr>
              <w:t>实际操作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tcPr>
          <w:p>
            <w:pPr>
              <w:spacing w:before="40" w:after="40" w:line="400" w:lineRule="exact"/>
              <w:ind w:firstLine="0"/>
              <w:jc w:val="center"/>
            </w:pPr>
            <w:r>
              <w:rPr>
                <w:rFonts w:ascii="仿宋" w:hAnsi="仿宋" w:eastAsia="仿宋"/>
                <w:b w:val="0"/>
                <w:sz w:val="22"/>
              </w:rPr>
              <w:t>5</w:t>
            </w:r>
          </w:p>
        </w:tc>
        <w:tc>
          <w:tcPr>
            <w:tcW w:w="1323" w:type="dxa"/>
            <w:vAlign w:val="top"/>
          </w:tcPr>
          <w:p>
            <w:pPr>
              <w:spacing w:before="40" w:after="40" w:line="400" w:lineRule="exact"/>
              <w:ind w:firstLine="0" w:firstLineChars="0"/>
              <w:jc w:val="left"/>
            </w:pPr>
            <w:r>
              <w:rPr>
                <w:rFonts w:ascii="仿宋" w:hAnsi="仿宋" w:eastAsia="仿宋"/>
                <w:b w:val="0"/>
                <w:sz w:val="22"/>
              </w:rPr>
              <w:t>权限与发布</w:t>
            </w:r>
          </w:p>
        </w:tc>
        <w:tc>
          <w:tcPr>
            <w:tcW w:w="3650" w:type="dxa"/>
            <w:vAlign w:val="top"/>
          </w:tcPr>
          <w:p>
            <w:pPr>
              <w:spacing w:before="40" w:after="40" w:line="400" w:lineRule="exact"/>
              <w:ind w:firstLine="0" w:firstLineChars="0"/>
              <w:jc w:val="left"/>
            </w:pPr>
            <w:r>
              <w:rPr>
                <w:rFonts w:ascii="仿宋" w:hAnsi="仿宋" w:eastAsia="仿宋"/>
                <w:b w:val="0"/>
                <w:sz w:val="22"/>
              </w:rPr>
              <w:t>完成应用权限配置、应用发布与部署，要求权限合理、发布规范</w:t>
            </w:r>
          </w:p>
        </w:tc>
        <w:tc>
          <w:tcPr>
            <w:tcW w:w="680" w:type="dxa"/>
            <w:vAlign w:val="top"/>
          </w:tcPr>
          <w:p>
            <w:pPr>
              <w:spacing w:before="40" w:after="40" w:line="400" w:lineRule="exact"/>
              <w:ind w:firstLine="0" w:firstLineChars="0"/>
              <w:jc w:val="left"/>
            </w:pPr>
            <w:r>
              <w:rPr>
                <w:rFonts w:ascii="仿宋" w:hAnsi="仿宋" w:eastAsia="仿宋"/>
                <w:b w:val="0"/>
                <w:sz w:val="22"/>
              </w:rPr>
              <w:t>10%</w:t>
            </w:r>
          </w:p>
        </w:tc>
        <w:tc>
          <w:tcPr>
            <w:tcW w:w="850" w:type="dxa"/>
            <w:vAlign w:val="top"/>
          </w:tcPr>
          <w:p>
            <w:pPr>
              <w:spacing w:before="40" w:after="40" w:line="400" w:lineRule="exact"/>
              <w:ind w:firstLine="0" w:firstLineChars="0"/>
              <w:jc w:val="left"/>
            </w:pPr>
            <w:r>
              <w:rPr>
                <w:rFonts w:ascii="仿宋" w:hAnsi="仿宋" w:eastAsia="仿宋"/>
                <w:b w:val="0"/>
                <w:sz w:val="22"/>
              </w:rPr>
              <w:t>实际操作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tcPr>
          <w:p>
            <w:pPr>
              <w:spacing w:before="40" w:after="40" w:line="400" w:lineRule="exact"/>
              <w:ind w:firstLine="0"/>
              <w:jc w:val="center"/>
            </w:pPr>
            <w:r>
              <w:rPr>
                <w:rFonts w:ascii="仿宋" w:hAnsi="仿宋" w:eastAsia="仿宋"/>
                <w:b w:val="0"/>
                <w:sz w:val="22"/>
              </w:rPr>
              <w:t>6</w:t>
            </w:r>
          </w:p>
        </w:tc>
        <w:tc>
          <w:tcPr>
            <w:tcW w:w="1323" w:type="dxa"/>
            <w:vAlign w:val="top"/>
          </w:tcPr>
          <w:p>
            <w:pPr>
              <w:spacing w:before="40" w:after="40" w:line="400" w:lineRule="exact"/>
              <w:ind w:firstLine="0" w:firstLineChars="0"/>
              <w:jc w:val="left"/>
            </w:pPr>
            <w:r>
              <w:rPr>
                <w:rFonts w:ascii="仿宋" w:hAnsi="仿宋" w:eastAsia="仿宋"/>
                <w:b w:val="0"/>
                <w:sz w:val="22"/>
              </w:rPr>
              <w:t>创新与优化</w:t>
            </w:r>
          </w:p>
        </w:tc>
        <w:tc>
          <w:tcPr>
            <w:tcW w:w="3650" w:type="dxa"/>
            <w:vAlign w:val="top"/>
          </w:tcPr>
          <w:p>
            <w:pPr>
              <w:spacing w:before="40" w:after="40" w:line="400" w:lineRule="exact"/>
              <w:ind w:firstLine="0" w:firstLineChars="0"/>
              <w:jc w:val="left"/>
            </w:pPr>
            <w:r>
              <w:rPr>
                <w:rFonts w:ascii="仿宋" w:hAnsi="仿宋" w:eastAsia="仿宋"/>
                <w:b w:val="0"/>
                <w:sz w:val="22"/>
              </w:rPr>
              <w:t>在完成基本功能的基础上，进行交互优化、UI美化或功能创新，体现综合设计能力</w:t>
            </w:r>
          </w:p>
        </w:tc>
        <w:tc>
          <w:tcPr>
            <w:tcW w:w="680" w:type="dxa"/>
            <w:vAlign w:val="top"/>
          </w:tcPr>
          <w:p>
            <w:pPr>
              <w:spacing w:before="40" w:after="40" w:line="400" w:lineRule="exact"/>
              <w:ind w:firstLine="0" w:firstLineChars="0"/>
              <w:jc w:val="left"/>
            </w:pPr>
            <w:r>
              <w:rPr>
                <w:rFonts w:ascii="仿宋" w:hAnsi="仿宋" w:eastAsia="仿宋"/>
                <w:b w:val="0"/>
                <w:sz w:val="22"/>
              </w:rPr>
              <w:t>5%</w:t>
            </w:r>
          </w:p>
        </w:tc>
        <w:tc>
          <w:tcPr>
            <w:tcW w:w="850" w:type="dxa"/>
            <w:vAlign w:val="top"/>
          </w:tcPr>
          <w:p>
            <w:pPr>
              <w:spacing w:before="40" w:after="40" w:line="400" w:lineRule="exact"/>
              <w:ind w:firstLine="0" w:firstLineChars="0"/>
              <w:jc w:val="left"/>
            </w:pPr>
            <w:r>
              <w:rPr>
                <w:rFonts w:ascii="仿宋" w:hAnsi="仿宋" w:eastAsia="仿宋"/>
                <w:b w:val="0"/>
                <w:sz w:val="22"/>
              </w:rPr>
              <w:t>实际操作</w:t>
            </w:r>
          </w:p>
        </w:tc>
      </w:tr>
    </w:tbl>
    <w:p>
      <w:pPr>
        <w:spacing w:line="120" w:lineRule="exact"/>
        <w:ind w:firstLine="0"/>
      </w:pPr>
    </w:p>
    <w:p>
      <w:pPr>
        <w:spacing w:line="560" w:lineRule="exact"/>
        <w:ind w:firstLine="420"/>
        <w:jc w:val="both"/>
        <w:rPr>
          <w:rFonts w:ascii="仿宋" w:hAnsi="仿宋" w:eastAsia="仿宋"/>
          <w:sz w:val="28"/>
        </w:rPr>
      </w:pPr>
      <w:r>
        <w:rPr>
          <w:rFonts w:ascii="仿宋" w:hAnsi="仿宋" w:eastAsia="仿宋"/>
          <w:sz w:val="28"/>
        </w:rPr>
        <w:t>注：实操考试过程中，选手不得借助互联网搜索、外部工具插件辅助操作，所有操作须在指定低代码平台界面上完成。</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（二）团体赛竞赛内容</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团体赛考核内容主要包括AI智能体应用场景方案设计的合理性及可行性、智能体搭建的技术实现质量、用户体验效果，以及材料评审与路演答辩表现。具体如下：</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1. 初赛阶段（如开展）：各参赛团队提交AI智能体搭建的初步设想方案（含应用场景说明、技术方案设计、预期效果等），评审专家组从创新性、业务价值、可行性、技术含量与实现潜力、可扩展性与影响力、团队协作能力等方面进行综合评审。</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2. 决赛第一阶段：进入决赛第一阶段的团队完成智能体搭建后，需提交完整的参赛作品及相关材料说明（含智能体成果展示录屏、技术说明文档、应用场景说明等）。由评审专家组依据材料评审标准进行综合评审，按工业应用组和通用办公组每个赛道分别评选出不超过3支队伍（合计不超过6支）入围决赛第二阶段。</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3. 决赛第二阶段：入围第二阶段的队伍进行现场路演展示与答辩。路演展示环节，重点演示智能体的实际运行效果、业务价值体现及推广应用前景；答辩环节，由评审专家组针对技术实现细节、创新亮点等进行现场提问。由评审专家组从技术实现、用户体验、创意与创新、路演与答辩效果等方面进行综合评审。</w:t>
      </w:r>
    </w:p>
    <w:p>
      <w:pPr>
        <w:keepNext w:val="0"/>
        <w:keepLines w:val="0"/>
        <w:pageBreakBefore w:val="0"/>
        <w:widowControl/>
        <w:tabs>
          <w:tab w:val="center" w:pos="4744"/>
        </w:tabs>
        <w:kinsoku/>
        <w:wordWrap/>
        <w:overflowPunct/>
        <w:topLinePunct w:val="0"/>
        <w:autoSpaceDE/>
        <w:autoSpaceDN/>
        <w:bidi w:val="0"/>
        <w:adjustRightInd/>
        <w:snapToGrid/>
        <w:spacing w:line="360" w:lineRule="auto"/>
        <w:ind w:left="0" w:leftChars="0" w:firstLine="640" w:firstLineChars="200"/>
        <w:textAlignment w:val="auto"/>
        <w:rPr>
          <w:rFonts w:hint="eastAsia" w:ascii="方正黑体简体" w:hAnsi="方正黑体简体" w:eastAsia="方正黑体简体" w:cs="方正黑体简体"/>
          <w:sz w:val="32"/>
          <w:szCs w:val="32"/>
          <w:highlight w:val="none"/>
          <w:lang w:eastAsia="zh-CN"/>
        </w:rPr>
      </w:pPr>
      <w:r>
        <w:rPr>
          <w:rFonts w:hint="eastAsia" w:ascii="方正黑体简体" w:hAnsi="方正黑体简体" w:eastAsia="方正黑体简体" w:cs="方正黑体简体"/>
          <w:sz w:val="32"/>
          <w:szCs w:val="32"/>
          <w:highlight w:val="none"/>
          <w:lang w:eastAsia="zh-CN"/>
        </w:rPr>
        <w:t>五、评分标准</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（一）个人赛评分标准</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1. 初赛（如开展）为理论知识竞赛，以考察低代码平台基础知识、平台操作、流程配置、数据处理、安全规范等内容为主。题目由单选40题（1分/题）、多选20题（2分/题，错选、漏选均不得分）、判断20题（1分/题）组成，共计80题，总分100分。</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2. 决赛为实操竞赛，主要考察选手关于低代码平台的页面搭建能力、数据模型配置能力、流程编排能力、报表与分析能力、权限与发布能力及综合创新能力。选手按赛场提供的任务书，完成低代码应用的搭建和调试。决赛</w:t>
      </w:r>
      <w:r>
        <w:rPr>
          <w:rFonts w:hint="eastAsia" w:ascii="仿宋" w:hAnsi="仿宋" w:eastAsia="仿宋"/>
          <w:sz w:val="32"/>
          <w:szCs w:val="32"/>
          <w:lang w:val="en-US" w:eastAsia="zh-CN"/>
        </w:rPr>
        <w:t>命题方向为工业应用和通用办公，</w:t>
      </w:r>
      <w:r>
        <w:rPr>
          <w:rFonts w:ascii="仿宋" w:hAnsi="仿宋" w:eastAsia="仿宋"/>
          <w:sz w:val="32"/>
          <w:szCs w:val="32"/>
        </w:rPr>
        <w:t>共3</w:t>
      </w:r>
      <w:r>
        <w:rPr>
          <w:rFonts w:hint="eastAsia" w:ascii="仿宋" w:hAnsi="仿宋" w:eastAsia="仿宋"/>
          <w:sz w:val="32"/>
          <w:szCs w:val="32"/>
          <w:lang w:val="en-US" w:eastAsia="zh-CN"/>
        </w:rPr>
        <w:t>-5</w:t>
      </w:r>
      <w:r>
        <w:rPr>
          <w:rFonts w:ascii="仿宋" w:hAnsi="仿宋" w:eastAsia="仿宋"/>
          <w:sz w:val="32"/>
          <w:szCs w:val="32"/>
        </w:rPr>
        <w:t>个场景，每个场景包含若干小题对应不同知识点和分值，满分100分，各考核维度及分值详见表2。表2所列考核维度及分值为决赛整体评分权重，通过</w:t>
      </w:r>
      <w:r>
        <w:rPr>
          <w:rFonts w:hint="eastAsia" w:ascii="仿宋" w:hAnsi="仿宋" w:eastAsia="仿宋"/>
          <w:sz w:val="32"/>
          <w:szCs w:val="32"/>
          <w:lang w:val="en-US" w:eastAsia="zh-CN"/>
        </w:rPr>
        <w:t>每个</w:t>
      </w:r>
      <w:r>
        <w:rPr>
          <w:rFonts w:ascii="仿宋" w:hAnsi="仿宋" w:eastAsia="仿宋"/>
          <w:sz w:val="32"/>
          <w:szCs w:val="32"/>
        </w:rPr>
        <w:t>场景</w:t>
      </w:r>
      <w:r>
        <w:rPr>
          <w:rFonts w:hint="eastAsia" w:ascii="仿宋" w:hAnsi="仿宋" w:eastAsia="仿宋"/>
          <w:sz w:val="32"/>
          <w:szCs w:val="32"/>
          <w:lang w:val="en-US" w:eastAsia="zh-CN"/>
        </w:rPr>
        <w:t>下的</w:t>
      </w:r>
      <w:r>
        <w:rPr>
          <w:rFonts w:ascii="仿宋" w:hAnsi="仿宋" w:eastAsia="仿宋"/>
          <w:sz w:val="32"/>
          <w:szCs w:val="32"/>
        </w:rPr>
        <w:t>具体题目落地实施。</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以下列出两大方向的典型数字化</w:t>
      </w:r>
      <w:r>
        <w:rPr>
          <w:rFonts w:hint="eastAsia"/>
          <w:sz w:val="32"/>
          <w:szCs w:val="32"/>
          <w:lang w:val="en-US" w:eastAsia="zh-CN"/>
        </w:rPr>
        <w:t>应用场景</w:t>
      </w:r>
      <w:r>
        <w:rPr>
          <w:rFonts w:hint="eastAsia" w:ascii="仿宋" w:hAnsi="仿宋" w:eastAsia="仿宋"/>
          <w:sz w:val="32"/>
          <w:szCs w:val="32"/>
          <w:lang w:val="en-US" w:eastAsia="zh-CN"/>
        </w:rPr>
        <w:t>及对应搭建成果示例</w:t>
      </w:r>
      <w:r>
        <w:rPr>
          <w:rFonts w:hint="eastAsia"/>
          <w:sz w:val="32"/>
          <w:szCs w:val="32"/>
          <w:lang w:val="en-US" w:eastAsia="zh-CN"/>
        </w:rPr>
        <w:t>：</w:t>
      </w:r>
    </w:p>
    <w:p>
      <w:pPr>
        <w:spacing w:line="560" w:lineRule="exact"/>
        <w:ind w:firstLine="420"/>
        <w:jc w:val="center"/>
        <w:rPr>
          <w:rFonts w:hint="eastAsia" w:ascii="仿宋" w:hAnsi="仿宋" w:eastAsia="仿宋"/>
          <w:sz w:val="28"/>
          <w:lang w:val="en-US" w:eastAsia="zh-CN"/>
        </w:rPr>
      </w:pPr>
      <w:r>
        <w:rPr>
          <w:rFonts w:hint="eastAsia"/>
          <w:sz w:val="28"/>
          <w:lang w:val="en-US" w:eastAsia="zh-CN"/>
        </w:rPr>
        <w:t xml:space="preserve">表3 </w:t>
      </w:r>
      <w:r>
        <w:rPr>
          <w:rFonts w:hint="eastAsia" w:ascii="仿宋" w:hAnsi="仿宋" w:eastAsia="仿宋"/>
          <w:sz w:val="28"/>
          <w:lang w:val="en-US" w:eastAsia="zh-CN"/>
        </w:rPr>
        <w:t>工业应用方向——企业生产运营常见场景</w:t>
      </w:r>
    </w:p>
    <w:tbl>
      <w:tblPr>
        <w:tblStyle w:val="166"/>
        <w:tblW w:w="8990" w:type="dxa"/>
        <w:jc w:val="center"/>
        <w:tblLayout w:type="autofit"/>
        <w:tblCellMar>
          <w:top w:w="0" w:type="dxa"/>
          <w:left w:w="108" w:type="dxa"/>
          <w:bottom w:w="0" w:type="dxa"/>
          <w:right w:w="108" w:type="dxa"/>
        </w:tblCellMar>
      </w:tblPr>
      <w:tblGrid>
        <w:gridCol w:w="3009"/>
        <w:gridCol w:w="5981"/>
      </w:tblGrid>
      <w:tr>
        <w:tblPrEx>
          <w:tblCellMar>
            <w:top w:w="0" w:type="dxa"/>
            <w:left w:w="108" w:type="dxa"/>
            <w:bottom w:w="0" w:type="dxa"/>
            <w:right w:w="108" w:type="dxa"/>
          </w:tblCellMar>
        </w:tblPrEx>
        <w:trPr>
          <w:trHeight w:val="567" w:hRule="atLeast"/>
          <w:tblHeader/>
          <w:jc w:val="center"/>
        </w:trPr>
        <w:tc>
          <w:tcPr>
            <w:tcW w:w="3009" w:type="dxa"/>
            <w:tcBorders>
              <w:top w:val="single" w:color="auto" w:sz="4" w:space="0"/>
              <w:left w:val="single" w:color="auto" w:sz="4" w:space="0"/>
              <w:bottom w:val="single" w:color="auto" w:sz="4" w:space="0"/>
              <w:right w:val="single" w:color="auto" w:sz="4" w:space="0"/>
            </w:tcBorders>
            <w:shd w:val="clear" w:color="auto" w:fill="DCE6F2" w:themeFill="accent1" w:themeFillTint="32"/>
            <w:noWrap w:val="0"/>
            <w:tcMar>
              <w:top w:w="-1" w:type="dxa"/>
              <w:left w:w="-1" w:type="dxa"/>
              <w:bottom w:w="-1" w:type="dxa"/>
              <w:right w:w="-1" w:type="dxa"/>
            </w:tcMar>
            <w:vAlign w:val="center"/>
          </w:tcPr>
          <w:p>
            <w:pPr>
              <w:spacing w:before="40" w:after="40" w:line="400" w:lineRule="exact"/>
              <w:ind w:firstLine="0"/>
              <w:jc w:val="center"/>
              <w:rPr>
                <w:rFonts w:hint="eastAsia" w:ascii="黑体" w:hAnsi="黑体" w:eastAsia="黑体"/>
                <w:b/>
                <w:sz w:val="22"/>
                <w:lang w:val="en-US" w:eastAsia="zh-CN"/>
              </w:rPr>
            </w:pPr>
            <w:r>
              <w:rPr>
                <w:rFonts w:hint="eastAsia" w:ascii="黑体" w:hAnsi="黑体" w:eastAsia="黑体"/>
                <w:b/>
                <w:sz w:val="22"/>
                <w:lang w:val="en-US" w:eastAsia="zh-CN"/>
              </w:rPr>
              <w:t>示例场景</w:t>
            </w:r>
          </w:p>
        </w:tc>
        <w:tc>
          <w:tcPr>
            <w:tcW w:w="5981" w:type="dxa"/>
            <w:tcBorders>
              <w:top w:val="single" w:color="auto" w:sz="4" w:space="0"/>
              <w:left w:val="single" w:color="auto" w:sz="4" w:space="0"/>
              <w:bottom w:val="nil"/>
              <w:right w:val="single" w:color="auto" w:sz="4" w:space="0"/>
            </w:tcBorders>
            <w:shd w:val="clear" w:color="auto" w:fill="DCE6F2" w:themeFill="accent1" w:themeFillTint="32"/>
            <w:noWrap w:val="0"/>
            <w:tcMar>
              <w:top w:w="-1" w:type="dxa"/>
              <w:left w:w="-1" w:type="dxa"/>
              <w:bottom w:w="-1" w:type="dxa"/>
              <w:right w:w="-1" w:type="dxa"/>
            </w:tcMar>
            <w:vAlign w:val="center"/>
          </w:tcPr>
          <w:p>
            <w:pPr>
              <w:spacing w:before="40" w:after="40" w:line="400" w:lineRule="exact"/>
              <w:ind w:firstLine="0"/>
              <w:jc w:val="center"/>
              <w:rPr>
                <w:rFonts w:hint="eastAsia" w:ascii="黑体" w:hAnsi="黑体" w:eastAsia="黑体"/>
                <w:b/>
                <w:sz w:val="22"/>
                <w:lang w:val="en-US" w:eastAsia="zh-CN"/>
              </w:rPr>
            </w:pPr>
            <w:r>
              <w:rPr>
                <w:rFonts w:hint="eastAsia" w:ascii="黑体" w:hAnsi="黑体" w:eastAsia="黑体"/>
                <w:b/>
                <w:sz w:val="22"/>
                <w:lang w:val="en-US" w:eastAsia="zh-CN"/>
              </w:rPr>
              <w:t>选手搭建成果</w:t>
            </w:r>
          </w:p>
        </w:tc>
      </w:tr>
      <w:tr>
        <w:tblPrEx>
          <w:tblCellMar>
            <w:top w:w="0" w:type="dxa"/>
            <w:left w:w="108" w:type="dxa"/>
            <w:bottom w:w="0" w:type="dxa"/>
            <w:right w:w="108" w:type="dxa"/>
          </w:tblCellMar>
        </w:tblPrEx>
        <w:trPr>
          <w:trHeight w:val="0" w:hRule="atLeast"/>
          <w:jc w:val="center"/>
        </w:trPr>
        <w:tc>
          <w:tcPr>
            <w:tcW w:w="300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现场巡检与隐患闭环管理</w:t>
            </w:r>
          </w:p>
        </w:tc>
        <w:tc>
          <w:tcPr>
            <w:tcW w:w="5981"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巡检计划→任务派发→现场打卡→异常上报→整改跟踪→闭环确认</w:t>
            </w:r>
          </w:p>
        </w:tc>
      </w:tr>
      <w:tr>
        <w:tblPrEx>
          <w:tblCellMar>
            <w:top w:w="0" w:type="dxa"/>
            <w:left w:w="108" w:type="dxa"/>
            <w:bottom w:w="0" w:type="dxa"/>
            <w:right w:w="108" w:type="dxa"/>
          </w:tblCellMar>
        </w:tblPrEx>
        <w:trPr>
          <w:trHeight w:val="0" w:hRule="atLeast"/>
          <w:jc w:val="center"/>
        </w:trPr>
        <w:tc>
          <w:tcPr>
            <w:tcW w:w="300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物料/库存动态管理</w:t>
            </w:r>
          </w:p>
        </w:tc>
        <w:tc>
          <w:tcPr>
            <w:tcW w:w="5981"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物料入库→领用→库存预警→盘点，含周转率分析图表</w:t>
            </w:r>
          </w:p>
        </w:tc>
      </w:tr>
      <w:tr>
        <w:tblPrEx>
          <w:tblCellMar>
            <w:top w:w="0" w:type="dxa"/>
            <w:left w:w="108" w:type="dxa"/>
            <w:bottom w:w="0" w:type="dxa"/>
            <w:right w:w="108" w:type="dxa"/>
          </w:tblCellMar>
        </w:tblPrEx>
        <w:trPr>
          <w:trHeight w:val="0" w:hRule="atLeast"/>
          <w:jc w:val="center"/>
        </w:trPr>
        <w:tc>
          <w:tcPr>
            <w:tcW w:w="300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能耗监测与节能优化管理</w:t>
            </w:r>
          </w:p>
        </w:tc>
        <w:tc>
          <w:tcPr>
            <w:tcW w:w="5981"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能耗数据采集→分项统计→异常告警→节能建议跟踪闭环</w:t>
            </w:r>
          </w:p>
        </w:tc>
      </w:tr>
      <w:tr>
        <w:tblPrEx>
          <w:tblCellMar>
            <w:top w:w="0" w:type="dxa"/>
            <w:left w:w="108" w:type="dxa"/>
            <w:bottom w:w="0" w:type="dxa"/>
            <w:right w:w="108" w:type="dxa"/>
          </w:tblCellMar>
        </w:tblPrEx>
        <w:trPr>
          <w:trHeight w:val="0" w:hRule="atLeast"/>
          <w:jc w:val="center"/>
        </w:trPr>
        <w:tc>
          <w:tcPr>
            <w:tcW w:w="300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产品质量追溯与改进管理</w:t>
            </w:r>
          </w:p>
        </w:tc>
        <w:tc>
          <w:tcPr>
            <w:tcW w:w="5981"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批次/序列号录入→工序记录→质检判定→问题追溯→整改闭环</w:t>
            </w:r>
          </w:p>
        </w:tc>
      </w:tr>
      <w:tr>
        <w:tblPrEx>
          <w:tblCellMar>
            <w:top w:w="0" w:type="dxa"/>
            <w:left w:w="108" w:type="dxa"/>
            <w:bottom w:w="0" w:type="dxa"/>
            <w:right w:w="108" w:type="dxa"/>
          </w:tblCellMar>
        </w:tblPrEx>
        <w:trPr>
          <w:trHeight w:val="0" w:hRule="atLeast"/>
          <w:jc w:val="center"/>
        </w:trPr>
        <w:tc>
          <w:tcPr>
            <w:tcW w:w="300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作业安全许可与风险管控</w:t>
            </w:r>
          </w:p>
        </w:tc>
        <w:tc>
          <w:tcPr>
            <w:tcW w:w="5981"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作业申请→风险辨识→审批→现场确认→完工关闭，含风险等级统计看板</w:t>
            </w:r>
          </w:p>
        </w:tc>
      </w:tr>
      <w:tr>
        <w:tblPrEx>
          <w:tblCellMar>
            <w:top w:w="0" w:type="dxa"/>
            <w:left w:w="108" w:type="dxa"/>
            <w:bottom w:w="0" w:type="dxa"/>
            <w:right w:w="108" w:type="dxa"/>
          </w:tblCellMar>
        </w:tblPrEx>
        <w:trPr>
          <w:trHeight w:val="0" w:hRule="atLeast"/>
          <w:jc w:val="center"/>
        </w:trPr>
        <w:tc>
          <w:tcPr>
            <w:tcW w:w="300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生产工单与进度管控</w:t>
            </w:r>
          </w:p>
        </w:tc>
        <w:tc>
          <w:tcPr>
            <w:tcW w:w="5981"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工单创建→派工→完工上报→工时核算→进度看板实时更新</w:t>
            </w:r>
          </w:p>
        </w:tc>
      </w:tr>
      <w:tr>
        <w:tblPrEx>
          <w:tblCellMar>
            <w:top w:w="0" w:type="dxa"/>
            <w:left w:w="108" w:type="dxa"/>
            <w:bottom w:w="0" w:type="dxa"/>
            <w:right w:w="108" w:type="dxa"/>
          </w:tblCellMar>
        </w:tblPrEx>
        <w:trPr>
          <w:trHeight w:val="0" w:hRule="atLeast"/>
          <w:jc w:val="center"/>
        </w:trPr>
        <w:tc>
          <w:tcPr>
            <w:tcW w:w="300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生产异常快速响应管理</w:t>
            </w:r>
          </w:p>
        </w:tc>
        <w:tc>
          <w:tcPr>
            <w:tcW w:w="5981"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异常上报→分级预警（黄/橙/红）→响应计时→处置记录→超时升级→异常分析看板</w:t>
            </w:r>
          </w:p>
        </w:tc>
      </w:tr>
      <w:tr>
        <w:tblPrEx>
          <w:tblCellMar>
            <w:top w:w="0" w:type="dxa"/>
            <w:left w:w="108" w:type="dxa"/>
            <w:bottom w:w="0" w:type="dxa"/>
            <w:right w:w="108" w:type="dxa"/>
          </w:tblCellMar>
        </w:tblPrEx>
        <w:trPr>
          <w:trHeight w:val="773" w:hRule="atLeast"/>
          <w:jc w:val="center"/>
        </w:trPr>
        <w:tc>
          <w:tcPr>
            <w:tcW w:w="3009"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设备综合效率分析与预警</w:t>
            </w:r>
          </w:p>
        </w:tc>
        <w:tc>
          <w:tcPr>
            <w:tcW w:w="5981"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设备综合效率趋势图、故障频次统计、劣化预警、维护建议生成</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1" w:firstLineChars="200"/>
        <w:textAlignment w:val="auto"/>
        <w:rPr>
          <w:rFonts w:hint="eastAsia" w:ascii="宋体" w:hAnsi="宋体" w:eastAsia="宋体" w:cs="宋体"/>
          <w:b/>
          <w:bCs/>
          <w:sz w:val="24"/>
          <w:szCs w:val="24"/>
          <w:lang w:val="en-US" w:eastAsia="zh-CN"/>
        </w:rPr>
      </w:pPr>
    </w:p>
    <w:p>
      <w:pPr>
        <w:spacing w:line="560" w:lineRule="exact"/>
        <w:ind w:firstLine="420"/>
        <w:jc w:val="center"/>
        <w:rPr>
          <w:rFonts w:hint="eastAsia" w:ascii="仿宋" w:hAnsi="仿宋" w:eastAsia="仿宋"/>
          <w:sz w:val="28"/>
          <w:lang w:val="en-US" w:eastAsia="zh-CN"/>
        </w:rPr>
      </w:pPr>
      <w:r>
        <w:rPr>
          <w:rFonts w:hint="eastAsia"/>
          <w:sz w:val="28"/>
          <w:lang w:val="en-US" w:eastAsia="zh-CN"/>
        </w:rPr>
        <w:t xml:space="preserve">表4 </w:t>
      </w:r>
      <w:r>
        <w:rPr>
          <w:rFonts w:hint="eastAsia" w:ascii="仿宋" w:hAnsi="仿宋" w:eastAsia="仿宋"/>
          <w:sz w:val="28"/>
          <w:lang w:val="en-US" w:eastAsia="zh-CN"/>
        </w:rPr>
        <w:t>通用办公方向——常见场景</w:t>
      </w:r>
    </w:p>
    <w:tbl>
      <w:tblPr>
        <w:tblStyle w:val="166"/>
        <w:tblW w:w="9025" w:type="dxa"/>
        <w:jc w:val="center"/>
        <w:tblLayout w:type="autofit"/>
        <w:tblCellMar>
          <w:top w:w="0" w:type="dxa"/>
          <w:left w:w="108" w:type="dxa"/>
          <w:bottom w:w="0" w:type="dxa"/>
          <w:right w:w="108" w:type="dxa"/>
        </w:tblCellMar>
      </w:tblPr>
      <w:tblGrid>
        <w:gridCol w:w="2936"/>
        <w:gridCol w:w="6089"/>
      </w:tblGrid>
      <w:tr>
        <w:tblPrEx>
          <w:tblCellMar>
            <w:top w:w="0" w:type="dxa"/>
            <w:left w:w="108" w:type="dxa"/>
            <w:bottom w:w="0" w:type="dxa"/>
            <w:right w:w="108" w:type="dxa"/>
          </w:tblCellMar>
        </w:tblPrEx>
        <w:trPr>
          <w:trHeight w:val="480" w:hRule="atLeast"/>
          <w:tblHeader/>
          <w:jc w:val="center"/>
        </w:trPr>
        <w:tc>
          <w:tcPr>
            <w:tcW w:w="2936" w:type="dxa"/>
            <w:tcBorders>
              <w:top w:val="single" w:color="auto" w:sz="4" w:space="0"/>
              <w:left w:val="single" w:color="auto" w:sz="4" w:space="0"/>
              <w:bottom w:val="nil"/>
              <w:right w:val="nil"/>
            </w:tcBorders>
            <w:shd w:val="clear" w:color="auto" w:fill="DCE6F2" w:themeFill="accent1" w:themeFillTint="32"/>
            <w:noWrap w:val="0"/>
            <w:tcMar>
              <w:top w:w="-1" w:type="dxa"/>
              <w:left w:w="-1" w:type="dxa"/>
              <w:bottom w:w="-1" w:type="dxa"/>
              <w:right w:w="-1" w:type="dxa"/>
            </w:tcMar>
            <w:vAlign w:val="center"/>
          </w:tcPr>
          <w:p>
            <w:pPr>
              <w:spacing w:before="40" w:after="40" w:line="400" w:lineRule="exact"/>
              <w:ind w:firstLine="0"/>
              <w:jc w:val="center"/>
              <w:rPr>
                <w:rFonts w:hint="eastAsia" w:ascii="黑体" w:hAnsi="黑体" w:eastAsia="黑体"/>
                <w:b/>
                <w:sz w:val="22"/>
                <w:lang w:val="en-US" w:eastAsia="zh-CN"/>
              </w:rPr>
            </w:pPr>
            <w:r>
              <w:rPr>
                <w:rFonts w:hint="eastAsia" w:ascii="黑体" w:hAnsi="黑体" w:eastAsia="黑体"/>
                <w:b/>
                <w:sz w:val="22"/>
                <w:lang w:val="en-US" w:eastAsia="zh-CN"/>
              </w:rPr>
              <w:t>示例场景</w:t>
            </w:r>
          </w:p>
        </w:tc>
        <w:tc>
          <w:tcPr>
            <w:tcW w:w="6089" w:type="dxa"/>
            <w:tcBorders>
              <w:top w:val="single" w:color="auto" w:sz="4" w:space="0"/>
              <w:left w:val="single" w:color="auto" w:sz="4" w:space="0"/>
              <w:bottom w:val="nil"/>
              <w:right w:val="single" w:color="auto" w:sz="4" w:space="0"/>
            </w:tcBorders>
            <w:shd w:val="clear" w:color="auto" w:fill="DCE6F2" w:themeFill="accent1" w:themeFillTint="32"/>
            <w:noWrap w:val="0"/>
            <w:tcMar>
              <w:top w:w="-1" w:type="dxa"/>
              <w:left w:w="-1" w:type="dxa"/>
              <w:bottom w:w="-1" w:type="dxa"/>
              <w:right w:w="-1" w:type="dxa"/>
            </w:tcMar>
            <w:vAlign w:val="center"/>
          </w:tcPr>
          <w:p>
            <w:pPr>
              <w:spacing w:before="40" w:after="40" w:line="400" w:lineRule="exact"/>
              <w:ind w:firstLine="0"/>
              <w:jc w:val="center"/>
              <w:rPr>
                <w:rFonts w:hint="eastAsia" w:ascii="黑体" w:hAnsi="黑体" w:eastAsia="黑体"/>
                <w:b/>
                <w:sz w:val="22"/>
                <w:lang w:val="en-US" w:eastAsia="zh-CN"/>
              </w:rPr>
            </w:pPr>
            <w:r>
              <w:rPr>
                <w:rFonts w:hint="eastAsia" w:ascii="黑体" w:hAnsi="黑体" w:eastAsia="黑体"/>
                <w:b/>
                <w:sz w:val="22"/>
                <w:lang w:val="en-US" w:eastAsia="zh-CN"/>
              </w:rPr>
              <w:t>选手搭建成果</w:t>
            </w:r>
          </w:p>
        </w:tc>
      </w:tr>
      <w:tr>
        <w:tblPrEx>
          <w:tblCellMar>
            <w:top w:w="0" w:type="dxa"/>
            <w:left w:w="108" w:type="dxa"/>
            <w:bottom w:w="0" w:type="dxa"/>
            <w:right w:w="108" w:type="dxa"/>
          </w:tblCellMar>
        </w:tblPrEx>
        <w:trPr>
          <w:trHeight w:val="480" w:hRule="atLeast"/>
          <w:jc w:val="center"/>
        </w:trPr>
        <w:tc>
          <w:tcPr>
            <w:tcW w:w="293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会议与督办管理</w:t>
            </w:r>
          </w:p>
        </w:tc>
        <w:tc>
          <w:tcPr>
            <w:tcW w:w="6089"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会议申请→纪要生成→任务分解→进度跟踪→到期自动提醒</w:t>
            </w:r>
          </w:p>
        </w:tc>
      </w:tr>
      <w:tr>
        <w:tblPrEx>
          <w:tblCellMar>
            <w:top w:w="0" w:type="dxa"/>
            <w:left w:w="108" w:type="dxa"/>
            <w:bottom w:w="0" w:type="dxa"/>
            <w:right w:w="108" w:type="dxa"/>
          </w:tblCellMar>
        </w:tblPrEx>
        <w:trPr>
          <w:trHeight w:val="951" w:hRule="atLeast"/>
          <w:jc w:val="center"/>
        </w:trPr>
        <w:tc>
          <w:tcPr>
            <w:tcW w:w="293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培训报名与考核管理</w:t>
            </w:r>
          </w:p>
        </w:tc>
        <w:tc>
          <w:tcPr>
            <w:tcW w:w="6089"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课程发布→在线报名→签到→考核→证书发放，含培训统计报表</w:t>
            </w:r>
          </w:p>
        </w:tc>
      </w:tr>
      <w:tr>
        <w:tblPrEx>
          <w:tblCellMar>
            <w:top w:w="0" w:type="dxa"/>
            <w:left w:w="108" w:type="dxa"/>
            <w:bottom w:w="0" w:type="dxa"/>
            <w:right w:w="108" w:type="dxa"/>
          </w:tblCellMar>
        </w:tblPrEx>
        <w:trPr>
          <w:trHeight w:val="480" w:hRule="atLeast"/>
          <w:jc w:val="center"/>
        </w:trPr>
        <w:tc>
          <w:tcPr>
            <w:tcW w:w="293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访客预约管理</w:t>
            </w:r>
          </w:p>
        </w:tc>
        <w:tc>
          <w:tcPr>
            <w:tcW w:w="6089"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来访预约→审批→门禁授权→来访登记→离园确认</w:t>
            </w:r>
          </w:p>
        </w:tc>
      </w:tr>
      <w:tr>
        <w:tblPrEx>
          <w:tblCellMar>
            <w:top w:w="0" w:type="dxa"/>
            <w:left w:w="108" w:type="dxa"/>
            <w:bottom w:w="0" w:type="dxa"/>
            <w:right w:w="108" w:type="dxa"/>
          </w:tblCellMar>
        </w:tblPrEx>
        <w:trPr>
          <w:trHeight w:val="951" w:hRule="atLeast"/>
          <w:jc w:val="center"/>
        </w:trPr>
        <w:tc>
          <w:tcPr>
            <w:tcW w:w="293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项目进度看板</w:t>
            </w:r>
          </w:p>
        </w:tc>
        <w:tc>
          <w:tcPr>
            <w:tcW w:w="6089"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任务分解→里程碑跟踪→风险标红→周报自动汇总的项目管理应用</w:t>
            </w:r>
          </w:p>
        </w:tc>
      </w:tr>
      <w:tr>
        <w:tblPrEx>
          <w:tblCellMar>
            <w:top w:w="0" w:type="dxa"/>
            <w:left w:w="108" w:type="dxa"/>
            <w:bottom w:w="0" w:type="dxa"/>
            <w:right w:w="108" w:type="dxa"/>
          </w:tblCellMar>
        </w:tblPrEx>
        <w:trPr>
          <w:trHeight w:val="480" w:hRule="atLeast"/>
          <w:jc w:val="center"/>
        </w:trPr>
        <w:tc>
          <w:tcPr>
            <w:tcW w:w="293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报销/审批流程自动化</w:t>
            </w:r>
          </w:p>
        </w:tc>
        <w:tc>
          <w:tcPr>
            <w:tcW w:w="6089"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费用填报→多级审批→预算校验→付款确认→台账统计</w:t>
            </w:r>
          </w:p>
        </w:tc>
      </w:tr>
      <w:tr>
        <w:tblPrEx>
          <w:tblCellMar>
            <w:top w:w="0" w:type="dxa"/>
            <w:left w:w="108" w:type="dxa"/>
            <w:bottom w:w="0" w:type="dxa"/>
            <w:right w:w="108" w:type="dxa"/>
          </w:tblCellMar>
        </w:tblPrEx>
        <w:trPr>
          <w:trHeight w:val="480" w:hRule="atLeast"/>
          <w:jc w:val="center"/>
        </w:trPr>
        <w:tc>
          <w:tcPr>
            <w:tcW w:w="293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客户投诉/工单管理</w:t>
            </w:r>
          </w:p>
        </w:tc>
        <w:tc>
          <w:tcPr>
            <w:tcW w:w="6089"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投诉受理→分类派发→处理跟踪→满意度回访→月度分析</w:t>
            </w:r>
          </w:p>
        </w:tc>
      </w:tr>
      <w:tr>
        <w:tblPrEx>
          <w:tblCellMar>
            <w:top w:w="0" w:type="dxa"/>
            <w:left w:w="108" w:type="dxa"/>
            <w:bottom w:w="0" w:type="dxa"/>
            <w:right w:w="108" w:type="dxa"/>
          </w:tblCellMar>
        </w:tblPrEx>
        <w:trPr>
          <w:trHeight w:val="480" w:hRule="atLeast"/>
          <w:jc w:val="center"/>
        </w:trPr>
        <w:tc>
          <w:tcPr>
            <w:tcW w:w="293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人员资质与证照管理</w:t>
            </w:r>
          </w:p>
        </w:tc>
        <w:tc>
          <w:tcPr>
            <w:tcW w:w="6089"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证照登记→到期预警→复审提醒→资质矩阵看板</w:t>
            </w:r>
          </w:p>
        </w:tc>
      </w:tr>
      <w:tr>
        <w:tblPrEx>
          <w:tblCellMar>
            <w:top w:w="0" w:type="dxa"/>
            <w:left w:w="108" w:type="dxa"/>
            <w:bottom w:w="0" w:type="dxa"/>
            <w:right w:w="108" w:type="dxa"/>
          </w:tblCellMar>
        </w:tblPrEx>
        <w:trPr>
          <w:trHeight w:val="490" w:hRule="atLeast"/>
          <w:jc w:val="center"/>
        </w:trPr>
        <w:tc>
          <w:tcPr>
            <w:tcW w:w="2936"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协同任务减负工具</w:t>
            </w:r>
          </w:p>
        </w:tc>
        <w:tc>
          <w:tcPr>
            <w:tcW w:w="6089"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spacing w:before="40" w:after="40" w:line="400" w:lineRule="exact"/>
              <w:ind w:firstLine="0"/>
              <w:jc w:val="left"/>
              <w:rPr>
                <w:rFonts w:hint="eastAsia" w:ascii="仿宋" w:hAnsi="仿宋" w:eastAsia="仿宋"/>
                <w:b w:val="0"/>
                <w:sz w:val="22"/>
                <w:lang w:val="en-US" w:eastAsia="zh-CN"/>
              </w:rPr>
            </w:pPr>
            <w:r>
              <w:rPr>
                <w:rFonts w:hint="eastAsia" w:ascii="仿宋" w:hAnsi="仿宋" w:eastAsia="仿宋"/>
                <w:b w:val="0"/>
                <w:sz w:val="22"/>
                <w:lang w:val="en-US" w:eastAsia="zh-CN"/>
              </w:rPr>
              <w:t>任务创建→跨部门分派→进度同步→逾期升级→完成归档</w:t>
            </w:r>
          </w:p>
        </w:tc>
      </w:tr>
    </w:tbl>
    <w:p>
      <w:pPr>
        <w:pStyle w:val="20"/>
      </w:pP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（二）团体赛评分标准</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 初赛（如开展）为AI智能体搭建项目方案申报评审。各参赛队伍结合本单位业务及场景，提交初步设想方案。初赛评分标准如表5。</w:t>
      </w:r>
    </w:p>
    <w:p>
      <w:pPr>
        <w:spacing w:line="560" w:lineRule="exact"/>
        <w:ind w:firstLine="0"/>
        <w:jc w:val="center"/>
      </w:pPr>
      <w:r>
        <w:rPr>
          <w:rFonts w:ascii="仿宋" w:hAnsi="仿宋" w:eastAsia="仿宋"/>
          <w:sz w:val="28"/>
        </w:rPr>
        <w:t>表</w:t>
      </w:r>
      <w:r>
        <w:rPr>
          <w:rFonts w:hint="eastAsia"/>
          <w:sz w:val="28"/>
          <w:lang w:val="en-US" w:eastAsia="zh-CN"/>
        </w:rPr>
        <w:t>5</w:t>
      </w:r>
      <w:r>
        <w:rPr>
          <w:rFonts w:ascii="仿宋" w:hAnsi="仿宋" w:eastAsia="仿宋"/>
          <w:sz w:val="28"/>
        </w:rPr>
        <w:t xml:space="preserve">  团体赛初赛评分标准</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1701"/>
        <w:gridCol w:w="2835"/>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shd w:val="clear" w:color="auto" w:fill="D9E2F3"/>
          </w:tcPr>
          <w:p>
            <w:pPr>
              <w:spacing w:before="40" w:after="40" w:line="400" w:lineRule="exact"/>
              <w:ind w:firstLine="0"/>
              <w:jc w:val="center"/>
            </w:pPr>
            <w:r>
              <w:rPr>
                <w:rFonts w:ascii="黑体" w:hAnsi="黑体" w:eastAsia="黑体"/>
                <w:b/>
                <w:sz w:val="22"/>
              </w:rPr>
              <w:t>序号</w:t>
            </w:r>
          </w:p>
        </w:tc>
        <w:tc>
          <w:tcPr>
            <w:tcW w:w="1701" w:type="dxa"/>
            <w:shd w:val="clear" w:color="auto" w:fill="D9E2F3"/>
          </w:tcPr>
          <w:p>
            <w:pPr>
              <w:spacing w:before="40" w:after="40" w:line="400" w:lineRule="exact"/>
              <w:ind w:firstLine="0"/>
              <w:jc w:val="center"/>
            </w:pPr>
            <w:r>
              <w:rPr>
                <w:rFonts w:ascii="黑体" w:hAnsi="黑体" w:eastAsia="黑体"/>
                <w:b/>
                <w:sz w:val="22"/>
              </w:rPr>
              <w:t>评审维度</w:t>
            </w:r>
          </w:p>
        </w:tc>
        <w:tc>
          <w:tcPr>
            <w:tcW w:w="2835" w:type="dxa"/>
            <w:shd w:val="clear" w:color="auto" w:fill="D9E2F3"/>
          </w:tcPr>
          <w:p>
            <w:pPr>
              <w:spacing w:before="40" w:after="40" w:line="400" w:lineRule="exact"/>
              <w:ind w:firstLine="0"/>
              <w:jc w:val="center"/>
            </w:pPr>
            <w:r>
              <w:rPr>
                <w:rFonts w:ascii="黑体" w:hAnsi="黑体" w:eastAsia="黑体"/>
                <w:b/>
                <w:sz w:val="22"/>
              </w:rPr>
              <w:t>评审要点</w:t>
            </w:r>
          </w:p>
        </w:tc>
        <w:tc>
          <w:tcPr>
            <w:tcW w:w="850" w:type="dxa"/>
            <w:shd w:val="clear" w:color="auto" w:fill="D9E2F3"/>
          </w:tcPr>
          <w:p>
            <w:pPr>
              <w:spacing w:before="40" w:after="40" w:line="400" w:lineRule="exact"/>
              <w:ind w:firstLine="0"/>
              <w:jc w:val="center"/>
            </w:pPr>
            <w:r>
              <w:rPr>
                <w:rFonts w:ascii="黑体" w:hAnsi="黑体" w:eastAsia="黑体"/>
                <w:b/>
                <w:sz w:val="22"/>
              </w:rPr>
              <w:t>分值</w:t>
            </w:r>
          </w:p>
        </w:tc>
        <w:tc>
          <w:tcPr>
            <w:tcW w:w="850" w:type="dxa"/>
            <w:shd w:val="clear" w:color="auto" w:fill="D9E2F3"/>
          </w:tcPr>
          <w:p>
            <w:pPr>
              <w:spacing w:before="40" w:after="40" w:line="400" w:lineRule="exact"/>
              <w:ind w:firstLine="0"/>
              <w:jc w:val="center"/>
            </w:pPr>
            <w:r>
              <w:rPr>
                <w:rFonts w:ascii="黑体" w:hAnsi="黑体" w:eastAsia="黑体"/>
                <w:b/>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tcPr>
          <w:p>
            <w:pPr>
              <w:spacing w:before="40" w:after="40" w:line="400" w:lineRule="exact"/>
              <w:ind w:firstLine="0"/>
              <w:jc w:val="center"/>
            </w:pPr>
            <w:r>
              <w:rPr>
                <w:rFonts w:ascii="仿宋" w:hAnsi="仿宋" w:eastAsia="仿宋"/>
                <w:b w:val="0"/>
                <w:sz w:val="22"/>
              </w:rPr>
              <w:t>1</w:t>
            </w:r>
          </w:p>
        </w:tc>
        <w:tc>
          <w:tcPr>
            <w:tcW w:w="1701" w:type="dxa"/>
          </w:tcPr>
          <w:p>
            <w:pPr>
              <w:spacing w:before="40" w:after="40" w:line="400" w:lineRule="exact"/>
              <w:ind w:firstLine="0"/>
              <w:jc w:val="left"/>
            </w:pPr>
            <w:r>
              <w:rPr>
                <w:rFonts w:ascii="仿宋" w:hAnsi="仿宋" w:eastAsia="仿宋"/>
                <w:b w:val="0"/>
                <w:sz w:val="22"/>
              </w:rPr>
              <w:t>创新性</w:t>
            </w:r>
          </w:p>
        </w:tc>
        <w:tc>
          <w:tcPr>
            <w:tcW w:w="2835" w:type="dxa"/>
          </w:tcPr>
          <w:p>
            <w:pPr>
              <w:spacing w:before="40" w:after="40" w:line="400" w:lineRule="exact"/>
              <w:ind w:firstLine="0"/>
              <w:jc w:val="left"/>
            </w:pPr>
            <w:r>
              <w:rPr>
                <w:rFonts w:ascii="仿宋" w:hAnsi="仿宋" w:eastAsia="仿宋"/>
                <w:b w:val="0"/>
                <w:sz w:val="22"/>
              </w:rPr>
              <w:t>场景选型的创新程度、方案是否具有差异化优势、是否体现新思路新方法</w:t>
            </w:r>
          </w:p>
        </w:tc>
        <w:tc>
          <w:tcPr>
            <w:tcW w:w="850" w:type="dxa"/>
          </w:tcPr>
          <w:p>
            <w:pPr>
              <w:spacing w:before="40" w:after="40" w:line="400" w:lineRule="exact"/>
              <w:ind w:firstLine="0"/>
              <w:jc w:val="left"/>
            </w:pPr>
            <w:r>
              <w:rPr>
                <w:rFonts w:ascii="仿宋" w:hAnsi="仿宋" w:eastAsia="仿宋"/>
                <w:b w:val="0"/>
                <w:sz w:val="22"/>
              </w:rPr>
              <w:t>20%</w:t>
            </w:r>
          </w:p>
        </w:tc>
        <w:tc>
          <w:tcPr>
            <w:tcW w:w="850" w:type="dxa"/>
          </w:tcPr>
          <w:p>
            <w:pPr>
              <w:spacing w:before="40" w:after="40" w:line="400" w:lineRule="exact"/>
              <w:ind w:firstLine="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tcPr>
          <w:p>
            <w:pPr>
              <w:spacing w:before="40" w:after="40" w:line="400" w:lineRule="exact"/>
              <w:ind w:firstLine="0"/>
              <w:jc w:val="center"/>
            </w:pPr>
            <w:r>
              <w:rPr>
                <w:rFonts w:ascii="仿宋" w:hAnsi="仿宋" w:eastAsia="仿宋"/>
                <w:b w:val="0"/>
                <w:sz w:val="22"/>
              </w:rPr>
              <w:t>2</w:t>
            </w:r>
          </w:p>
        </w:tc>
        <w:tc>
          <w:tcPr>
            <w:tcW w:w="1701" w:type="dxa"/>
          </w:tcPr>
          <w:p>
            <w:pPr>
              <w:spacing w:before="40" w:after="40" w:line="400" w:lineRule="exact"/>
              <w:ind w:firstLine="0"/>
              <w:jc w:val="left"/>
            </w:pPr>
            <w:r>
              <w:rPr>
                <w:rFonts w:ascii="仿宋" w:hAnsi="仿宋" w:eastAsia="仿宋"/>
                <w:b w:val="0"/>
                <w:sz w:val="22"/>
              </w:rPr>
              <w:t>业务价值</w:t>
            </w:r>
          </w:p>
        </w:tc>
        <w:tc>
          <w:tcPr>
            <w:tcW w:w="2835" w:type="dxa"/>
          </w:tcPr>
          <w:p>
            <w:pPr>
              <w:spacing w:before="40" w:after="40" w:line="400" w:lineRule="exact"/>
              <w:ind w:firstLine="0"/>
              <w:jc w:val="left"/>
            </w:pPr>
            <w:r>
              <w:rPr>
                <w:rFonts w:ascii="仿宋" w:hAnsi="仿宋" w:eastAsia="仿宋"/>
                <w:b w:val="0"/>
                <w:sz w:val="22"/>
              </w:rPr>
              <w:t>方案解决的实际业务痛点、预期降本增效效果、对业务的实际帮助程度</w:t>
            </w:r>
          </w:p>
        </w:tc>
        <w:tc>
          <w:tcPr>
            <w:tcW w:w="850" w:type="dxa"/>
          </w:tcPr>
          <w:p>
            <w:pPr>
              <w:spacing w:before="40" w:after="40" w:line="400" w:lineRule="exact"/>
              <w:ind w:firstLine="0"/>
              <w:jc w:val="left"/>
            </w:pPr>
            <w:r>
              <w:rPr>
                <w:rFonts w:ascii="仿宋" w:hAnsi="仿宋" w:eastAsia="仿宋"/>
                <w:b w:val="0"/>
                <w:sz w:val="22"/>
              </w:rPr>
              <w:t>30%</w:t>
            </w:r>
          </w:p>
        </w:tc>
        <w:tc>
          <w:tcPr>
            <w:tcW w:w="850" w:type="dxa"/>
          </w:tcPr>
          <w:p>
            <w:pPr>
              <w:spacing w:before="40" w:after="40" w:line="400" w:lineRule="exact"/>
              <w:ind w:firstLine="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0" w:type="dxa"/>
          </w:tcPr>
          <w:p>
            <w:pPr>
              <w:spacing w:before="40" w:after="40" w:line="400" w:lineRule="exact"/>
              <w:ind w:firstLine="0"/>
              <w:jc w:val="center"/>
            </w:pPr>
            <w:r>
              <w:rPr>
                <w:rFonts w:ascii="仿宋" w:hAnsi="仿宋" w:eastAsia="仿宋"/>
                <w:b w:val="0"/>
                <w:sz w:val="22"/>
              </w:rPr>
              <w:t>3</w:t>
            </w:r>
          </w:p>
        </w:tc>
        <w:tc>
          <w:tcPr>
            <w:tcW w:w="1701" w:type="dxa"/>
          </w:tcPr>
          <w:p>
            <w:pPr>
              <w:spacing w:before="40" w:after="40" w:line="400" w:lineRule="exact"/>
              <w:ind w:firstLine="0"/>
              <w:jc w:val="left"/>
            </w:pPr>
            <w:r>
              <w:rPr>
                <w:rFonts w:ascii="仿宋" w:hAnsi="仿宋" w:eastAsia="仿宋"/>
                <w:b w:val="0"/>
                <w:sz w:val="22"/>
              </w:rPr>
              <w:t>可行性</w:t>
            </w:r>
          </w:p>
        </w:tc>
        <w:tc>
          <w:tcPr>
            <w:tcW w:w="2835" w:type="dxa"/>
          </w:tcPr>
          <w:p>
            <w:pPr>
              <w:spacing w:before="40" w:after="40" w:line="400" w:lineRule="exact"/>
              <w:ind w:firstLine="0"/>
              <w:jc w:val="left"/>
            </w:pPr>
            <w:r>
              <w:rPr>
                <w:rFonts w:ascii="仿宋" w:hAnsi="仿宋" w:eastAsia="仿宋"/>
                <w:b w:val="0"/>
                <w:sz w:val="22"/>
              </w:rPr>
              <w:t>技术方案是否可行、所需资源是否可获取、实施路径是否清晰</w:t>
            </w:r>
          </w:p>
        </w:tc>
        <w:tc>
          <w:tcPr>
            <w:tcW w:w="850" w:type="dxa"/>
          </w:tcPr>
          <w:p>
            <w:pPr>
              <w:spacing w:before="40" w:after="40" w:line="400" w:lineRule="exact"/>
              <w:ind w:firstLine="0"/>
              <w:jc w:val="left"/>
            </w:pPr>
            <w:r>
              <w:rPr>
                <w:rFonts w:ascii="仿宋" w:hAnsi="仿宋" w:eastAsia="仿宋"/>
                <w:b w:val="0"/>
                <w:sz w:val="22"/>
              </w:rPr>
              <w:t>20%</w:t>
            </w:r>
          </w:p>
        </w:tc>
        <w:tc>
          <w:tcPr>
            <w:tcW w:w="850" w:type="dxa"/>
          </w:tcPr>
          <w:p>
            <w:pPr>
              <w:spacing w:before="40" w:after="40" w:line="400" w:lineRule="exact"/>
              <w:ind w:firstLine="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tcPr>
          <w:p>
            <w:pPr>
              <w:spacing w:before="40" w:after="40" w:line="400" w:lineRule="exact"/>
              <w:ind w:firstLine="0"/>
              <w:jc w:val="center"/>
            </w:pPr>
            <w:r>
              <w:rPr>
                <w:rFonts w:ascii="仿宋" w:hAnsi="仿宋" w:eastAsia="仿宋"/>
                <w:b w:val="0"/>
                <w:sz w:val="22"/>
              </w:rPr>
              <w:t>4</w:t>
            </w:r>
          </w:p>
        </w:tc>
        <w:tc>
          <w:tcPr>
            <w:tcW w:w="1701" w:type="dxa"/>
          </w:tcPr>
          <w:p>
            <w:pPr>
              <w:spacing w:before="40" w:after="40" w:line="400" w:lineRule="exact"/>
              <w:ind w:firstLine="0"/>
              <w:jc w:val="left"/>
            </w:pPr>
            <w:r>
              <w:rPr>
                <w:rFonts w:ascii="仿宋" w:hAnsi="仿宋" w:eastAsia="仿宋"/>
                <w:b w:val="0"/>
                <w:sz w:val="22"/>
              </w:rPr>
              <w:t>技术含量与实现潜力</w:t>
            </w:r>
          </w:p>
        </w:tc>
        <w:tc>
          <w:tcPr>
            <w:tcW w:w="2835" w:type="dxa"/>
          </w:tcPr>
          <w:p>
            <w:pPr>
              <w:spacing w:before="40" w:after="40" w:line="400" w:lineRule="exact"/>
              <w:ind w:firstLine="0"/>
              <w:jc w:val="left"/>
            </w:pPr>
            <w:r>
              <w:rPr>
                <w:rFonts w:ascii="仿宋" w:hAnsi="仿宋" w:eastAsia="仿宋"/>
                <w:b w:val="0"/>
                <w:sz w:val="22"/>
              </w:rPr>
              <w:t>方案涉及的技术复杂度、智能体平台功能的运用深度、实现的可能性</w:t>
            </w:r>
          </w:p>
        </w:tc>
        <w:tc>
          <w:tcPr>
            <w:tcW w:w="850" w:type="dxa"/>
          </w:tcPr>
          <w:p>
            <w:pPr>
              <w:spacing w:before="40" w:after="40" w:line="400" w:lineRule="exact"/>
              <w:ind w:firstLine="0"/>
              <w:jc w:val="left"/>
            </w:pPr>
            <w:r>
              <w:rPr>
                <w:rFonts w:ascii="仿宋" w:hAnsi="仿宋" w:eastAsia="仿宋"/>
                <w:b w:val="0"/>
                <w:sz w:val="22"/>
              </w:rPr>
              <w:t>15%</w:t>
            </w:r>
          </w:p>
        </w:tc>
        <w:tc>
          <w:tcPr>
            <w:tcW w:w="850" w:type="dxa"/>
          </w:tcPr>
          <w:p>
            <w:pPr>
              <w:spacing w:before="40" w:after="40" w:line="400" w:lineRule="exact"/>
              <w:ind w:firstLine="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tcPr>
          <w:p>
            <w:pPr>
              <w:spacing w:before="40" w:after="40" w:line="400" w:lineRule="exact"/>
              <w:ind w:firstLine="0"/>
              <w:jc w:val="center"/>
            </w:pPr>
            <w:r>
              <w:rPr>
                <w:rFonts w:ascii="仿宋" w:hAnsi="仿宋" w:eastAsia="仿宋"/>
                <w:b w:val="0"/>
                <w:sz w:val="22"/>
              </w:rPr>
              <w:t>5</w:t>
            </w:r>
          </w:p>
        </w:tc>
        <w:tc>
          <w:tcPr>
            <w:tcW w:w="1701" w:type="dxa"/>
          </w:tcPr>
          <w:p>
            <w:pPr>
              <w:spacing w:before="40" w:after="40" w:line="400" w:lineRule="exact"/>
              <w:ind w:firstLine="0"/>
              <w:jc w:val="left"/>
            </w:pPr>
            <w:r>
              <w:rPr>
                <w:rFonts w:ascii="仿宋" w:hAnsi="仿宋" w:eastAsia="仿宋"/>
                <w:b w:val="0"/>
                <w:sz w:val="22"/>
              </w:rPr>
              <w:t>可扩展性与影响力</w:t>
            </w:r>
          </w:p>
        </w:tc>
        <w:tc>
          <w:tcPr>
            <w:tcW w:w="2835" w:type="dxa"/>
          </w:tcPr>
          <w:p>
            <w:pPr>
              <w:spacing w:before="40" w:after="40" w:line="400" w:lineRule="exact"/>
              <w:ind w:firstLine="0"/>
              <w:jc w:val="left"/>
            </w:pPr>
            <w:r>
              <w:rPr>
                <w:rFonts w:ascii="仿宋" w:hAnsi="仿宋" w:eastAsia="仿宋"/>
                <w:b w:val="0"/>
                <w:sz w:val="22"/>
              </w:rPr>
              <w:t>方案是否具备推广价值、是否可复制到其他场景、预期影响范围</w:t>
            </w:r>
          </w:p>
        </w:tc>
        <w:tc>
          <w:tcPr>
            <w:tcW w:w="850" w:type="dxa"/>
          </w:tcPr>
          <w:p>
            <w:pPr>
              <w:spacing w:before="40" w:after="40" w:line="400" w:lineRule="exact"/>
              <w:ind w:firstLine="0"/>
              <w:jc w:val="left"/>
            </w:pPr>
            <w:r>
              <w:rPr>
                <w:rFonts w:ascii="仿宋" w:hAnsi="仿宋" w:eastAsia="仿宋"/>
                <w:b w:val="0"/>
                <w:sz w:val="22"/>
              </w:rPr>
              <w:t>10%</w:t>
            </w:r>
          </w:p>
        </w:tc>
        <w:tc>
          <w:tcPr>
            <w:tcW w:w="850" w:type="dxa"/>
          </w:tcPr>
          <w:p>
            <w:pPr>
              <w:spacing w:before="40" w:after="40" w:line="400" w:lineRule="exact"/>
              <w:ind w:firstLine="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tcPr>
          <w:p>
            <w:pPr>
              <w:spacing w:before="40" w:after="40" w:line="400" w:lineRule="exact"/>
              <w:ind w:firstLine="0"/>
              <w:jc w:val="center"/>
            </w:pPr>
            <w:r>
              <w:rPr>
                <w:rFonts w:ascii="仿宋" w:hAnsi="仿宋" w:eastAsia="仿宋"/>
                <w:b w:val="0"/>
                <w:sz w:val="22"/>
              </w:rPr>
              <w:t>6</w:t>
            </w:r>
          </w:p>
        </w:tc>
        <w:tc>
          <w:tcPr>
            <w:tcW w:w="1701" w:type="dxa"/>
          </w:tcPr>
          <w:p>
            <w:pPr>
              <w:spacing w:before="40" w:after="40" w:line="400" w:lineRule="exact"/>
              <w:ind w:firstLine="0"/>
              <w:jc w:val="left"/>
            </w:pPr>
            <w:r>
              <w:rPr>
                <w:rFonts w:ascii="仿宋" w:hAnsi="仿宋" w:eastAsia="仿宋"/>
                <w:b w:val="0"/>
                <w:sz w:val="22"/>
              </w:rPr>
              <w:t>团队协作能力</w:t>
            </w:r>
          </w:p>
        </w:tc>
        <w:tc>
          <w:tcPr>
            <w:tcW w:w="2835" w:type="dxa"/>
          </w:tcPr>
          <w:p>
            <w:pPr>
              <w:spacing w:before="40" w:after="40" w:line="400" w:lineRule="exact"/>
              <w:ind w:firstLine="0"/>
              <w:jc w:val="left"/>
            </w:pPr>
            <w:r>
              <w:rPr>
                <w:rFonts w:ascii="仿宋" w:hAnsi="仿宋" w:eastAsia="仿宋"/>
                <w:b w:val="0"/>
                <w:sz w:val="22"/>
              </w:rPr>
              <w:t>团队成员配置是否合理、分工是否明确、团队综合能力</w:t>
            </w:r>
          </w:p>
        </w:tc>
        <w:tc>
          <w:tcPr>
            <w:tcW w:w="850" w:type="dxa"/>
          </w:tcPr>
          <w:p>
            <w:pPr>
              <w:spacing w:before="40" w:after="40" w:line="400" w:lineRule="exact"/>
              <w:ind w:firstLine="0"/>
              <w:jc w:val="left"/>
            </w:pPr>
            <w:r>
              <w:rPr>
                <w:rFonts w:ascii="仿宋" w:hAnsi="仿宋" w:eastAsia="仿宋"/>
                <w:b w:val="0"/>
                <w:sz w:val="22"/>
              </w:rPr>
              <w:t>5%</w:t>
            </w:r>
          </w:p>
        </w:tc>
        <w:tc>
          <w:tcPr>
            <w:tcW w:w="850" w:type="dxa"/>
          </w:tcPr>
          <w:p>
            <w:pPr>
              <w:spacing w:before="40" w:after="40" w:line="400" w:lineRule="exact"/>
              <w:ind w:firstLine="0"/>
              <w:jc w:val="left"/>
            </w:pPr>
          </w:p>
        </w:tc>
      </w:tr>
    </w:tbl>
    <w:p>
      <w:pPr>
        <w:spacing w:line="120" w:lineRule="exact"/>
        <w:ind w:firstLine="0"/>
      </w:pP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 决赛第一阶段实行一百分赛制：各参赛队伍在指定时间内完成所申报的AI智能体的搭建和投用后，提交参赛作品及相关材料说明</w:t>
      </w:r>
      <w:r>
        <w:rPr>
          <w:rFonts w:hint="eastAsia"/>
          <w:sz w:val="32"/>
          <w:szCs w:val="32"/>
          <w:lang w:val="en-US" w:eastAsia="zh-CN"/>
        </w:rPr>
        <w:t>。</w:t>
      </w:r>
      <w:r>
        <w:rPr>
          <w:rFonts w:hint="eastAsia" w:ascii="仿宋" w:hAnsi="仿宋" w:eastAsia="仿宋"/>
          <w:sz w:val="32"/>
          <w:szCs w:val="32"/>
          <w:lang w:val="en-US" w:eastAsia="zh-CN"/>
        </w:rPr>
        <w:t>材料评审评分标准如表6。</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 决赛第二阶段实行一百分赛制：入围第二阶段的队伍进行现场路演展示与答辩。路演与答辩评审评分标准如表7。</w:t>
      </w:r>
    </w:p>
    <w:p>
      <w:pPr>
        <w:spacing w:line="560" w:lineRule="exact"/>
        <w:ind w:firstLine="0"/>
        <w:jc w:val="center"/>
      </w:pPr>
      <w:r>
        <w:rPr>
          <w:rFonts w:ascii="仿宋" w:hAnsi="仿宋" w:eastAsia="仿宋"/>
          <w:sz w:val="28"/>
        </w:rPr>
        <w:t>表</w:t>
      </w:r>
      <w:r>
        <w:rPr>
          <w:rFonts w:hint="eastAsia"/>
          <w:sz w:val="28"/>
          <w:lang w:val="en-US" w:eastAsia="zh-CN"/>
        </w:rPr>
        <w:t>6</w:t>
      </w:r>
      <w:r>
        <w:rPr>
          <w:rFonts w:ascii="仿宋" w:hAnsi="仿宋" w:eastAsia="仿宋"/>
          <w:sz w:val="28"/>
        </w:rPr>
        <w:t xml:space="preserve">  决赛第一阶段评分标准</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701"/>
        <w:gridCol w:w="2835"/>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shd w:val="clear" w:color="auto" w:fill="D9E2F3"/>
          </w:tcPr>
          <w:p>
            <w:pPr>
              <w:spacing w:before="40" w:after="40" w:line="400" w:lineRule="exact"/>
              <w:ind w:firstLine="0"/>
              <w:jc w:val="center"/>
            </w:pPr>
            <w:r>
              <w:rPr>
                <w:rFonts w:ascii="黑体" w:hAnsi="黑体" w:eastAsia="黑体"/>
                <w:b/>
                <w:sz w:val="22"/>
              </w:rPr>
              <w:t>序号</w:t>
            </w:r>
          </w:p>
        </w:tc>
        <w:tc>
          <w:tcPr>
            <w:tcW w:w="1701" w:type="dxa"/>
            <w:shd w:val="clear" w:color="auto" w:fill="D9E2F3"/>
          </w:tcPr>
          <w:p>
            <w:pPr>
              <w:spacing w:before="40" w:after="40" w:line="400" w:lineRule="exact"/>
              <w:ind w:firstLine="0"/>
              <w:jc w:val="center"/>
            </w:pPr>
            <w:r>
              <w:rPr>
                <w:rFonts w:ascii="黑体" w:hAnsi="黑体" w:eastAsia="黑体"/>
                <w:b/>
                <w:sz w:val="22"/>
              </w:rPr>
              <w:t>评审维度</w:t>
            </w:r>
          </w:p>
        </w:tc>
        <w:tc>
          <w:tcPr>
            <w:tcW w:w="2835" w:type="dxa"/>
            <w:shd w:val="clear" w:color="auto" w:fill="D9E2F3"/>
          </w:tcPr>
          <w:p>
            <w:pPr>
              <w:spacing w:before="40" w:after="40" w:line="400" w:lineRule="exact"/>
              <w:ind w:firstLine="0"/>
              <w:jc w:val="center"/>
            </w:pPr>
            <w:r>
              <w:rPr>
                <w:rFonts w:ascii="黑体" w:hAnsi="黑体" w:eastAsia="黑体"/>
                <w:b/>
                <w:sz w:val="22"/>
              </w:rPr>
              <w:t>评审要点</w:t>
            </w:r>
          </w:p>
        </w:tc>
        <w:tc>
          <w:tcPr>
            <w:tcW w:w="850" w:type="dxa"/>
            <w:shd w:val="clear" w:color="auto" w:fill="D9E2F3"/>
          </w:tcPr>
          <w:p>
            <w:pPr>
              <w:spacing w:before="40" w:after="40" w:line="400" w:lineRule="exact"/>
              <w:ind w:firstLine="0"/>
              <w:jc w:val="center"/>
            </w:pPr>
            <w:r>
              <w:rPr>
                <w:rFonts w:ascii="黑体" w:hAnsi="黑体" w:eastAsia="黑体"/>
                <w:b/>
                <w:sz w:val="22"/>
              </w:rPr>
              <w:t>分值</w:t>
            </w:r>
          </w:p>
        </w:tc>
        <w:tc>
          <w:tcPr>
            <w:tcW w:w="850" w:type="dxa"/>
            <w:shd w:val="clear" w:color="auto" w:fill="D9E2F3"/>
          </w:tcPr>
          <w:p>
            <w:pPr>
              <w:spacing w:before="40" w:after="40" w:line="400" w:lineRule="exact"/>
              <w:ind w:firstLine="0"/>
              <w:jc w:val="center"/>
            </w:pPr>
            <w:r>
              <w:rPr>
                <w:rFonts w:ascii="黑体" w:hAnsi="黑体" w:eastAsia="黑体"/>
                <w:b/>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before="40" w:after="40" w:line="400" w:lineRule="exact"/>
              <w:ind w:firstLine="0"/>
              <w:jc w:val="center"/>
            </w:pPr>
            <w:r>
              <w:rPr>
                <w:rFonts w:ascii="仿宋" w:hAnsi="仿宋" w:eastAsia="仿宋"/>
                <w:b w:val="0"/>
                <w:sz w:val="22"/>
              </w:rPr>
              <w:t>1</w:t>
            </w:r>
          </w:p>
        </w:tc>
        <w:tc>
          <w:tcPr>
            <w:tcW w:w="1701" w:type="dxa"/>
          </w:tcPr>
          <w:p>
            <w:pPr>
              <w:spacing w:before="40" w:after="40" w:line="400" w:lineRule="exact"/>
              <w:ind w:firstLine="0"/>
              <w:jc w:val="center"/>
            </w:pPr>
            <w:r>
              <w:rPr>
                <w:rFonts w:ascii="仿宋" w:hAnsi="仿宋" w:eastAsia="仿宋"/>
                <w:b w:val="0"/>
                <w:sz w:val="22"/>
              </w:rPr>
              <w:t>技术方案完整性</w:t>
            </w:r>
          </w:p>
        </w:tc>
        <w:tc>
          <w:tcPr>
            <w:tcW w:w="2835" w:type="dxa"/>
          </w:tcPr>
          <w:p>
            <w:pPr>
              <w:spacing w:before="40" w:after="40" w:line="400" w:lineRule="exact"/>
              <w:ind w:firstLine="0"/>
              <w:jc w:val="left"/>
            </w:pPr>
            <w:r>
              <w:rPr>
                <w:rFonts w:ascii="仿宋" w:hAnsi="仿宋" w:eastAsia="仿宋"/>
                <w:b w:val="0"/>
                <w:sz w:val="22"/>
              </w:rPr>
              <w:t>智能体搭建的技术方案是否完整、功能实现是否全面、数据处理是否准确、模型编排是否合理</w:t>
            </w:r>
          </w:p>
        </w:tc>
        <w:tc>
          <w:tcPr>
            <w:tcW w:w="850" w:type="dxa"/>
          </w:tcPr>
          <w:p>
            <w:pPr>
              <w:spacing w:before="40" w:after="40" w:line="400" w:lineRule="exact"/>
              <w:ind w:firstLine="0"/>
              <w:jc w:val="left"/>
            </w:pPr>
            <w:r>
              <w:rPr>
                <w:rFonts w:ascii="仿宋" w:hAnsi="仿宋" w:eastAsia="仿宋"/>
                <w:b w:val="0"/>
                <w:sz w:val="22"/>
              </w:rPr>
              <w:t>30%</w:t>
            </w:r>
          </w:p>
        </w:tc>
        <w:tc>
          <w:tcPr>
            <w:tcW w:w="850" w:type="dxa"/>
          </w:tcPr>
          <w:p>
            <w:pPr>
              <w:spacing w:before="40" w:after="40" w:line="400" w:lineRule="exact"/>
              <w:ind w:firstLine="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before="40" w:after="40" w:line="400" w:lineRule="exact"/>
              <w:ind w:firstLine="0"/>
              <w:jc w:val="center"/>
            </w:pPr>
            <w:r>
              <w:rPr>
                <w:rFonts w:ascii="仿宋" w:hAnsi="仿宋" w:eastAsia="仿宋"/>
                <w:b w:val="0"/>
                <w:sz w:val="22"/>
              </w:rPr>
              <w:t>2</w:t>
            </w:r>
          </w:p>
        </w:tc>
        <w:tc>
          <w:tcPr>
            <w:tcW w:w="1701" w:type="dxa"/>
          </w:tcPr>
          <w:p>
            <w:pPr>
              <w:spacing w:before="40" w:after="40" w:line="400" w:lineRule="exact"/>
              <w:ind w:firstLine="0"/>
              <w:jc w:val="center"/>
            </w:pPr>
            <w:r>
              <w:rPr>
                <w:rFonts w:ascii="仿宋" w:hAnsi="仿宋" w:eastAsia="仿宋"/>
                <w:b w:val="0"/>
                <w:sz w:val="22"/>
              </w:rPr>
              <w:t>创新性与业务价值</w:t>
            </w:r>
          </w:p>
        </w:tc>
        <w:tc>
          <w:tcPr>
            <w:tcW w:w="2835" w:type="dxa"/>
          </w:tcPr>
          <w:p>
            <w:pPr>
              <w:spacing w:before="40" w:after="40" w:line="400" w:lineRule="exact"/>
              <w:ind w:firstLine="0"/>
              <w:jc w:val="left"/>
            </w:pPr>
            <w:r>
              <w:rPr>
                <w:rFonts w:ascii="仿宋" w:hAnsi="仿宋" w:eastAsia="仿宋"/>
                <w:b w:val="0"/>
                <w:sz w:val="22"/>
              </w:rPr>
              <w:t>应用场景的创新程度、方案解决的实际业务痛点、预期降本增效效果</w:t>
            </w:r>
          </w:p>
        </w:tc>
        <w:tc>
          <w:tcPr>
            <w:tcW w:w="850" w:type="dxa"/>
          </w:tcPr>
          <w:p>
            <w:pPr>
              <w:spacing w:before="40" w:after="40" w:line="400" w:lineRule="exact"/>
              <w:ind w:firstLine="0"/>
              <w:jc w:val="left"/>
            </w:pPr>
            <w:r>
              <w:rPr>
                <w:rFonts w:hint="eastAsia"/>
                <w:b w:val="0"/>
                <w:sz w:val="22"/>
                <w:lang w:val="en-US" w:eastAsia="zh-CN"/>
              </w:rPr>
              <w:t>25%</w:t>
            </w:r>
          </w:p>
        </w:tc>
        <w:tc>
          <w:tcPr>
            <w:tcW w:w="850" w:type="dxa"/>
          </w:tcPr>
          <w:p>
            <w:pPr>
              <w:spacing w:before="40" w:after="40" w:line="400" w:lineRule="exact"/>
              <w:ind w:firstLine="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tcPr>
          <w:p>
            <w:pPr>
              <w:spacing w:before="40" w:after="40" w:line="400" w:lineRule="exact"/>
              <w:ind w:firstLine="0"/>
              <w:jc w:val="center"/>
            </w:pPr>
            <w:r>
              <w:rPr>
                <w:rFonts w:ascii="仿宋" w:hAnsi="仿宋" w:eastAsia="仿宋"/>
                <w:b w:val="0"/>
                <w:sz w:val="22"/>
              </w:rPr>
              <w:t>3</w:t>
            </w:r>
          </w:p>
        </w:tc>
        <w:tc>
          <w:tcPr>
            <w:tcW w:w="1701" w:type="dxa"/>
          </w:tcPr>
          <w:p>
            <w:pPr>
              <w:spacing w:before="40" w:after="40" w:line="400" w:lineRule="exact"/>
              <w:ind w:firstLine="0"/>
              <w:jc w:val="center"/>
            </w:pPr>
            <w:r>
              <w:rPr>
                <w:rFonts w:ascii="仿宋" w:hAnsi="仿宋" w:eastAsia="仿宋"/>
                <w:b w:val="0"/>
                <w:sz w:val="22"/>
              </w:rPr>
              <w:t>技术含量与实现深度</w:t>
            </w:r>
          </w:p>
        </w:tc>
        <w:tc>
          <w:tcPr>
            <w:tcW w:w="2835" w:type="dxa"/>
          </w:tcPr>
          <w:p>
            <w:pPr>
              <w:spacing w:before="40" w:after="40" w:line="400" w:lineRule="exact"/>
              <w:ind w:firstLine="0"/>
              <w:jc w:val="left"/>
            </w:pPr>
            <w:r>
              <w:rPr>
                <w:rFonts w:ascii="仿宋" w:hAnsi="仿宋" w:eastAsia="仿宋"/>
                <w:b w:val="0"/>
                <w:sz w:val="22"/>
              </w:rPr>
              <w:t>方案涉及的技术复杂度、智能体平台功能的运用深度、技术实现的质量</w:t>
            </w:r>
          </w:p>
        </w:tc>
        <w:tc>
          <w:tcPr>
            <w:tcW w:w="850" w:type="dxa"/>
          </w:tcPr>
          <w:p>
            <w:pPr>
              <w:spacing w:before="40" w:after="40" w:line="400" w:lineRule="exact"/>
              <w:ind w:firstLine="0"/>
              <w:jc w:val="left"/>
            </w:pPr>
            <w:r>
              <w:rPr>
                <w:rFonts w:ascii="仿宋" w:hAnsi="仿宋" w:eastAsia="仿宋"/>
                <w:b w:val="0"/>
                <w:sz w:val="22"/>
              </w:rPr>
              <w:t>25%</w:t>
            </w:r>
          </w:p>
        </w:tc>
        <w:tc>
          <w:tcPr>
            <w:tcW w:w="850" w:type="dxa"/>
          </w:tcPr>
          <w:p>
            <w:pPr>
              <w:spacing w:before="40" w:after="40" w:line="400" w:lineRule="exact"/>
              <w:ind w:firstLine="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before="40" w:after="40" w:line="400" w:lineRule="exact"/>
              <w:ind w:firstLine="0"/>
              <w:jc w:val="center"/>
            </w:pPr>
            <w:r>
              <w:rPr>
                <w:rFonts w:ascii="仿宋" w:hAnsi="仿宋" w:eastAsia="仿宋"/>
                <w:b w:val="0"/>
                <w:sz w:val="22"/>
              </w:rPr>
              <w:t>4</w:t>
            </w:r>
          </w:p>
        </w:tc>
        <w:tc>
          <w:tcPr>
            <w:tcW w:w="1701" w:type="dxa"/>
          </w:tcPr>
          <w:p>
            <w:pPr>
              <w:spacing w:before="40" w:after="40" w:line="400" w:lineRule="exact"/>
              <w:ind w:firstLine="0"/>
              <w:jc w:val="center"/>
            </w:pPr>
            <w:r>
              <w:rPr>
                <w:rFonts w:ascii="仿宋" w:hAnsi="仿宋" w:eastAsia="仿宋"/>
                <w:b w:val="0"/>
                <w:sz w:val="22"/>
              </w:rPr>
              <w:t>材料规范与质量</w:t>
            </w:r>
          </w:p>
        </w:tc>
        <w:tc>
          <w:tcPr>
            <w:tcW w:w="2835" w:type="dxa"/>
          </w:tcPr>
          <w:p>
            <w:pPr>
              <w:spacing w:before="40" w:after="40" w:line="400" w:lineRule="exact"/>
              <w:ind w:firstLine="0"/>
              <w:jc w:val="left"/>
            </w:pPr>
            <w:r>
              <w:rPr>
                <w:rFonts w:ascii="仿宋" w:hAnsi="仿宋" w:eastAsia="仿宋"/>
                <w:b w:val="0"/>
                <w:sz w:val="22"/>
              </w:rPr>
              <w:t>提交材料的完整性、文档规范性、成果展示录屏与说明的清晰度</w:t>
            </w:r>
          </w:p>
        </w:tc>
        <w:tc>
          <w:tcPr>
            <w:tcW w:w="850" w:type="dxa"/>
          </w:tcPr>
          <w:p>
            <w:pPr>
              <w:spacing w:before="40" w:after="40" w:line="400" w:lineRule="exact"/>
              <w:ind w:firstLine="0"/>
              <w:jc w:val="left"/>
            </w:pPr>
            <w:r>
              <w:rPr>
                <w:rFonts w:hint="eastAsia"/>
                <w:b w:val="0"/>
                <w:sz w:val="22"/>
                <w:lang w:val="en-US" w:eastAsia="zh-CN"/>
              </w:rPr>
              <w:t>20%</w:t>
            </w:r>
          </w:p>
        </w:tc>
        <w:tc>
          <w:tcPr>
            <w:tcW w:w="850" w:type="dxa"/>
          </w:tcPr>
          <w:p>
            <w:pPr>
              <w:spacing w:before="40" w:after="40" w:line="400" w:lineRule="exact"/>
              <w:ind w:firstLine="0"/>
              <w:jc w:val="left"/>
            </w:pPr>
          </w:p>
        </w:tc>
      </w:tr>
    </w:tbl>
    <w:p>
      <w:pPr>
        <w:spacing w:line="560" w:lineRule="exact"/>
        <w:ind w:firstLine="0"/>
        <w:jc w:val="center"/>
        <w:rPr>
          <w:rFonts w:ascii="仿宋" w:hAnsi="仿宋" w:eastAsia="仿宋"/>
          <w:sz w:val="28"/>
        </w:rPr>
      </w:pPr>
    </w:p>
    <w:p>
      <w:pPr>
        <w:spacing w:line="560" w:lineRule="exact"/>
        <w:ind w:firstLine="0"/>
        <w:jc w:val="center"/>
      </w:pPr>
      <w:r>
        <w:rPr>
          <w:rFonts w:ascii="仿宋" w:hAnsi="仿宋" w:eastAsia="仿宋"/>
          <w:sz w:val="28"/>
        </w:rPr>
        <w:t>表</w:t>
      </w:r>
      <w:r>
        <w:rPr>
          <w:rFonts w:hint="eastAsia"/>
          <w:sz w:val="28"/>
          <w:lang w:val="en-US" w:eastAsia="zh-CN"/>
        </w:rPr>
        <w:t>7</w:t>
      </w:r>
      <w:r>
        <w:rPr>
          <w:rFonts w:ascii="仿宋" w:hAnsi="仿宋" w:eastAsia="仿宋"/>
          <w:sz w:val="28"/>
        </w:rPr>
        <w:t xml:space="preserve">  决赛第二阶段评分标准</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701"/>
        <w:gridCol w:w="2835"/>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shd w:val="clear" w:color="auto" w:fill="D9E2F3"/>
          </w:tcPr>
          <w:p>
            <w:pPr>
              <w:spacing w:before="40" w:after="40" w:line="400" w:lineRule="exact"/>
              <w:ind w:firstLine="0"/>
              <w:jc w:val="center"/>
            </w:pPr>
            <w:r>
              <w:rPr>
                <w:rFonts w:ascii="黑体" w:hAnsi="黑体" w:eastAsia="黑体"/>
                <w:b/>
                <w:sz w:val="22"/>
              </w:rPr>
              <w:t>序号</w:t>
            </w:r>
          </w:p>
        </w:tc>
        <w:tc>
          <w:tcPr>
            <w:tcW w:w="1701" w:type="dxa"/>
            <w:shd w:val="clear" w:color="auto" w:fill="D9E2F3"/>
          </w:tcPr>
          <w:p>
            <w:pPr>
              <w:spacing w:before="40" w:after="40" w:line="400" w:lineRule="exact"/>
              <w:ind w:firstLine="0"/>
              <w:jc w:val="center"/>
            </w:pPr>
            <w:r>
              <w:rPr>
                <w:rFonts w:ascii="黑体" w:hAnsi="黑体" w:eastAsia="黑体"/>
                <w:b/>
                <w:sz w:val="22"/>
              </w:rPr>
              <w:t>评审维度</w:t>
            </w:r>
          </w:p>
        </w:tc>
        <w:tc>
          <w:tcPr>
            <w:tcW w:w="2835" w:type="dxa"/>
            <w:shd w:val="clear" w:color="auto" w:fill="D9E2F3"/>
          </w:tcPr>
          <w:p>
            <w:pPr>
              <w:spacing w:before="40" w:after="40" w:line="400" w:lineRule="exact"/>
              <w:ind w:firstLine="0"/>
              <w:jc w:val="center"/>
            </w:pPr>
            <w:r>
              <w:rPr>
                <w:rFonts w:ascii="黑体" w:hAnsi="黑体" w:eastAsia="黑体"/>
                <w:b/>
                <w:sz w:val="22"/>
              </w:rPr>
              <w:t>评审要点</w:t>
            </w:r>
          </w:p>
        </w:tc>
        <w:tc>
          <w:tcPr>
            <w:tcW w:w="850" w:type="dxa"/>
            <w:shd w:val="clear" w:color="auto" w:fill="D9E2F3"/>
          </w:tcPr>
          <w:p>
            <w:pPr>
              <w:spacing w:before="40" w:after="40" w:line="400" w:lineRule="exact"/>
              <w:ind w:firstLine="0"/>
              <w:jc w:val="center"/>
            </w:pPr>
            <w:r>
              <w:rPr>
                <w:rFonts w:ascii="黑体" w:hAnsi="黑体" w:eastAsia="黑体"/>
                <w:b/>
                <w:sz w:val="22"/>
              </w:rPr>
              <w:t>分值</w:t>
            </w:r>
          </w:p>
        </w:tc>
        <w:tc>
          <w:tcPr>
            <w:tcW w:w="850" w:type="dxa"/>
            <w:shd w:val="clear" w:color="auto" w:fill="D9E2F3"/>
          </w:tcPr>
          <w:p>
            <w:pPr>
              <w:spacing w:before="40" w:after="40" w:line="400" w:lineRule="exact"/>
              <w:ind w:firstLine="0"/>
              <w:jc w:val="center"/>
            </w:pPr>
            <w:r>
              <w:rPr>
                <w:rFonts w:ascii="黑体" w:hAnsi="黑体" w:eastAsia="黑体"/>
                <w:b/>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before="40" w:after="40" w:line="400" w:lineRule="exact"/>
              <w:ind w:firstLine="0"/>
              <w:jc w:val="center"/>
            </w:pPr>
            <w:r>
              <w:rPr>
                <w:rFonts w:ascii="仿宋" w:hAnsi="仿宋" w:eastAsia="仿宋"/>
                <w:b w:val="0"/>
                <w:sz w:val="22"/>
              </w:rPr>
              <w:t>1</w:t>
            </w:r>
          </w:p>
        </w:tc>
        <w:tc>
          <w:tcPr>
            <w:tcW w:w="1701" w:type="dxa"/>
          </w:tcPr>
          <w:p>
            <w:pPr>
              <w:spacing w:before="40" w:after="40" w:line="400" w:lineRule="exact"/>
              <w:ind w:firstLine="0"/>
              <w:jc w:val="center"/>
            </w:pPr>
            <w:r>
              <w:rPr>
                <w:rFonts w:ascii="仿宋" w:hAnsi="仿宋" w:eastAsia="仿宋"/>
                <w:b w:val="0"/>
                <w:sz w:val="22"/>
              </w:rPr>
              <w:t>技术实现</w:t>
            </w:r>
          </w:p>
        </w:tc>
        <w:tc>
          <w:tcPr>
            <w:tcW w:w="2835" w:type="dxa"/>
          </w:tcPr>
          <w:p>
            <w:pPr>
              <w:spacing w:before="40" w:after="40" w:line="400" w:lineRule="exact"/>
              <w:ind w:firstLine="0"/>
              <w:jc w:val="left"/>
            </w:pPr>
            <w:r>
              <w:rPr>
                <w:rFonts w:ascii="仿宋" w:hAnsi="仿宋" w:eastAsia="仿宋"/>
                <w:b w:val="0"/>
                <w:sz w:val="22"/>
              </w:rPr>
              <w:t>智能体搭建的技术质量、功能完整度、模型编排合理性、数据处理准确性</w:t>
            </w:r>
          </w:p>
        </w:tc>
        <w:tc>
          <w:tcPr>
            <w:tcW w:w="850" w:type="dxa"/>
          </w:tcPr>
          <w:p>
            <w:pPr>
              <w:spacing w:before="40" w:after="40" w:line="400" w:lineRule="exact"/>
              <w:ind w:firstLine="0"/>
              <w:jc w:val="left"/>
            </w:pPr>
            <w:r>
              <w:rPr>
                <w:rFonts w:ascii="仿宋" w:hAnsi="仿宋" w:eastAsia="仿宋"/>
                <w:b w:val="0"/>
                <w:sz w:val="22"/>
              </w:rPr>
              <w:t>25%</w:t>
            </w:r>
          </w:p>
        </w:tc>
        <w:tc>
          <w:tcPr>
            <w:tcW w:w="850" w:type="dxa"/>
          </w:tcPr>
          <w:p>
            <w:pPr>
              <w:spacing w:before="40" w:after="40" w:line="400" w:lineRule="exact"/>
              <w:ind w:firstLine="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before="40" w:after="40" w:line="400" w:lineRule="exact"/>
              <w:ind w:firstLine="0"/>
              <w:jc w:val="center"/>
            </w:pPr>
            <w:r>
              <w:rPr>
                <w:rFonts w:ascii="仿宋" w:hAnsi="仿宋" w:eastAsia="仿宋"/>
                <w:b w:val="0"/>
                <w:sz w:val="22"/>
              </w:rPr>
              <w:t>2</w:t>
            </w:r>
          </w:p>
        </w:tc>
        <w:tc>
          <w:tcPr>
            <w:tcW w:w="1701" w:type="dxa"/>
          </w:tcPr>
          <w:p>
            <w:pPr>
              <w:spacing w:before="40" w:after="40" w:line="400" w:lineRule="exact"/>
              <w:ind w:firstLine="0"/>
              <w:jc w:val="center"/>
            </w:pPr>
            <w:r>
              <w:rPr>
                <w:rFonts w:ascii="仿宋" w:hAnsi="仿宋" w:eastAsia="仿宋"/>
                <w:b w:val="0"/>
                <w:sz w:val="22"/>
              </w:rPr>
              <w:t>用户体验</w:t>
            </w:r>
          </w:p>
        </w:tc>
        <w:tc>
          <w:tcPr>
            <w:tcW w:w="2835" w:type="dxa"/>
          </w:tcPr>
          <w:p>
            <w:pPr>
              <w:spacing w:before="40" w:after="40" w:line="400" w:lineRule="exact"/>
              <w:ind w:firstLine="0"/>
              <w:jc w:val="left"/>
            </w:pPr>
            <w:r>
              <w:rPr>
                <w:rFonts w:ascii="仿宋" w:hAnsi="仿宋" w:eastAsia="仿宋"/>
                <w:b w:val="0"/>
                <w:sz w:val="22"/>
              </w:rPr>
              <w:t>交互设计友好度、响应流畅度、界面美观度、操作便捷性</w:t>
            </w:r>
          </w:p>
        </w:tc>
        <w:tc>
          <w:tcPr>
            <w:tcW w:w="850" w:type="dxa"/>
          </w:tcPr>
          <w:p>
            <w:pPr>
              <w:spacing w:before="40" w:after="40" w:line="400" w:lineRule="exact"/>
              <w:ind w:firstLine="0"/>
              <w:jc w:val="left"/>
            </w:pPr>
            <w:r>
              <w:rPr>
                <w:rFonts w:hint="eastAsia"/>
                <w:b w:val="0"/>
                <w:sz w:val="22"/>
                <w:lang w:val="en-US" w:eastAsia="zh-CN"/>
              </w:rPr>
              <w:t>25%</w:t>
            </w:r>
          </w:p>
        </w:tc>
        <w:tc>
          <w:tcPr>
            <w:tcW w:w="850" w:type="dxa"/>
          </w:tcPr>
          <w:p>
            <w:pPr>
              <w:spacing w:before="40" w:after="40" w:line="400" w:lineRule="exact"/>
              <w:ind w:firstLine="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tcPr>
          <w:p>
            <w:pPr>
              <w:spacing w:before="40" w:after="40" w:line="400" w:lineRule="exact"/>
              <w:ind w:firstLine="0"/>
              <w:jc w:val="center"/>
            </w:pPr>
            <w:r>
              <w:rPr>
                <w:rFonts w:ascii="仿宋" w:hAnsi="仿宋" w:eastAsia="仿宋"/>
                <w:b w:val="0"/>
                <w:sz w:val="22"/>
              </w:rPr>
              <w:t>3</w:t>
            </w:r>
          </w:p>
        </w:tc>
        <w:tc>
          <w:tcPr>
            <w:tcW w:w="1701" w:type="dxa"/>
          </w:tcPr>
          <w:p>
            <w:pPr>
              <w:spacing w:before="40" w:after="40" w:line="400" w:lineRule="exact"/>
              <w:ind w:firstLine="0"/>
              <w:jc w:val="center"/>
            </w:pPr>
            <w:r>
              <w:rPr>
                <w:rFonts w:ascii="仿宋" w:hAnsi="仿宋" w:eastAsia="仿宋"/>
                <w:b w:val="0"/>
                <w:sz w:val="22"/>
              </w:rPr>
              <w:t>创意与创新</w:t>
            </w:r>
          </w:p>
        </w:tc>
        <w:tc>
          <w:tcPr>
            <w:tcW w:w="2835" w:type="dxa"/>
          </w:tcPr>
          <w:p>
            <w:pPr>
              <w:spacing w:before="40" w:after="40" w:line="400" w:lineRule="exact"/>
              <w:ind w:firstLine="0"/>
              <w:jc w:val="left"/>
            </w:pPr>
            <w:r>
              <w:rPr>
                <w:rFonts w:ascii="仿宋" w:hAnsi="仿宋" w:eastAsia="仿宋"/>
                <w:b w:val="0"/>
                <w:sz w:val="22"/>
              </w:rPr>
              <w:t>场景创新性、技术应用创新、功能创意亮点、差异化优势</w:t>
            </w:r>
          </w:p>
        </w:tc>
        <w:tc>
          <w:tcPr>
            <w:tcW w:w="850" w:type="dxa"/>
          </w:tcPr>
          <w:p>
            <w:pPr>
              <w:spacing w:before="40" w:after="40" w:line="400" w:lineRule="exact"/>
              <w:ind w:firstLine="0"/>
              <w:jc w:val="left"/>
            </w:pPr>
            <w:r>
              <w:rPr>
                <w:rFonts w:ascii="仿宋" w:hAnsi="仿宋" w:eastAsia="仿宋"/>
                <w:b w:val="0"/>
                <w:sz w:val="22"/>
              </w:rPr>
              <w:t>20%</w:t>
            </w:r>
          </w:p>
        </w:tc>
        <w:tc>
          <w:tcPr>
            <w:tcW w:w="850" w:type="dxa"/>
          </w:tcPr>
          <w:p>
            <w:pPr>
              <w:spacing w:before="40" w:after="40" w:line="400" w:lineRule="exact"/>
              <w:ind w:firstLine="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before="40" w:after="40" w:line="400" w:lineRule="exact"/>
              <w:ind w:firstLine="0"/>
              <w:jc w:val="center"/>
            </w:pPr>
            <w:r>
              <w:rPr>
                <w:rFonts w:ascii="仿宋" w:hAnsi="仿宋" w:eastAsia="仿宋"/>
                <w:b w:val="0"/>
                <w:sz w:val="22"/>
              </w:rPr>
              <w:t>4</w:t>
            </w:r>
          </w:p>
        </w:tc>
        <w:tc>
          <w:tcPr>
            <w:tcW w:w="1701" w:type="dxa"/>
          </w:tcPr>
          <w:p>
            <w:pPr>
              <w:spacing w:before="40" w:after="40" w:line="400" w:lineRule="exact"/>
              <w:ind w:firstLine="0"/>
              <w:jc w:val="center"/>
            </w:pPr>
            <w:r>
              <w:rPr>
                <w:rFonts w:ascii="仿宋" w:hAnsi="仿宋" w:eastAsia="仿宋"/>
                <w:b w:val="0"/>
                <w:sz w:val="22"/>
              </w:rPr>
              <w:t>路演与答辩效果</w:t>
            </w:r>
          </w:p>
        </w:tc>
        <w:tc>
          <w:tcPr>
            <w:tcW w:w="2835" w:type="dxa"/>
          </w:tcPr>
          <w:p>
            <w:pPr>
              <w:spacing w:before="40" w:after="40" w:line="400" w:lineRule="exact"/>
              <w:ind w:firstLine="0"/>
              <w:jc w:val="left"/>
            </w:pPr>
            <w:r>
              <w:rPr>
                <w:rFonts w:ascii="仿宋" w:hAnsi="仿宋" w:eastAsia="仿宋"/>
                <w:b w:val="0"/>
                <w:sz w:val="22"/>
              </w:rPr>
              <w:t>现场演示的完整性、表达清晰度、成果展示效果、答辩回答质量、推广应用价值</w:t>
            </w:r>
          </w:p>
        </w:tc>
        <w:tc>
          <w:tcPr>
            <w:tcW w:w="850" w:type="dxa"/>
          </w:tcPr>
          <w:p>
            <w:pPr>
              <w:spacing w:before="40" w:after="40" w:line="400" w:lineRule="exact"/>
              <w:ind w:firstLine="0"/>
              <w:jc w:val="left"/>
            </w:pPr>
            <w:r>
              <w:rPr>
                <w:rFonts w:hint="eastAsia"/>
                <w:b w:val="0"/>
                <w:sz w:val="22"/>
                <w:lang w:val="en-US" w:eastAsia="zh-CN"/>
              </w:rPr>
              <w:t>30%</w:t>
            </w:r>
          </w:p>
        </w:tc>
        <w:tc>
          <w:tcPr>
            <w:tcW w:w="850" w:type="dxa"/>
          </w:tcPr>
          <w:p>
            <w:pPr>
              <w:spacing w:before="40" w:after="40" w:line="400" w:lineRule="exact"/>
              <w:ind w:firstLine="0"/>
              <w:jc w:val="left"/>
            </w:pPr>
          </w:p>
        </w:tc>
      </w:tr>
    </w:tbl>
    <w:p>
      <w:pPr>
        <w:spacing w:line="120" w:lineRule="exact"/>
        <w:ind w:firstLine="0"/>
      </w:pP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（三）成绩评定办法</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 参赛选手的成绩评定由评审专家组负责。评审专家组由竞赛组委会组建，依照本方案承担个人赛和团体赛各阶段评审与打分的具体工作。</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 个人赛初赛（如开展）理论知识竞赛由评审专家组统一阅卷评分。决赛实操由评审专家组现场依据参赛选手的实操情况，按竞赛评分标准集体评判、计分。个人赛实行100分制。当总成绩相同时，由评审专家组合议确定名次。</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 团体赛参赛队伍的最终名次依据决赛第二阶段的综合成绩进行排序。决赛第二阶段综合成绩=技术实现得分×25%+用户体验得分×25%+创意与创新得分×20%+路演与答辩效果得分×30%。决赛第一阶段成绩仅用于筛选入围第二阶段队伍，不计入最终排名。当综合成绩相同时，以路演与答辩效果得分高者名次在前；仍相同时，由评审专家组合议确定名次。</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 各赛项奖项设置及名额按竞赛实施方案执行。</w:t>
      </w:r>
    </w:p>
    <w:p>
      <w:pPr>
        <w:keepNext w:val="0"/>
        <w:keepLines w:val="0"/>
        <w:pageBreakBefore w:val="0"/>
        <w:widowControl/>
        <w:tabs>
          <w:tab w:val="center" w:pos="4744"/>
        </w:tabs>
        <w:kinsoku/>
        <w:wordWrap/>
        <w:overflowPunct/>
        <w:topLinePunct w:val="0"/>
        <w:autoSpaceDE/>
        <w:autoSpaceDN/>
        <w:bidi w:val="0"/>
        <w:adjustRightInd/>
        <w:snapToGrid/>
        <w:spacing w:line="360" w:lineRule="auto"/>
        <w:ind w:left="0" w:leftChars="0" w:firstLine="640" w:firstLineChars="200"/>
        <w:textAlignment w:val="auto"/>
        <w:rPr>
          <w:rFonts w:hint="eastAsia" w:ascii="方正黑体简体" w:hAnsi="方正黑体简体" w:eastAsia="方正黑体简体" w:cs="方正黑体简体"/>
          <w:sz w:val="32"/>
          <w:szCs w:val="32"/>
          <w:highlight w:val="none"/>
          <w:lang w:eastAsia="zh-CN"/>
        </w:rPr>
      </w:pPr>
      <w:r>
        <w:rPr>
          <w:rFonts w:hint="eastAsia" w:ascii="方正黑体简体" w:hAnsi="方正黑体简体" w:eastAsia="方正黑体简体" w:cs="方正黑体简体"/>
          <w:sz w:val="32"/>
          <w:szCs w:val="32"/>
          <w:highlight w:val="none"/>
          <w:lang w:eastAsia="zh-CN"/>
        </w:rPr>
        <w:t>六、竞赛场地与设备</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（一）竞赛场地</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 个人赛初赛理论知识竞赛场地（如开展初赛）：具体场地另行通知。</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 决赛实操竞赛场地设在台山核电合营有限公司，竞赛场地配置竞赛所需的统一环境。</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 团体赛决赛第二阶段路演展示与答辩：具体场地另行通知。</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（二）竞赛设备</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竞赛设备由竞赛组委会统一提供和标准化配置，个人赛竞赛场地配备电脑录屏软件、视频监控等作为竞赛过程记录及争议处理依据；团体赛决赛第二阶段路演展示与答辩场地配备展示设备。</w:t>
      </w:r>
    </w:p>
    <w:p>
      <w:pPr>
        <w:keepNext w:val="0"/>
        <w:keepLines w:val="0"/>
        <w:pageBreakBefore w:val="0"/>
        <w:widowControl/>
        <w:tabs>
          <w:tab w:val="center" w:pos="4744"/>
        </w:tabs>
        <w:kinsoku/>
        <w:wordWrap/>
        <w:overflowPunct/>
        <w:topLinePunct w:val="0"/>
        <w:autoSpaceDE/>
        <w:autoSpaceDN/>
        <w:bidi w:val="0"/>
        <w:adjustRightInd/>
        <w:snapToGrid/>
        <w:spacing w:line="360" w:lineRule="auto"/>
        <w:ind w:left="0" w:leftChars="0" w:firstLine="640" w:firstLineChars="200"/>
        <w:textAlignment w:val="auto"/>
        <w:rPr>
          <w:rFonts w:hint="eastAsia" w:ascii="方正黑体简体" w:hAnsi="方正黑体简体" w:eastAsia="方正黑体简体" w:cs="方正黑体简体"/>
          <w:sz w:val="32"/>
          <w:szCs w:val="32"/>
          <w:highlight w:val="none"/>
          <w:lang w:eastAsia="zh-CN"/>
        </w:rPr>
      </w:pPr>
      <w:r>
        <w:rPr>
          <w:rFonts w:hint="eastAsia" w:ascii="方正黑体简体" w:hAnsi="方正黑体简体" w:eastAsia="方正黑体简体" w:cs="方正黑体简体"/>
          <w:sz w:val="32"/>
          <w:szCs w:val="32"/>
          <w:highlight w:val="none"/>
          <w:lang w:eastAsia="zh-CN"/>
        </w:rPr>
        <w:t>七、竞赛规则</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（一）理论知识竞赛守则（如开展初赛）</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 参赛选手需提前30分钟凭有效身份证件和参赛证进入赛场，对号入座并将证件放在座位左上角，以备查验。迟到15分钟不得入场，开赛30分钟后方可交卷离场。</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 参赛选手不得将相关技术资料和工具书带入赛场。</w:t>
      </w:r>
      <w:r>
        <w:rPr>
          <w:rFonts w:hint="default" w:ascii="仿宋" w:hAnsi="仿宋" w:eastAsia="仿宋"/>
          <w:sz w:val="32"/>
          <w:szCs w:val="32"/>
          <w:lang w:val="en-US" w:eastAsia="zh-CN"/>
        </w:rPr>
        <w:t>所有的通信工具和摄像工具不得带入比赛现场</w:t>
      </w:r>
      <w:r>
        <w:rPr>
          <w:rFonts w:hint="eastAsia" w:ascii="仿宋" w:hAnsi="仿宋" w:eastAsia="仿宋"/>
          <w:sz w:val="32"/>
          <w:szCs w:val="32"/>
          <w:lang w:val="en-US" w:eastAsia="zh-CN"/>
        </w:rPr>
        <w:t>。在赛场上应自觉遵守赛场秩序，保持安静，竞赛进行过程中不允许任何形式的交谈，不得大声喧哗吵闹，否则将给予警告直至取消竞赛资格。冒名顶替、弄虚作假、作弊者，取消竞赛资格及成绩并视情况向所在单位通报。</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 竞赛规定时间结束时，选手应立即停止答题，有序离开赛场。</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（二）实操竞赛守则</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en-US"/>
        </w:rPr>
      </w:pPr>
      <w:r>
        <w:rPr>
          <w:rFonts w:hint="eastAsia" w:ascii="仿宋" w:hAnsi="仿宋" w:eastAsia="仿宋"/>
          <w:sz w:val="32"/>
          <w:szCs w:val="32"/>
          <w:lang w:val="en-US" w:eastAsia="zh-CN"/>
        </w:rPr>
        <w:t>1. 实操竞赛选手的出场顺序和工位由抽签决定。实操竞赛期间，对全部选手实行全封闭管理。封闭休息室统一提供食品和饮水。不得携带手机等移动通信或上网设备、复习资料等。</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 参赛选手需提前30分钟凭有效身份证件和参赛证进入赛场，对竞赛电脑设备等进行检查确认。</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 宣布竞赛开始后，统一开始计时。</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 参赛选手按赛题完成操作，并主动配合监考人员开启答题录屏。</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 竞赛过程中，监考人员应密切关注每名参赛选手的操作过程，发现违规行为及时制止并记录。</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 竞赛过程中，参赛选手必须严格遵守安全操作规程，接受监考人员、现场技术服务人员的监督和警示，确保设备及人身安全。</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7. 参赛选手若提前结束竞赛，应向监考人员举手示意，竞赛终止时间由监考人员记录，结束竞赛后不得再进行任何操作，进入封闭休息室直到实操考试结束。</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8. 因设备自身故障导致选手中断竞赛，经确认后由大赛裁判长视情况做出裁决。</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9. 参赛选手在比赛过程中，如遇问题需举手向监考人员提问，选手之间互相询问按作弊处理。</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10. 当听到竞赛结束命令时，参赛选手应立即停止操作，不得以任何理由拖延比赛时间。离开比赛场地时，不得将草稿纸等与比赛有关的物品带离赛场。</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11. 竞赛过程中由于选手个人因素（如身体条件）引起的竞赛无法正常进行，组委会将不对此负责，选手将以弃权处理。</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（三）赛场规则</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 赛务人员必须统一佩戴由竞赛组委会办公室制发的相关证件，着装整齐。</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 各赛场除现场评委、安全巡视和赛场配备的工作人员以外，其他人员赛前未经允许不得进入赛场。</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 新闻媒体等进入赛场必须经过组委会办公室允许，并且听从现场工作人员的安排和管理，不得影响比赛进行。</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（四）申诉与仲裁</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 参赛选手对不符合竞赛规定的工具和设备，有失公正的评审、计分，以及对工作人员的违规行为等，均可提出申诉。</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 选手申诉均须在竞赛结束后1小时内用书面形式向仲裁组提出。竞赛组委会办公室要认真负责地受理选手申诉，并在2小时内将处理意见书面反馈当事人。</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 仲裁组的裁决为最终裁决。</w:t>
      </w:r>
    </w:p>
    <w:p>
      <w:pPr>
        <w:keepNext w:val="0"/>
        <w:keepLines w:val="0"/>
        <w:pageBreakBefore w:val="0"/>
        <w:widowControl/>
        <w:tabs>
          <w:tab w:val="center" w:pos="4744"/>
        </w:tabs>
        <w:kinsoku/>
        <w:wordWrap/>
        <w:overflowPunct/>
        <w:topLinePunct w:val="0"/>
        <w:autoSpaceDE/>
        <w:autoSpaceDN/>
        <w:bidi w:val="0"/>
        <w:adjustRightInd/>
        <w:snapToGrid/>
        <w:spacing w:line="360" w:lineRule="auto"/>
        <w:ind w:left="0" w:leftChars="0" w:firstLine="0" w:firstLineChars="0"/>
        <w:textAlignment w:val="auto"/>
        <w:rPr>
          <w:rFonts w:hint="eastAsia" w:ascii="方正黑体简体" w:hAnsi="方正黑体简体" w:eastAsia="方正黑体简体" w:cs="方正黑体简体"/>
          <w:sz w:val="32"/>
          <w:szCs w:val="32"/>
          <w:highlight w:val="none"/>
          <w:lang w:eastAsia="zh-CN"/>
        </w:rPr>
      </w:pPr>
      <w:r>
        <w:rPr>
          <w:rFonts w:hint="eastAsia" w:ascii="方正黑体简体" w:hAnsi="方正黑体简体" w:eastAsia="方正黑体简体" w:cs="方正黑体简体"/>
          <w:sz w:val="32"/>
          <w:szCs w:val="32"/>
          <w:highlight w:val="none"/>
          <w:lang w:eastAsia="zh-CN"/>
        </w:rPr>
        <w:t>八、数字化成果征集（金场景、金案例）</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（一）征集背景与对象</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本次竞赛同步进行金场景与金案例等数字化成果征集，最终形成优秀案例清单，作为本次竞赛的核心输出物之一，沉淀企业数字化经验，展现企业数字化转型成果。金场景征集面向未落地创新想法，即尚未在任何智能体平台或数字化系统中实现的数智化创新想法；金案例征集面向已落地应用，即申报单位实际实施并已产生成效的数智化应用成果。</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（二）征集类别</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成果征集分设工业应用和通用办公两个类别，参赛作品按场景属性归入相应类别进行评审。</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（三）评审维度</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金场景重点评审创新性、可行性、价值潜力；金案例重点评审应用成效、可推广性、技术先进性。具体评审规则由竞赛组委会另行制定。</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（四）申报要求</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 申报单位须按照《江门市第六届职业技能大赛数智化创新应用职业技能竞赛金场景征集表》（实施方案附件3）或《金案例征集表》（实施方案附件4）要求填写征集表，并分别按照本技术方案附件1《金场景申报报告》模板、附件2《金案例申报报告》模板编制申报报告，与征集表一并提交，单独提交征集表视为无效。</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 提交格式：PDF+WORD双格式，文件名命名为“申报单位+金场景+场景名称”或“申报单位+金案例+案例名称”。</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 征集截止时间由组委会另行通知，逾期不接受申报。</w:t>
      </w:r>
    </w:p>
    <w:p>
      <w:pPr>
        <w:pStyle w:val="25"/>
        <w:keepNext w:val="0"/>
        <w:keepLines w:val="0"/>
        <w:pageBreakBefore w:val="0"/>
        <w:widowControl/>
        <w:kinsoku/>
        <w:wordWrap/>
        <w:overflowPunct/>
        <w:topLinePunct w:val="0"/>
        <w:autoSpaceDE/>
        <w:autoSpaceDN/>
        <w:bidi w:val="0"/>
        <w:adjustRightInd w:val="0"/>
        <w:snapToGrid w:val="0"/>
        <w:spacing w:before="181" w:beforeLines="50" w:after="181" w:afterLines="50" w:line="360" w:lineRule="auto"/>
        <w:ind w:right="280" w:rightChars="100" w:firstLine="640" w:firstLineChars="200"/>
        <w:textAlignment w:val="auto"/>
        <w:rPr>
          <w:rFonts w:hint="eastAsia" w:ascii="方正公文楷体" w:hAnsi="方正公文楷体" w:eastAsia="方正公文楷体" w:cs="方正公文楷体"/>
          <w:b w:val="0"/>
          <w:bCs/>
          <w:color w:val="000000"/>
          <w:sz w:val="32"/>
          <w:szCs w:val="32"/>
          <w:highlight w:val="none"/>
          <w:lang w:eastAsia="zh-CN"/>
        </w:rPr>
      </w:pPr>
      <w:r>
        <w:rPr>
          <w:rFonts w:hint="eastAsia" w:ascii="方正公文楷体" w:hAnsi="方正公文楷体" w:eastAsia="方正公文楷体" w:cs="方正公文楷体"/>
          <w:b w:val="0"/>
          <w:bCs/>
          <w:color w:val="000000"/>
          <w:sz w:val="32"/>
          <w:szCs w:val="32"/>
          <w:highlight w:val="none"/>
          <w:lang w:eastAsia="zh-CN"/>
        </w:rPr>
        <w:t>（五）成果展示</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金场景与金案例将提前征集，赛前完成评审，在比赛现场结合江门市级数字化转型成果、参赛企业数字化落地成果进行集中展示。</w:t>
      </w:r>
    </w:p>
    <w:p>
      <w:pPr>
        <w:pageBreakBefore/>
        <w:spacing w:line="600" w:lineRule="exact"/>
        <w:jc w:val="left"/>
      </w:pPr>
      <w:r>
        <w:rPr>
          <w:rFonts w:ascii="宋体" w:hAnsi="宋体" w:eastAsia="宋体"/>
          <w:b/>
          <w:sz w:val="28"/>
        </w:rPr>
        <w:t>附件1</w:t>
      </w:r>
    </w:p>
    <w:p>
      <w:pPr>
        <w:spacing w:line="600" w:lineRule="exact"/>
        <w:jc w:val="center"/>
      </w:pPr>
      <w:r>
        <w:rPr>
          <w:rFonts w:ascii="宋体" w:hAnsi="宋体" w:eastAsia="宋体"/>
          <w:b/>
          <w:sz w:val="36"/>
        </w:rPr>
        <w:t>江门市第六届职业技能大赛</w:t>
      </w:r>
    </w:p>
    <w:p>
      <w:pPr>
        <w:spacing w:line="600" w:lineRule="exact"/>
        <w:jc w:val="center"/>
        <w:rPr>
          <w:rFonts w:ascii="宋体" w:hAnsi="宋体" w:eastAsia="宋体"/>
          <w:b/>
          <w:sz w:val="36"/>
        </w:rPr>
      </w:pPr>
      <w:r>
        <w:rPr>
          <w:rFonts w:ascii="宋体" w:hAnsi="宋体" w:eastAsia="宋体"/>
          <w:b/>
          <w:sz w:val="36"/>
        </w:rPr>
        <w:t>数智化创新应用职业技能竞赛金场景</w:t>
      </w:r>
    </w:p>
    <w:p>
      <w:pPr>
        <w:spacing w:line="600" w:lineRule="exact"/>
        <w:jc w:val="center"/>
      </w:pPr>
      <w:r>
        <w:rPr>
          <w:rFonts w:ascii="宋体" w:hAnsi="宋体" w:eastAsia="宋体"/>
          <w:b/>
          <w:sz w:val="36"/>
        </w:rPr>
        <w:t>申报报告</w:t>
      </w:r>
    </w:p>
    <w:p>
      <w:pPr>
        <w:spacing w:before="240" w:after="120" w:line="560" w:lineRule="exact"/>
        <w:ind w:firstLine="562" w:firstLineChars="200"/>
        <w:jc w:val="left"/>
      </w:pPr>
      <w:r>
        <w:rPr>
          <w:rFonts w:ascii="黑体" w:hAnsi="黑体" w:eastAsia="黑体"/>
          <w:b/>
          <w:sz w:val="28"/>
        </w:rPr>
        <w:t>一、场景概述与痛点分析</w:t>
      </w:r>
    </w:p>
    <w:p>
      <w:pPr>
        <w:spacing w:line="560" w:lineRule="exact"/>
        <w:ind w:firstLine="420"/>
        <w:jc w:val="both"/>
        <w:rPr>
          <w:rFonts w:hint="eastAsia" w:ascii="仿宋" w:hAnsi="仿宋" w:eastAsia="仿宋" w:cs="仿宋"/>
          <w:b w:val="0"/>
          <w:bCs w:val="0"/>
          <w:i w:val="0"/>
          <w:iCs w:val="0"/>
          <w:sz w:val="28"/>
          <w:lang w:val="en-US" w:eastAsia="zh-CN"/>
        </w:rPr>
      </w:pPr>
      <w:r>
        <w:rPr>
          <w:rFonts w:hint="eastAsia" w:ascii="仿宋" w:hAnsi="仿宋" w:eastAsia="仿宋" w:cs="仿宋"/>
          <w:b w:val="0"/>
          <w:bCs w:val="0"/>
          <w:i w:val="0"/>
          <w:iCs w:val="0"/>
          <w:sz w:val="28"/>
          <w:lang w:val="en-US" w:eastAsia="zh-CN"/>
        </w:rPr>
        <w:t>用500-800字概述本场景的基本情况与核心痛点，包括：1.场景概述：场景所属业务领域、当前业务现状、场景的基本定义和适用范围；2.痛点分析：核心痛点（效率最低的环节）、量化现状（时间/人力/错误率等数据）、影响范围、根因分析；3.在行业发展趋势和政策背景下的意义。建议用数据说话，避免空泛描述。</w:t>
      </w:r>
    </w:p>
    <w:p>
      <w:pPr>
        <w:spacing w:before="240" w:after="120" w:line="560" w:lineRule="exact"/>
        <w:ind w:firstLine="562" w:firstLineChars="200"/>
        <w:jc w:val="left"/>
      </w:pPr>
      <w:r>
        <w:rPr>
          <w:rFonts w:ascii="黑体" w:hAnsi="黑体" w:eastAsia="黑体"/>
          <w:b/>
          <w:sz w:val="28"/>
        </w:rPr>
        <w:t>二、创新方案与技术路线</w:t>
      </w:r>
    </w:p>
    <w:p>
      <w:pPr>
        <w:spacing w:before="120" w:after="60" w:line="560" w:lineRule="exact"/>
        <w:ind w:firstLine="420"/>
        <w:jc w:val="left"/>
      </w:pPr>
      <w:r>
        <w:rPr>
          <w:rFonts w:ascii="楷体" w:hAnsi="楷体" w:eastAsia="楷体"/>
          <w:b/>
          <w:sz w:val="28"/>
        </w:rPr>
        <w:t>2.1 总体思路</w:t>
      </w:r>
    </w:p>
    <w:p>
      <w:pPr>
        <w:spacing w:line="560" w:lineRule="exact"/>
        <w:ind w:firstLine="420"/>
        <w:jc w:val="both"/>
        <w:rPr>
          <w:rFonts w:hint="eastAsia" w:ascii="仿宋" w:hAnsi="仿宋" w:eastAsia="仿宋" w:cs="仿宋"/>
          <w:b w:val="0"/>
          <w:bCs w:val="0"/>
          <w:i w:val="0"/>
          <w:iCs w:val="0"/>
          <w:sz w:val="28"/>
          <w:lang w:val="en-US" w:eastAsia="zh-CN"/>
        </w:rPr>
      </w:pPr>
      <w:r>
        <w:rPr>
          <w:rFonts w:hint="eastAsia" w:ascii="仿宋" w:hAnsi="仿宋" w:eastAsia="仿宋" w:cs="仿宋"/>
          <w:b w:val="0"/>
          <w:bCs w:val="0"/>
          <w:i w:val="0"/>
          <w:iCs w:val="0"/>
          <w:sz w:val="28"/>
          <w:lang w:val="en-US" w:eastAsia="zh-CN"/>
        </w:rPr>
        <w:t>用300-500字阐述创新解决方案的总体思路，包括：解决痛点的核心策略、创新点在哪里、与现有方案的区别。</w:t>
      </w:r>
    </w:p>
    <w:p>
      <w:pPr>
        <w:spacing w:before="120" w:after="60" w:line="560" w:lineRule="exact"/>
        <w:ind w:firstLine="420"/>
        <w:jc w:val="left"/>
      </w:pPr>
      <w:r>
        <w:rPr>
          <w:rFonts w:ascii="楷体" w:hAnsi="楷体" w:eastAsia="楷体"/>
          <w:b/>
          <w:sz w:val="28"/>
        </w:rPr>
        <w:t>2.2 核心功能与流程设计</w:t>
      </w:r>
    </w:p>
    <w:p>
      <w:pPr>
        <w:spacing w:line="560" w:lineRule="exact"/>
        <w:ind w:firstLine="420"/>
        <w:jc w:val="both"/>
        <w:rPr>
          <w:rFonts w:hint="eastAsia" w:ascii="仿宋" w:hAnsi="仿宋" w:eastAsia="仿宋" w:cs="仿宋"/>
          <w:b w:val="0"/>
          <w:bCs w:val="0"/>
          <w:i w:val="0"/>
          <w:iCs w:val="0"/>
          <w:sz w:val="28"/>
        </w:rPr>
      </w:pPr>
      <w:r>
        <w:rPr>
          <w:rFonts w:hint="eastAsia" w:ascii="仿宋" w:hAnsi="仿宋" w:eastAsia="仿宋" w:cs="仿宋"/>
          <w:b w:val="0"/>
          <w:bCs w:val="0"/>
          <w:i w:val="0"/>
          <w:iCs w:val="0"/>
          <w:sz w:val="28"/>
        </w:rPr>
        <w:t>用500-800字详细描述方案的核心功能和业务流程设计，包括：主要功能模块、关键业务流程、用户交互方式。建议附流程图或功能架构图。</w:t>
      </w:r>
    </w:p>
    <w:p>
      <w:pPr>
        <w:spacing w:before="120" w:after="60" w:line="560" w:lineRule="exact"/>
        <w:ind w:firstLine="420"/>
        <w:jc w:val="left"/>
      </w:pPr>
      <w:r>
        <w:rPr>
          <w:rFonts w:ascii="楷体" w:hAnsi="楷体" w:eastAsia="楷体"/>
          <w:b/>
          <w:sz w:val="28"/>
        </w:rPr>
        <w:t>2.3 创新性说明</w:t>
      </w:r>
    </w:p>
    <w:p>
      <w:pPr>
        <w:spacing w:line="560" w:lineRule="exact"/>
        <w:ind w:firstLine="420"/>
        <w:jc w:val="both"/>
        <w:rPr>
          <w:rFonts w:hint="eastAsia" w:ascii="仿宋" w:hAnsi="仿宋" w:eastAsia="仿宋" w:cs="仿宋"/>
          <w:b w:val="0"/>
          <w:bCs w:val="0"/>
          <w:i w:val="0"/>
          <w:iCs w:val="0"/>
          <w:sz w:val="28"/>
        </w:rPr>
      </w:pPr>
      <w:r>
        <w:rPr>
          <w:rFonts w:hint="eastAsia" w:ascii="仿宋" w:hAnsi="仿宋" w:eastAsia="仿宋" w:cs="仿宋"/>
          <w:b w:val="0"/>
          <w:bCs w:val="0"/>
          <w:i w:val="0"/>
          <w:iCs w:val="0"/>
          <w:sz w:val="28"/>
        </w:rPr>
        <w:t>用300-500字说明本方案的创新之处，包括：1.市面上同类方案的稀缺度；2.对现有流程/产品/痛点的颠覆性或改进幅度；3.独特的AI技术或跨界组合思路。</w:t>
      </w:r>
    </w:p>
    <w:p>
      <w:pPr>
        <w:spacing w:before="120" w:after="60" w:line="560" w:lineRule="exact"/>
        <w:ind w:firstLine="420"/>
        <w:jc w:val="left"/>
      </w:pPr>
      <w:r>
        <w:rPr>
          <w:rFonts w:ascii="楷体" w:hAnsi="楷体" w:eastAsia="楷体"/>
          <w:b/>
          <w:sz w:val="28"/>
        </w:rPr>
        <w:t>2.4 技术架构</w:t>
      </w:r>
    </w:p>
    <w:p>
      <w:pPr>
        <w:spacing w:line="560" w:lineRule="exact"/>
        <w:ind w:firstLine="420"/>
        <w:jc w:val="both"/>
        <w:rPr>
          <w:rFonts w:hint="eastAsia" w:ascii="仿宋" w:hAnsi="仿宋" w:eastAsia="仿宋" w:cs="仿宋"/>
          <w:b w:val="0"/>
          <w:bCs w:val="0"/>
          <w:i/>
          <w:iCs/>
          <w:sz w:val="28"/>
        </w:rPr>
      </w:pPr>
      <w:r>
        <w:rPr>
          <w:rFonts w:hint="eastAsia" w:ascii="仿宋" w:hAnsi="仿宋" w:eastAsia="仿宋" w:cs="仿宋"/>
          <w:b w:val="0"/>
          <w:bCs w:val="0"/>
          <w:i w:val="0"/>
          <w:iCs w:val="0"/>
          <w:sz w:val="28"/>
        </w:rPr>
        <w:t>用300-500字描述技术实现路线，包括：涉及的关键技术（AI大模型、RAG、MCP、低代码平台等）、技术架构设计、选用的工具平台及选型理由、数据安全与隐私保护措施。建议附技术架构图。</w:t>
      </w:r>
    </w:p>
    <w:p>
      <w:pPr>
        <w:spacing w:before="240" w:after="120" w:line="560" w:lineRule="exact"/>
        <w:ind w:firstLine="562" w:firstLineChars="200"/>
        <w:jc w:val="left"/>
      </w:pPr>
      <w:r>
        <w:rPr>
          <w:rFonts w:ascii="黑体" w:hAnsi="黑体" w:eastAsia="黑体"/>
          <w:b/>
          <w:sz w:val="28"/>
        </w:rPr>
        <w:t>三、可行性分析</w:t>
      </w:r>
    </w:p>
    <w:p>
      <w:pPr>
        <w:spacing w:before="120" w:after="60" w:line="560" w:lineRule="exact"/>
        <w:ind w:firstLine="420"/>
        <w:jc w:val="left"/>
      </w:pPr>
      <w:r>
        <w:rPr>
          <w:rFonts w:ascii="楷体" w:hAnsi="楷体" w:eastAsia="楷体"/>
          <w:b/>
          <w:sz w:val="28"/>
        </w:rPr>
        <w:t>3.1 技术可行性</w:t>
      </w:r>
    </w:p>
    <w:p>
      <w:pPr>
        <w:spacing w:line="560" w:lineRule="exact"/>
        <w:ind w:firstLine="420"/>
        <w:jc w:val="both"/>
        <w:rPr>
          <w:i w:val="0"/>
          <w:iCs w:val="0"/>
        </w:rPr>
      </w:pPr>
      <w:r>
        <w:rPr>
          <w:rFonts w:hint="eastAsia" w:ascii="仿宋" w:hAnsi="仿宋" w:eastAsia="仿宋" w:cs="仿宋"/>
          <w:b w:val="0"/>
          <w:bCs w:val="0"/>
          <w:i w:val="0"/>
          <w:iCs w:val="0"/>
          <w:sz w:val="28"/>
        </w:rPr>
        <w:t>分析技术实现的可行性，包括：技术成熟度、技术难点及应对策略、是否需要定制化开发。</w:t>
      </w:r>
    </w:p>
    <w:p>
      <w:pPr>
        <w:spacing w:before="120" w:after="60" w:line="560" w:lineRule="exact"/>
        <w:ind w:firstLine="420"/>
        <w:jc w:val="left"/>
      </w:pPr>
      <w:r>
        <w:rPr>
          <w:rFonts w:ascii="楷体" w:hAnsi="楷体" w:eastAsia="楷体"/>
          <w:b/>
          <w:sz w:val="28"/>
        </w:rPr>
        <w:t>3.2 资源可行性</w:t>
      </w:r>
    </w:p>
    <w:p>
      <w:pPr>
        <w:spacing w:line="560" w:lineRule="exact"/>
        <w:ind w:firstLine="420"/>
        <w:jc w:val="both"/>
        <w:rPr>
          <w:i w:val="0"/>
          <w:iCs w:val="0"/>
        </w:rPr>
      </w:pPr>
      <w:r>
        <w:rPr>
          <w:rFonts w:hint="eastAsia" w:ascii="仿宋" w:hAnsi="仿宋" w:eastAsia="仿宋" w:cs="仿宋"/>
          <w:b w:val="0"/>
          <w:bCs w:val="0"/>
          <w:i w:val="0"/>
          <w:iCs w:val="0"/>
          <w:sz w:val="28"/>
        </w:rPr>
        <w:t>分析资源投入的可行性，包括：1.人力需求：需要哪些角色的人员，预计投入工时；2.硬件/软件需求：需要哪些基础设施；3.预算估算：总体投入及分阶段投入；4.时间周期：预计开发和部署周期。</w:t>
      </w:r>
    </w:p>
    <w:p>
      <w:pPr>
        <w:spacing w:before="120" w:after="60" w:line="560" w:lineRule="exact"/>
        <w:ind w:firstLine="420"/>
        <w:jc w:val="left"/>
      </w:pPr>
      <w:r>
        <w:rPr>
          <w:rFonts w:ascii="楷体" w:hAnsi="楷体" w:eastAsia="楷体"/>
          <w:b/>
          <w:sz w:val="28"/>
        </w:rPr>
        <w:t>3.3 合规与数据安全</w:t>
      </w:r>
    </w:p>
    <w:p>
      <w:pPr>
        <w:spacing w:line="560" w:lineRule="exact"/>
        <w:ind w:firstLine="420"/>
        <w:jc w:val="both"/>
        <w:rPr>
          <w:i w:val="0"/>
          <w:iCs w:val="0"/>
        </w:rPr>
      </w:pPr>
      <w:r>
        <w:rPr>
          <w:rFonts w:hint="eastAsia" w:ascii="仿宋" w:hAnsi="仿宋" w:eastAsia="仿宋" w:cs="仿宋"/>
          <w:b w:val="0"/>
          <w:bCs w:val="0"/>
          <w:i w:val="0"/>
          <w:iCs w:val="0"/>
          <w:sz w:val="28"/>
        </w:rPr>
        <w:t>用200-300字分析合规与数据安全，包括：1.数据可获得性：所需数据来源是否明确，获取渠道是否畅通；2.隐私合规性：是否涉及个人信息，是否符合《</w:t>
      </w:r>
      <w:r>
        <w:rPr>
          <w:rFonts w:hint="eastAsia" w:cs="仿宋"/>
          <w:b w:val="0"/>
          <w:bCs w:val="0"/>
          <w:i w:val="0"/>
          <w:iCs w:val="0"/>
          <w:sz w:val="28"/>
          <w:lang w:eastAsia="zh-CN"/>
        </w:rPr>
        <w:t>中华人民共和国个人信息保护法</w:t>
      </w:r>
      <w:r>
        <w:rPr>
          <w:rFonts w:hint="eastAsia" w:ascii="仿宋" w:hAnsi="仿宋" w:eastAsia="仿宋" w:cs="仿宋"/>
          <w:b w:val="0"/>
          <w:bCs w:val="0"/>
          <w:i w:val="0"/>
          <w:iCs w:val="0"/>
          <w:sz w:val="28"/>
        </w:rPr>
        <w:t>》等法规要求；3.信息安全要求：数据加密、访问控制、审计日志等安全措施；4.行业监管要求：是否涉及行业特殊监管规定（如等保要求）。</w:t>
      </w:r>
    </w:p>
    <w:p>
      <w:pPr>
        <w:spacing w:before="120" w:after="60" w:line="560" w:lineRule="exact"/>
        <w:ind w:firstLine="420"/>
        <w:jc w:val="left"/>
      </w:pPr>
      <w:r>
        <w:rPr>
          <w:rFonts w:ascii="楷体" w:hAnsi="楷体" w:eastAsia="楷体"/>
          <w:b/>
          <w:sz w:val="28"/>
        </w:rPr>
        <w:t>3.4 风险识别与应对</w:t>
      </w:r>
    </w:p>
    <w:p>
      <w:pPr>
        <w:spacing w:line="560" w:lineRule="exact"/>
        <w:ind w:firstLine="420"/>
        <w:jc w:val="both"/>
        <w:rPr>
          <w:i w:val="0"/>
          <w:iCs w:val="0"/>
        </w:rPr>
      </w:pPr>
      <w:r>
        <w:rPr>
          <w:rFonts w:hint="eastAsia" w:ascii="仿宋" w:hAnsi="仿宋" w:eastAsia="仿宋" w:cs="仿宋"/>
          <w:b w:val="0"/>
          <w:bCs w:val="0"/>
          <w:i w:val="0"/>
          <w:iCs w:val="0"/>
          <w:sz w:val="28"/>
        </w:rPr>
        <w:t>识别方案实施过程中可能面临的主要风险，包括：技术风险、数据安全风险、业务连续性风险、组织变革风险等，并说明应对策略。</w:t>
      </w:r>
    </w:p>
    <w:p>
      <w:pPr>
        <w:spacing w:before="240" w:after="120" w:line="560" w:lineRule="exact"/>
        <w:ind w:firstLine="562" w:firstLineChars="200"/>
        <w:jc w:val="left"/>
      </w:pPr>
      <w:r>
        <w:rPr>
          <w:rFonts w:ascii="黑体" w:hAnsi="黑体" w:eastAsia="黑体"/>
          <w:b/>
          <w:sz w:val="28"/>
        </w:rPr>
        <w:t>四、预期价值与实施路径</w:t>
      </w:r>
    </w:p>
    <w:p>
      <w:pPr>
        <w:spacing w:line="560" w:lineRule="exact"/>
        <w:ind w:firstLine="420"/>
        <w:jc w:val="both"/>
        <w:rPr>
          <w:i w:val="0"/>
          <w:iCs w:val="0"/>
        </w:rPr>
      </w:pPr>
      <w:r>
        <w:rPr>
          <w:rFonts w:hint="eastAsia" w:ascii="仿宋" w:hAnsi="仿宋" w:eastAsia="仿宋" w:cs="仿宋"/>
          <w:b w:val="0"/>
          <w:bCs w:val="0"/>
          <w:i w:val="0"/>
          <w:iCs w:val="0"/>
          <w:sz w:val="28"/>
        </w:rPr>
        <w:t>用500-800字详细测算预期价值并描述实施路径，包括：1.预期价值：效率提升（预计节省人力/时间）、成本节约（资金成本）、质量改善（错误率/满意度）、战略价值（数字化转型贡献）、社会效益（行业示范效应），请尽量提供量化数据或合理的估算依据；2.实施路径：分阶段计划（试点→推广→全面部署）的时间节点和目标、关键里程碑、阶段交付物与验收标准。</w:t>
      </w:r>
    </w:p>
    <w:p>
      <w:pPr>
        <w:spacing w:before="240" w:after="120" w:line="560" w:lineRule="exact"/>
        <w:ind w:firstLine="0"/>
        <w:jc w:val="left"/>
      </w:pPr>
      <w:r>
        <w:rPr>
          <w:rFonts w:ascii="黑体" w:hAnsi="黑体" w:eastAsia="黑体"/>
          <w:b/>
          <w:sz w:val="28"/>
        </w:rPr>
        <w:t>附件清单</w:t>
      </w:r>
    </w:p>
    <w:p>
      <w:pPr>
        <w:spacing w:line="560" w:lineRule="exact"/>
        <w:ind w:firstLine="420"/>
        <w:jc w:val="both"/>
      </w:pPr>
      <w:r>
        <w:rPr>
          <w:rFonts w:ascii="楷体" w:hAnsi="楷体" w:eastAsia="楷体"/>
          <w:sz w:val="28"/>
        </w:rPr>
        <w:t>【请列出随本申报报告一并提交的佐证材料和作品展示材料</w:t>
      </w:r>
      <w:r>
        <w:rPr>
          <w:rFonts w:hint="eastAsia" w:ascii="楷体" w:hAnsi="楷体" w:eastAsia="楷体"/>
          <w:sz w:val="28"/>
          <w:lang w:eastAsia="zh-CN"/>
        </w:rPr>
        <w:t>】</w:t>
      </w:r>
    </w:p>
    <w:p>
      <w:pPr>
        <w:spacing w:line="560" w:lineRule="exact"/>
        <w:ind w:firstLine="420"/>
        <w:jc w:val="both"/>
      </w:pPr>
      <w:r>
        <w:rPr>
          <w:rFonts w:ascii="仿宋" w:hAnsi="仿宋" w:eastAsia="仿宋"/>
          <w:sz w:val="28"/>
        </w:rPr>
        <w:t>1. 作品介绍视频（鼓励提交，MP4格式）</w:t>
      </w:r>
    </w:p>
    <w:p>
      <w:pPr>
        <w:spacing w:line="560" w:lineRule="exact"/>
        <w:ind w:firstLine="420"/>
        <w:jc w:val="both"/>
      </w:pPr>
      <w:r>
        <w:rPr>
          <w:rFonts w:ascii="仿宋" w:hAnsi="仿宋" w:eastAsia="仿宋"/>
          <w:sz w:val="28"/>
        </w:rPr>
        <w:t>2. ____________（如：流程图/架构图/概念图）</w:t>
      </w:r>
    </w:p>
    <w:p>
      <w:pPr>
        <w:spacing w:line="560" w:lineRule="exact"/>
        <w:ind w:firstLine="420"/>
        <w:jc w:val="both"/>
      </w:pPr>
      <w:r>
        <w:rPr>
          <w:rFonts w:ascii="仿宋" w:hAnsi="仿宋" w:eastAsia="仿宋"/>
          <w:sz w:val="28"/>
        </w:rPr>
        <w:t>3. ____________（如：原型Demo/交互原型链接）</w:t>
      </w:r>
    </w:p>
    <w:p>
      <w:pPr>
        <w:spacing w:line="560" w:lineRule="exact"/>
        <w:ind w:firstLine="420"/>
        <w:jc w:val="both"/>
      </w:pPr>
      <w:r>
        <w:rPr>
          <w:rFonts w:ascii="仿宋" w:hAnsi="仿宋" w:eastAsia="仿宋"/>
          <w:sz w:val="28"/>
        </w:rPr>
        <w:t>4. ____________（如：数据图表/其他佐证材料）</w:t>
      </w:r>
    </w:p>
    <w:p>
      <w:pPr>
        <w:pageBreakBefore/>
        <w:spacing w:line="600" w:lineRule="exact"/>
        <w:jc w:val="left"/>
      </w:pPr>
      <w:r>
        <w:rPr>
          <w:rFonts w:ascii="宋体" w:hAnsi="宋体" w:eastAsia="宋体"/>
          <w:b/>
          <w:sz w:val="28"/>
        </w:rPr>
        <w:t>附件2</w:t>
      </w:r>
    </w:p>
    <w:p>
      <w:pPr>
        <w:spacing w:line="600" w:lineRule="exact"/>
        <w:jc w:val="center"/>
      </w:pPr>
      <w:r>
        <w:rPr>
          <w:rFonts w:ascii="宋体" w:hAnsi="宋体" w:eastAsia="宋体"/>
          <w:b/>
          <w:sz w:val="36"/>
        </w:rPr>
        <w:t>江门市第六届职业技能大赛</w:t>
      </w:r>
    </w:p>
    <w:p>
      <w:pPr>
        <w:spacing w:line="600" w:lineRule="exact"/>
        <w:jc w:val="center"/>
        <w:rPr>
          <w:rFonts w:ascii="宋体" w:hAnsi="宋体" w:eastAsia="宋体"/>
          <w:b/>
          <w:sz w:val="36"/>
        </w:rPr>
      </w:pPr>
      <w:r>
        <w:rPr>
          <w:rFonts w:ascii="宋体" w:hAnsi="宋体" w:eastAsia="宋体"/>
          <w:b/>
          <w:sz w:val="36"/>
        </w:rPr>
        <w:t>数智化创新应用职业技能竞赛金案例</w:t>
      </w:r>
    </w:p>
    <w:p>
      <w:pPr>
        <w:spacing w:line="600" w:lineRule="exact"/>
        <w:jc w:val="center"/>
      </w:pPr>
      <w:r>
        <w:rPr>
          <w:rFonts w:ascii="宋体" w:hAnsi="宋体" w:eastAsia="宋体"/>
          <w:b/>
          <w:sz w:val="36"/>
        </w:rPr>
        <w:t>申报报告</w:t>
      </w:r>
    </w:p>
    <w:p>
      <w:pPr>
        <w:spacing w:before="240" w:after="120" w:line="560" w:lineRule="exact"/>
        <w:ind w:firstLine="562" w:firstLineChars="200"/>
        <w:jc w:val="left"/>
      </w:pPr>
      <w:r>
        <w:rPr>
          <w:rFonts w:ascii="黑体" w:hAnsi="黑体" w:eastAsia="黑体"/>
          <w:b/>
          <w:sz w:val="28"/>
        </w:rPr>
        <w:t>一、案例概述与背景</w:t>
      </w:r>
    </w:p>
    <w:p>
      <w:pPr>
        <w:spacing w:line="560" w:lineRule="exact"/>
        <w:ind w:firstLine="420"/>
        <w:jc w:val="both"/>
        <w:rPr>
          <w:i w:val="0"/>
          <w:iCs w:val="0"/>
        </w:rPr>
      </w:pPr>
      <w:r>
        <w:rPr>
          <w:rFonts w:hint="eastAsia" w:ascii="仿宋" w:hAnsi="仿宋" w:eastAsia="仿宋" w:cs="仿宋"/>
          <w:b w:val="0"/>
          <w:bCs w:val="0"/>
          <w:i w:val="0"/>
          <w:iCs w:val="0"/>
          <w:sz w:val="28"/>
        </w:rPr>
        <w:t>用500-800字概述案例全貌与实施背景，包括：1.案例概述：所属业务领域、应用的核心技术（AI/低代码等）、主要功能、取得的标志性成果，让评审专家快速了解案例全貌；2.项目背景：行业发展趋势、企业数字化转型战略、业务发展中遇到的挑战；3.需求与痛点：原有业务流程中的核心问题、量化现状（时间/人力/错误率等数据）、影响范围、实施必要性。建议用数据说话，可附实施前后关键指标对比表。</w:t>
      </w:r>
    </w:p>
    <w:p>
      <w:pPr>
        <w:spacing w:before="240" w:after="120" w:line="560" w:lineRule="exact"/>
        <w:ind w:firstLine="562" w:firstLineChars="200"/>
        <w:jc w:val="left"/>
      </w:pPr>
      <w:r>
        <w:rPr>
          <w:rFonts w:ascii="黑体" w:hAnsi="黑体" w:eastAsia="黑体"/>
          <w:b/>
          <w:sz w:val="28"/>
        </w:rPr>
        <w:t>二、解决方案与实施过程</w:t>
      </w:r>
    </w:p>
    <w:p>
      <w:pPr>
        <w:spacing w:before="120" w:after="60" w:line="560" w:lineRule="exact"/>
        <w:ind w:firstLine="420"/>
        <w:jc w:val="left"/>
      </w:pPr>
      <w:r>
        <w:rPr>
          <w:rFonts w:ascii="楷体" w:hAnsi="楷体" w:eastAsia="楷体"/>
          <w:b/>
          <w:sz w:val="28"/>
        </w:rPr>
        <w:t>2.1 总体方案</w:t>
      </w:r>
    </w:p>
    <w:p>
      <w:pPr>
        <w:spacing w:line="560" w:lineRule="exact"/>
        <w:ind w:firstLine="420"/>
        <w:jc w:val="both"/>
        <w:rPr>
          <w:i w:val="0"/>
          <w:iCs w:val="0"/>
        </w:rPr>
      </w:pPr>
      <w:r>
        <w:rPr>
          <w:rFonts w:hint="eastAsia" w:ascii="仿宋" w:hAnsi="仿宋" w:eastAsia="仿宋" w:cs="仿宋"/>
          <w:b w:val="0"/>
          <w:bCs w:val="0"/>
          <w:i w:val="0"/>
          <w:iCs w:val="0"/>
          <w:sz w:val="28"/>
        </w:rPr>
        <w:t>用300-500字阐述解决方案的总体思路，包括：解决痛点的核心策略、技术选型及理由、整体架构设计。</w:t>
      </w:r>
    </w:p>
    <w:p>
      <w:pPr>
        <w:spacing w:before="120" w:after="60" w:line="560" w:lineRule="exact"/>
        <w:ind w:firstLine="420"/>
        <w:jc w:val="left"/>
      </w:pPr>
      <w:r>
        <w:rPr>
          <w:rFonts w:ascii="楷体" w:hAnsi="楷体" w:eastAsia="楷体"/>
          <w:b/>
          <w:sz w:val="28"/>
        </w:rPr>
        <w:t>2.2 技术架构与实现</w:t>
      </w:r>
    </w:p>
    <w:p>
      <w:pPr>
        <w:spacing w:line="560" w:lineRule="exact"/>
        <w:ind w:firstLine="420"/>
        <w:jc w:val="both"/>
        <w:rPr>
          <w:rFonts w:hint="eastAsia" w:ascii="仿宋" w:hAnsi="仿宋" w:eastAsia="仿宋" w:cs="仿宋"/>
          <w:b w:val="0"/>
          <w:bCs w:val="0"/>
          <w:i w:val="0"/>
          <w:iCs w:val="0"/>
          <w:sz w:val="28"/>
        </w:rPr>
      </w:pPr>
      <w:r>
        <w:rPr>
          <w:rFonts w:hint="eastAsia" w:ascii="仿宋" w:hAnsi="仿宋" w:eastAsia="仿宋" w:cs="仿宋"/>
          <w:b w:val="0"/>
          <w:bCs w:val="0"/>
          <w:i w:val="0"/>
          <w:iCs w:val="0"/>
          <w:sz w:val="28"/>
        </w:rPr>
        <w:t>用500-800字详细描述技术实现方案，包括：1.技术架构：系统架构、数据流、接口设计；2.关键技术：AI大模型应用、RAG、MCP、低代码平台、多模型编排等；3.使用的工具/平台及选型理由；4.数据安全与隐私保护措施。建议附技术架构图。</w:t>
      </w:r>
    </w:p>
    <w:p>
      <w:pPr>
        <w:spacing w:before="120" w:after="60" w:line="560" w:lineRule="exact"/>
        <w:ind w:firstLine="420"/>
        <w:jc w:val="left"/>
      </w:pPr>
      <w:r>
        <w:rPr>
          <w:rFonts w:ascii="楷体" w:hAnsi="楷体" w:eastAsia="楷体"/>
          <w:b/>
          <w:sz w:val="28"/>
        </w:rPr>
        <w:t>2.3 核心功能展示</w:t>
      </w:r>
    </w:p>
    <w:p>
      <w:pPr>
        <w:spacing w:line="560" w:lineRule="exact"/>
        <w:ind w:firstLine="420"/>
        <w:jc w:val="both"/>
        <w:rPr>
          <w:i w:val="0"/>
          <w:iCs w:val="0"/>
        </w:rPr>
      </w:pPr>
      <w:r>
        <w:rPr>
          <w:rFonts w:hint="eastAsia" w:ascii="仿宋" w:hAnsi="仿宋" w:eastAsia="仿宋" w:cs="仿宋"/>
          <w:b w:val="0"/>
          <w:bCs w:val="0"/>
          <w:i w:val="0"/>
          <w:iCs w:val="0"/>
          <w:sz w:val="28"/>
        </w:rPr>
        <w:t>用300-500字介绍核心功能模块，建议附系统截图或界面展示图，直观呈现应用效果。</w:t>
      </w:r>
    </w:p>
    <w:p>
      <w:pPr>
        <w:spacing w:before="120" w:after="60" w:line="560" w:lineRule="exact"/>
        <w:ind w:firstLine="420"/>
        <w:jc w:val="left"/>
      </w:pPr>
      <w:r>
        <w:rPr>
          <w:rFonts w:ascii="楷体" w:hAnsi="楷体" w:eastAsia="楷体"/>
          <w:b/>
          <w:sz w:val="28"/>
        </w:rPr>
        <w:t>2.4 实施阶段与风险应对</w:t>
      </w:r>
    </w:p>
    <w:p>
      <w:pPr>
        <w:spacing w:line="560" w:lineRule="exact"/>
        <w:ind w:firstLine="420"/>
        <w:jc w:val="both"/>
        <w:rPr>
          <w:i w:val="0"/>
          <w:iCs w:val="0"/>
        </w:rPr>
      </w:pPr>
      <w:r>
        <w:rPr>
          <w:rFonts w:hint="eastAsia" w:ascii="仿宋" w:hAnsi="仿宋" w:eastAsia="仿宋" w:cs="仿宋"/>
          <w:b w:val="0"/>
          <w:bCs w:val="0"/>
          <w:i w:val="0"/>
          <w:iCs w:val="0"/>
          <w:sz w:val="28"/>
        </w:rPr>
        <w:t>用500-800字描述项目的实施过程及风险应对，包括：1.实施阶段划分：需求分析、设计开发、测试部署、上线运营等；2.关键里程碑及时间节点；3.团队协作方式与分工、资源投入情况（人力、资金、时间）；4.实施过程中遇到的主要风险（技术/数据安全/业务连续性/组织变革等）及实际采取的应对措施与效果。建议附项目实施时间线/里程碑图。</w:t>
      </w:r>
    </w:p>
    <w:p>
      <w:pPr>
        <w:spacing w:before="240" w:after="120" w:line="560" w:lineRule="exact"/>
        <w:ind w:firstLine="562" w:firstLineChars="200"/>
        <w:jc w:val="left"/>
      </w:pPr>
      <w:r>
        <w:rPr>
          <w:rFonts w:ascii="黑体" w:hAnsi="黑体" w:eastAsia="黑体"/>
          <w:b/>
          <w:sz w:val="28"/>
        </w:rPr>
        <w:t>三、应用成效</w:t>
      </w:r>
    </w:p>
    <w:p>
      <w:pPr>
        <w:spacing w:before="120" w:after="60" w:line="560" w:lineRule="exact"/>
        <w:ind w:firstLine="420"/>
        <w:jc w:val="left"/>
      </w:pPr>
      <w:r>
        <w:rPr>
          <w:rFonts w:ascii="楷体" w:hAnsi="楷体" w:eastAsia="楷体"/>
          <w:b/>
          <w:sz w:val="28"/>
        </w:rPr>
        <w:t>3.1 量化效果</w:t>
      </w:r>
    </w:p>
    <w:p>
      <w:pPr>
        <w:spacing w:line="560" w:lineRule="exact"/>
        <w:ind w:firstLine="420"/>
        <w:jc w:val="both"/>
        <w:rPr>
          <w:rFonts w:hint="eastAsia" w:ascii="仿宋" w:hAnsi="仿宋" w:eastAsia="仿宋" w:cs="仿宋"/>
          <w:b w:val="0"/>
          <w:bCs w:val="0"/>
          <w:i w:val="0"/>
          <w:iCs w:val="0"/>
          <w:sz w:val="28"/>
        </w:rPr>
      </w:pPr>
      <w:r>
        <w:rPr>
          <w:rFonts w:hint="eastAsia" w:ascii="仿宋" w:hAnsi="仿宋" w:eastAsia="仿宋" w:cs="仿宋"/>
          <w:b w:val="0"/>
          <w:bCs w:val="0"/>
          <w:i w:val="0"/>
          <w:iCs w:val="0"/>
          <w:sz w:val="28"/>
        </w:rPr>
        <w:t>用500-800字详细展示应用成效，要求有过程性数据及相关证据支撑，包括：1.效率提升：处理时间缩短比例、人力节约数量；2.成本节约：资金节约金额、ROI计算；3.质量改善：错误率降低、准确率提升；4.用户体验：满意度评分、使用频次；5.业务增长：相关业务指标的提升。建议附数据对比图表。</w:t>
      </w:r>
    </w:p>
    <w:p>
      <w:pPr>
        <w:spacing w:before="120" w:after="60" w:line="560" w:lineRule="exact"/>
        <w:ind w:firstLine="420"/>
        <w:jc w:val="left"/>
      </w:pPr>
      <w:r>
        <w:rPr>
          <w:rFonts w:ascii="楷体" w:hAnsi="楷体" w:eastAsia="楷体"/>
          <w:b/>
          <w:sz w:val="28"/>
        </w:rPr>
        <w:t>3.2 典型案例或用户反馈</w:t>
      </w:r>
    </w:p>
    <w:p>
      <w:pPr>
        <w:spacing w:line="560" w:lineRule="exact"/>
        <w:ind w:firstLine="420"/>
        <w:jc w:val="both"/>
        <w:rPr>
          <w:rFonts w:hint="eastAsia" w:ascii="仿宋" w:hAnsi="仿宋" w:eastAsia="仿宋" w:cs="仿宋"/>
          <w:b w:val="0"/>
          <w:bCs w:val="0"/>
          <w:i w:val="0"/>
          <w:iCs w:val="0"/>
          <w:sz w:val="28"/>
        </w:rPr>
      </w:pPr>
      <w:r>
        <w:rPr>
          <w:rFonts w:hint="eastAsia" w:ascii="仿宋" w:hAnsi="仿宋" w:eastAsia="仿宋" w:cs="仿宋"/>
          <w:b w:val="0"/>
          <w:bCs w:val="0"/>
          <w:i w:val="0"/>
          <w:iCs w:val="0"/>
          <w:sz w:val="28"/>
        </w:rPr>
        <w:t>用200-300字展示典型应用场景或用户反馈，增强说服力。</w:t>
      </w:r>
    </w:p>
    <w:p>
      <w:pPr>
        <w:spacing w:before="240" w:after="120" w:line="560" w:lineRule="exact"/>
        <w:ind w:firstLine="562" w:firstLineChars="200"/>
        <w:jc w:val="left"/>
      </w:pPr>
      <w:r>
        <w:rPr>
          <w:rFonts w:ascii="黑体" w:hAnsi="黑体" w:eastAsia="黑体"/>
          <w:b/>
          <w:sz w:val="28"/>
        </w:rPr>
        <w:t>四、创新亮点与技术先进性</w:t>
      </w:r>
    </w:p>
    <w:p>
      <w:pPr>
        <w:spacing w:line="560" w:lineRule="exact"/>
        <w:ind w:firstLine="420"/>
        <w:jc w:val="both"/>
        <w:rPr>
          <w:rFonts w:hint="eastAsia" w:ascii="仿宋" w:hAnsi="仿宋" w:eastAsia="仿宋" w:cs="仿宋"/>
          <w:b w:val="0"/>
          <w:bCs w:val="0"/>
          <w:i w:val="0"/>
          <w:iCs w:val="0"/>
          <w:sz w:val="28"/>
        </w:rPr>
      </w:pPr>
      <w:r>
        <w:rPr>
          <w:rFonts w:hint="eastAsia" w:ascii="仿宋" w:hAnsi="仿宋" w:eastAsia="仿宋" w:cs="仿宋"/>
          <w:b w:val="0"/>
          <w:bCs w:val="0"/>
          <w:i w:val="0"/>
          <w:iCs w:val="0"/>
          <w:sz w:val="28"/>
        </w:rPr>
        <w:t>用300-500字总结本案例的创新亮点，包括：1.技术创新：采用了哪些先进的AI/数字化技术；2.模式创新：业务流程或商业模式的创新；3.应用创新：在特定场景下的创新应用方式；4.与同类方案的差异化优势。</w:t>
      </w:r>
    </w:p>
    <w:p>
      <w:pPr>
        <w:spacing w:before="240" w:after="120" w:line="560" w:lineRule="exact"/>
        <w:ind w:firstLine="562" w:firstLineChars="200"/>
        <w:jc w:val="left"/>
      </w:pPr>
      <w:r>
        <w:rPr>
          <w:rFonts w:ascii="黑体" w:hAnsi="黑体" w:eastAsia="黑体"/>
          <w:b/>
          <w:sz w:val="28"/>
        </w:rPr>
        <w:t>五、可推广性与经验总结</w:t>
      </w:r>
    </w:p>
    <w:p>
      <w:pPr>
        <w:spacing w:line="560" w:lineRule="exact"/>
        <w:ind w:firstLine="420"/>
        <w:jc w:val="both"/>
        <w:rPr>
          <w:rFonts w:hint="eastAsia" w:ascii="仿宋" w:hAnsi="仿宋" w:eastAsia="仿宋" w:cs="仿宋"/>
          <w:b w:val="0"/>
          <w:bCs w:val="0"/>
          <w:i w:val="0"/>
          <w:iCs w:val="0"/>
          <w:sz w:val="28"/>
        </w:rPr>
      </w:pPr>
      <w:r>
        <w:rPr>
          <w:rFonts w:hint="eastAsia" w:ascii="仿宋" w:hAnsi="仿宋" w:eastAsia="仿宋" w:cs="仿宋"/>
          <w:b w:val="0"/>
          <w:bCs w:val="0"/>
          <w:i w:val="0"/>
          <w:iCs w:val="0"/>
          <w:sz w:val="28"/>
        </w:rPr>
        <w:t>用500-800字分析案例的可推广性并总结经验，包括：1.可推广性：横向推广（是否可复制到其他部门/业务线/同行业企业）、纵向推广（是否可延伸到更多业务场景）、推广条件与限制、行业示范与标准化价值；2.经验总结：项目实施的关键成功经验、教训反思、可供其他单位参考的做法；3.下一步计划与展望：功能迭代计划、推广计划、技术升级方向。</w:t>
      </w:r>
    </w:p>
    <w:p>
      <w:pPr>
        <w:spacing w:before="240" w:after="120" w:line="560" w:lineRule="exact"/>
        <w:ind w:firstLine="0"/>
        <w:jc w:val="left"/>
      </w:pPr>
      <w:r>
        <w:rPr>
          <w:rFonts w:ascii="黑体" w:hAnsi="黑体" w:eastAsia="黑体"/>
          <w:b/>
          <w:sz w:val="28"/>
        </w:rPr>
        <w:t>附件清单</w:t>
      </w:r>
    </w:p>
    <w:p>
      <w:pPr>
        <w:spacing w:line="560" w:lineRule="exact"/>
        <w:ind w:firstLine="420"/>
        <w:jc w:val="both"/>
      </w:pPr>
      <w:r>
        <w:rPr>
          <w:rFonts w:ascii="楷体" w:hAnsi="楷体" w:eastAsia="楷体"/>
          <w:sz w:val="28"/>
        </w:rPr>
        <w:t>【请列出随本申报报告一并提交的佐证材料和作品展示材料</w:t>
      </w:r>
      <w:r>
        <w:rPr>
          <w:rFonts w:hint="eastAsia" w:ascii="楷体" w:hAnsi="楷体" w:eastAsia="楷体"/>
          <w:sz w:val="28"/>
          <w:lang w:eastAsia="zh-CN"/>
        </w:rPr>
        <w:t>】</w:t>
      </w:r>
    </w:p>
    <w:p>
      <w:pPr>
        <w:spacing w:line="560" w:lineRule="exact"/>
        <w:ind w:firstLine="420"/>
        <w:jc w:val="both"/>
      </w:pPr>
      <w:r>
        <w:rPr>
          <w:rFonts w:ascii="仿宋" w:hAnsi="仿宋" w:eastAsia="仿宋"/>
          <w:sz w:val="28"/>
        </w:rPr>
        <w:t>1. 作品介绍视频</w:t>
      </w:r>
    </w:p>
    <w:p>
      <w:pPr>
        <w:spacing w:line="560" w:lineRule="exact"/>
        <w:ind w:firstLine="420"/>
        <w:jc w:val="both"/>
      </w:pPr>
      <w:r>
        <w:rPr>
          <w:rFonts w:ascii="仿宋" w:hAnsi="仿宋" w:eastAsia="仿宋"/>
          <w:sz w:val="28"/>
        </w:rPr>
        <w:t>2. ____________（如：系统截图/界面展示图）</w:t>
      </w:r>
    </w:p>
    <w:p>
      <w:pPr>
        <w:spacing w:line="560" w:lineRule="exact"/>
        <w:ind w:firstLine="420"/>
        <w:jc w:val="both"/>
      </w:pPr>
      <w:r>
        <w:rPr>
          <w:rFonts w:ascii="仿宋" w:hAnsi="仿宋" w:eastAsia="仿宋"/>
          <w:sz w:val="28"/>
        </w:rPr>
        <w:t>3. ____________（如：数据图表/效果对比图/用户反馈）</w:t>
      </w:r>
    </w:p>
    <w:p>
      <w:pPr>
        <w:spacing w:line="560" w:lineRule="exact"/>
        <w:ind w:firstLine="420"/>
        <w:jc w:val="both"/>
      </w:pPr>
      <w:r>
        <w:rPr>
          <w:rFonts w:ascii="仿宋" w:hAnsi="仿宋" w:eastAsia="仿宋"/>
          <w:sz w:val="28"/>
        </w:rPr>
        <w:t>4. ____________（如：系统Demo录屏/获奖证明/其他佐证）</w:t>
      </w:r>
    </w:p>
    <w:sectPr>
      <w:footerReference r:id="rId5" w:type="default"/>
      <w:pgSz w:w="11906" w:h="16838"/>
      <w:pgMar w:top="1440" w:right="1440" w:bottom="1440" w:left="1440" w:header="720" w:footer="720" w:gutter="0"/>
      <w:pgNumType w:fmt="numberInDash"/>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ＭＳ ゴシック">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Courier">
    <w:altName w:val="DejaVu Math TeX Gyre"/>
    <w:panose1 w:val="020005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ＭＳ 明朝">
    <w:altName w:val="C059"/>
    <w:panose1 w:val="00000000000000000000"/>
    <w:charset w:val="00"/>
    <w:family w:val="auto"/>
    <w:pitch w:val="default"/>
    <w:sig w:usb0="00000000" w:usb1="00000000" w:usb2="00000000" w:usb3="00000000" w:csb0="00000000" w:csb1="00000000"/>
  </w:font>
  <w:font w:name="MT Extra">
    <w:panose1 w:val="02000609000000000000"/>
    <w:charset w:val="00"/>
    <w:family w:val="auto"/>
    <w:pitch w:val="default"/>
    <w:sig w:usb0="00000001" w:usb1="00000000" w:usb2="00000000" w:usb3="00000000" w:csb0="00000001" w:csb1="00000000"/>
  </w:font>
  <w:font w:name="Cambria">
    <w:altName w:val="Noto Sans Syriac Eastern"/>
    <w:panose1 w:val="02040503050406030204"/>
    <w:charset w:val="00"/>
    <w:family w:val="auto"/>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黑体简体">
    <w:panose1 w:val="02010601030101010101"/>
    <w:charset w:val="86"/>
    <w:family w:val="auto"/>
    <w:pitch w:val="default"/>
    <w:sig w:usb0="00000001" w:usb1="080E0000" w:usb2="00000000" w:usb3="00000000" w:csb0="00040000" w:csb1="00000000"/>
  </w:font>
  <w:font w:name="方正公文楷体">
    <w:altName w:val="楷体_GB2312"/>
    <w:panose1 w:val="02000500000000000000"/>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9550EE"/>
    <w:rsid w:val="00AA1D8D"/>
    <w:rsid w:val="00B47730"/>
    <w:rsid w:val="00CB0664"/>
    <w:rsid w:val="00D1231A"/>
    <w:rsid w:val="00FC693F"/>
    <w:rsid w:val="027619AC"/>
    <w:rsid w:val="028C11CF"/>
    <w:rsid w:val="02A52D67"/>
    <w:rsid w:val="02B96008"/>
    <w:rsid w:val="02E24306"/>
    <w:rsid w:val="036D2DAF"/>
    <w:rsid w:val="041C3581"/>
    <w:rsid w:val="044318D0"/>
    <w:rsid w:val="05332F8F"/>
    <w:rsid w:val="087B405D"/>
    <w:rsid w:val="08810ECC"/>
    <w:rsid w:val="08B84ACC"/>
    <w:rsid w:val="09C9404D"/>
    <w:rsid w:val="0A1E12A6"/>
    <w:rsid w:val="0A962768"/>
    <w:rsid w:val="0B492353"/>
    <w:rsid w:val="0B73117E"/>
    <w:rsid w:val="0B855BC0"/>
    <w:rsid w:val="0C3723FA"/>
    <w:rsid w:val="0C545E07"/>
    <w:rsid w:val="0C70789D"/>
    <w:rsid w:val="0E884F40"/>
    <w:rsid w:val="0E8A79F6"/>
    <w:rsid w:val="0F03694C"/>
    <w:rsid w:val="0F182768"/>
    <w:rsid w:val="0FF360CA"/>
    <w:rsid w:val="100E0229"/>
    <w:rsid w:val="10B13BD2"/>
    <w:rsid w:val="10B306BD"/>
    <w:rsid w:val="11050ACA"/>
    <w:rsid w:val="118A0FD0"/>
    <w:rsid w:val="118B03B5"/>
    <w:rsid w:val="11BF1282"/>
    <w:rsid w:val="11CC64D3"/>
    <w:rsid w:val="12883761"/>
    <w:rsid w:val="12EF37E0"/>
    <w:rsid w:val="13023513"/>
    <w:rsid w:val="1371777C"/>
    <w:rsid w:val="13824654"/>
    <w:rsid w:val="13884674"/>
    <w:rsid w:val="14E2694B"/>
    <w:rsid w:val="155B6E8A"/>
    <w:rsid w:val="15714980"/>
    <w:rsid w:val="15A20227"/>
    <w:rsid w:val="16CD3E38"/>
    <w:rsid w:val="18534811"/>
    <w:rsid w:val="193006AE"/>
    <w:rsid w:val="1AB37B38"/>
    <w:rsid w:val="1B55540D"/>
    <w:rsid w:val="1B811695"/>
    <w:rsid w:val="1BDB2B53"/>
    <w:rsid w:val="1C195C2B"/>
    <w:rsid w:val="1C587B37"/>
    <w:rsid w:val="1D2E13A9"/>
    <w:rsid w:val="1D7243CD"/>
    <w:rsid w:val="1EB06519"/>
    <w:rsid w:val="1F705077"/>
    <w:rsid w:val="20C41134"/>
    <w:rsid w:val="210F2F63"/>
    <w:rsid w:val="22877591"/>
    <w:rsid w:val="22A47CD9"/>
    <w:rsid w:val="23007343"/>
    <w:rsid w:val="23C872EC"/>
    <w:rsid w:val="240A66CC"/>
    <w:rsid w:val="242751BB"/>
    <w:rsid w:val="24B108F5"/>
    <w:rsid w:val="26465831"/>
    <w:rsid w:val="266208D7"/>
    <w:rsid w:val="26B04986"/>
    <w:rsid w:val="26FA43D7"/>
    <w:rsid w:val="27A47FDD"/>
    <w:rsid w:val="27BB1617"/>
    <w:rsid w:val="28610D7A"/>
    <w:rsid w:val="28662792"/>
    <w:rsid w:val="29F10CFD"/>
    <w:rsid w:val="2AEC6B2B"/>
    <w:rsid w:val="2BD96984"/>
    <w:rsid w:val="2CF47017"/>
    <w:rsid w:val="2D054DC5"/>
    <w:rsid w:val="2D6D7CCB"/>
    <w:rsid w:val="2E1D75DF"/>
    <w:rsid w:val="2F1C7B6E"/>
    <w:rsid w:val="2F4C627E"/>
    <w:rsid w:val="2F924133"/>
    <w:rsid w:val="31362E4A"/>
    <w:rsid w:val="314D7BF8"/>
    <w:rsid w:val="31662A68"/>
    <w:rsid w:val="318B745B"/>
    <w:rsid w:val="323638AB"/>
    <w:rsid w:val="32873F44"/>
    <w:rsid w:val="33C55B21"/>
    <w:rsid w:val="34670B2E"/>
    <w:rsid w:val="3482133A"/>
    <w:rsid w:val="349D3950"/>
    <w:rsid w:val="34AE3B6C"/>
    <w:rsid w:val="34DA79F4"/>
    <w:rsid w:val="35C2521A"/>
    <w:rsid w:val="366C4FC4"/>
    <w:rsid w:val="36EB0E1B"/>
    <w:rsid w:val="375F3A8C"/>
    <w:rsid w:val="38080D1C"/>
    <w:rsid w:val="3833057A"/>
    <w:rsid w:val="38AA1B3D"/>
    <w:rsid w:val="38E36364"/>
    <w:rsid w:val="3983042E"/>
    <w:rsid w:val="39C3314D"/>
    <w:rsid w:val="3A6366DE"/>
    <w:rsid w:val="3AD60C5E"/>
    <w:rsid w:val="3B790C19"/>
    <w:rsid w:val="3BA66882"/>
    <w:rsid w:val="3BB30F9F"/>
    <w:rsid w:val="3BD86AFA"/>
    <w:rsid w:val="3D165E8C"/>
    <w:rsid w:val="3D3B5957"/>
    <w:rsid w:val="3E171CB9"/>
    <w:rsid w:val="3E2972F7"/>
    <w:rsid w:val="3E524A9F"/>
    <w:rsid w:val="3E741EC9"/>
    <w:rsid w:val="3F190C65"/>
    <w:rsid w:val="3F8A676A"/>
    <w:rsid w:val="3FA255B3"/>
    <w:rsid w:val="3FC17568"/>
    <w:rsid w:val="3FEA3008"/>
    <w:rsid w:val="40280D6B"/>
    <w:rsid w:val="40B9747A"/>
    <w:rsid w:val="41B6751F"/>
    <w:rsid w:val="41DD5436"/>
    <w:rsid w:val="41E00396"/>
    <w:rsid w:val="42593238"/>
    <w:rsid w:val="42FE7335"/>
    <w:rsid w:val="439D1DFB"/>
    <w:rsid w:val="44062E1B"/>
    <w:rsid w:val="44D37FBC"/>
    <w:rsid w:val="44F03198"/>
    <w:rsid w:val="45B55914"/>
    <w:rsid w:val="461D6B0D"/>
    <w:rsid w:val="468B2AAF"/>
    <w:rsid w:val="46A05D41"/>
    <w:rsid w:val="46CD03D6"/>
    <w:rsid w:val="48545C43"/>
    <w:rsid w:val="48871DC0"/>
    <w:rsid w:val="49934B5E"/>
    <w:rsid w:val="4A7958AC"/>
    <w:rsid w:val="4A7D490B"/>
    <w:rsid w:val="4AF403AA"/>
    <w:rsid w:val="4B673C2D"/>
    <w:rsid w:val="4C12586E"/>
    <w:rsid w:val="4C39104D"/>
    <w:rsid w:val="4D0B0B44"/>
    <w:rsid w:val="4D7D7CC1"/>
    <w:rsid w:val="4E760336"/>
    <w:rsid w:val="4E8C04C9"/>
    <w:rsid w:val="4F2545E5"/>
    <w:rsid w:val="4F381A8F"/>
    <w:rsid w:val="4F813436"/>
    <w:rsid w:val="506475CC"/>
    <w:rsid w:val="50AD3DB7"/>
    <w:rsid w:val="513F57DC"/>
    <w:rsid w:val="52B96A43"/>
    <w:rsid w:val="539F4C8A"/>
    <w:rsid w:val="551B0596"/>
    <w:rsid w:val="55287EB0"/>
    <w:rsid w:val="55DD59D5"/>
    <w:rsid w:val="561A1EB1"/>
    <w:rsid w:val="5648249A"/>
    <w:rsid w:val="565E1516"/>
    <w:rsid w:val="56680EAC"/>
    <w:rsid w:val="56C84614"/>
    <w:rsid w:val="573A63E5"/>
    <w:rsid w:val="575B7CA0"/>
    <w:rsid w:val="576A0C54"/>
    <w:rsid w:val="58255A1A"/>
    <w:rsid w:val="58510F28"/>
    <w:rsid w:val="58CB127E"/>
    <w:rsid w:val="593D68F2"/>
    <w:rsid w:val="59530D08"/>
    <w:rsid w:val="5979517E"/>
    <w:rsid w:val="59A85A64"/>
    <w:rsid w:val="5A23472A"/>
    <w:rsid w:val="5A7F0572"/>
    <w:rsid w:val="5AD92BC5"/>
    <w:rsid w:val="5AF37941"/>
    <w:rsid w:val="5B266F2F"/>
    <w:rsid w:val="5B6C3892"/>
    <w:rsid w:val="5C0F5926"/>
    <w:rsid w:val="5C361105"/>
    <w:rsid w:val="5CA63ECF"/>
    <w:rsid w:val="5D5850AB"/>
    <w:rsid w:val="5D8A50E4"/>
    <w:rsid w:val="5DCC7F73"/>
    <w:rsid w:val="5DE27796"/>
    <w:rsid w:val="5E391380"/>
    <w:rsid w:val="5E5C0A2E"/>
    <w:rsid w:val="5E6E47CC"/>
    <w:rsid w:val="5FC52ECB"/>
    <w:rsid w:val="60EB5C13"/>
    <w:rsid w:val="60ED40AE"/>
    <w:rsid w:val="60F15F42"/>
    <w:rsid w:val="61003C5B"/>
    <w:rsid w:val="61967195"/>
    <w:rsid w:val="62775066"/>
    <w:rsid w:val="62956610"/>
    <w:rsid w:val="62A77E53"/>
    <w:rsid w:val="63306E78"/>
    <w:rsid w:val="64C50777"/>
    <w:rsid w:val="657A6506"/>
    <w:rsid w:val="66E63727"/>
    <w:rsid w:val="6751631F"/>
    <w:rsid w:val="677C5DAC"/>
    <w:rsid w:val="67E16403"/>
    <w:rsid w:val="67EB5499"/>
    <w:rsid w:val="68263055"/>
    <w:rsid w:val="683C6AF0"/>
    <w:rsid w:val="6AEF52A0"/>
    <w:rsid w:val="6BC56001"/>
    <w:rsid w:val="6BF07522"/>
    <w:rsid w:val="6D2531FB"/>
    <w:rsid w:val="6D6367C0"/>
    <w:rsid w:val="6D6D0703"/>
    <w:rsid w:val="6DF47B59"/>
    <w:rsid w:val="6E67773D"/>
    <w:rsid w:val="70534214"/>
    <w:rsid w:val="70545BA6"/>
    <w:rsid w:val="709F0A11"/>
    <w:rsid w:val="70DA7783"/>
    <w:rsid w:val="72031631"/>
    <w:rsid w:val="72135D18"/>
    <w:rsid w:val="72257B8B"/>
    <w:rsid w:val="733F6699"/>
    <w:rsid w:val="73666D6F"/>
    <w:rsid w:val="747F4194"/>
    <w:rsid w:val="748A79FD"/>
    <w:rsid w:val="7490294A"/>
    <w:rsid w:val="74B175A7"/>
    <w:rsid w:val="74B5463B"/>
    <w:rsid w:val="75140E9C"/>
    <w:rsid w:val="752B15CB"/>
    <w:rsid w:val="75907680"/>
    <w:rsid w:val="76B57627"/>
    <w:rsid w:val="77CE4490"/>
    <w:rsid w:val="78DE0702"/>
    <w:rsid w:val="7973541D"/>
    <w:rsid w:val="79865F0A"/>
    <w:rsid w:val="79AB6836"/>
    <w:rsid w:val="79C45B4A"/>
    <w:rsid w:val="7A5A5CD7"/>
    <w:rsid w:val="7A7C717A"/>
    <w:rsid w:val="7A995229"/>
    <w:rsid w:val="7B2C1BF9"/>
    <w:rsid w:val="7B3323C6"/>
    <w:rsid w:val="7B787AEA"/>
    <w:rsid w:val="7BB17113"/>
    <w:rsid w:val="7BCF0EA8"/>
    <w:rsid w:val="7C1C3A1B"/>
    <w:rsid w:val="7C240B22"/>
    <w:rsid w:val="7C6043DA"/>
    <w:rsid w:val="7CBD4335"/>
    <w:rsid w:val="7D423956"/>
    <w:rsid w:val="7DC9459D"/>
    <w:rsid w:val="7EBA7409"/>
    <w:rsid w:val="7F0047E7"/>
    <w:rsid w:val="7F4D6A98"/>
    <w:rsid w:val="7FCE181A"/>
    <w:rsid w:val="7FEA60CB"/>
    <w:rsid w:val="EFDED6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0" w:line="560" w:lineRule="exact"/>
      <w:ind w:firstLine="420"/>
    </w:pPr>
    <w:rPr>
      <w:rFonts w:ascii="仿宋" w:hAnsi="仿宋" w:eastAsia="仿宋" w:cstheme="minorBidi"/>
      <w:sz w:val="28"/>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48"/>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6"/>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Plain Text"/>
    <w:basedOn w:val="1"/>
    <w:qFormat/>
    <w:uiPriority w:val="0"/>
    <w:pPr>
      <w:jc w:val="both"/>
    </w:pPr>
    <w:rPr>
      <w:rFonts w:ascii="宋体" w:hAnsi="Courier New"/>
      <w:kern w:val="2"/>
      <w:sz w:val="21"/>
      <w:szCs w:val="21"/>
    </w:rPr>
  </w:style>
  <w:style w:type="paragraph" w:styleId="26">
    <w:name w:val="footer"/>
    <w:basedOn w:val="1"/>
    <w:link w:val="138"/>
    <w:unhideWhenUsed/>
    <w:qFormat/>
    <w:uiPriority w:val="99"/>
    <w:pPr>
      <w:tabs>
        <w:tab w:val="center" w:pos="4680"/>
        <w:tab w:val="right" w:pos="9360"/>
      </w:tabs>
      <w:spacing w:after="0" w:line="240" w:lineRule="auto"/>
    </w:pPr>
  </w:style>
  <w:style w:type="paragraph" w:styleId="27">
    <w:name w:val="header"/>
    <w:basedOn w:val="1"/>
    <w:link w:val="137"/>
    <w:unhideWhenUsed/>
    <w:qFormat/>
    <w:uiPriority w:val="99"/>
    <w:pPr>
      <w:tabs>
        <w:tab w:val="center" w:pos="4680"/>
        <w:tab w:val="right" w:pos="9360"/>
      </w:tabs>
      <w:spacing w:after="0" w:line="240" w:lineRule="auto"/>
    </w:pPr>
  </w:style>
  <w:style w:type="paragraph" w:styleId="28">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7"/>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7"/>
    <w:qFormat/>
    <w:uiPriority w:val="99"/>
  </w:style>
  <w:style w:type="character" w:customStyle="1" w:styleId="138">
    <w:name w:val="Footer Char"/>
    <w:basedOn w:val="134"/>
    <w:link w:val="26"/>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4"/>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4"/>
    <w:link w:val="20"/>
    <w:qFormat/>
    <w:uiPriority w:val="99"/>
  </w:style>
  <w:style w:type="character" w:customStyle="1" w:styleId="147">
    <w:name w:val="Body Text 2 Char"/>
    <w:basedOn w:val="134"/>
    <w:link w:val="30"/>
    <w:qFormat/>
    <w:uiPriority w:val="99"/>
  </w:style>
  <w:style w:type="character" w:customStyle="1" w:styleId="148">
    <w:name w:val="Body Text 3 Char"/>
    <w:basedOn w:val="134"/>
    <w:link w:val="18"/>
    <w:qFormat/>
    <w:uiPriority w:val="99"/>
    <w:rPr>
      <w:sz w:val="16"/>
      <w:szCs w:val="16"/>
    </w:rPr>
  </w:style>
  <w:style w:type="character" w:customStyle="1" w:styleId="149">
    <w:name w:val="Macro Text Char"/>
    <w:basedOn w:val="134"/>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4"/>
    <w:link w:val="150"/>
    <w:qFormat/>
    <w:uiPriority w:val="29"/>
    <w:rPr>
      <w:i/>
      <w:iCs/>
      <w:color w:val="000000" w:themeColor="text1"/>
      <w14:textFill>
        <w14:solidFill>
          <w14:schemeClr w14:val="tx1"/>
        </w14:solidFill>
      </w14:textFill>
    </w:rPr>
  </w:style>
  <w:style w:type="character" w:customStyle="1" w:styleId="152">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4"/>
    <w:link w:val="158"/>
    <w:qFormat/>
    <w:uiPriority w:val="30"/>
    <w:rPr>
      <w:b/>
      <w:bCs/>
      <w:i/>
      <w:iCs/>
      <w:color w:val="4F81BD" w:themeColor="accent1"/>
      <w14:textFill>
        <w14:solidFill>
          <w14:schemeClr w14:val="accent1"/>
        </w14:solidFill>
      </w14:textFill>
    </w:rPr>
  </w:style>
  <w:style w:type="character" w:customStyle="1" w:styleId="160">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4"/>
    <w:qFormat/>
    <w:uiPriority w:val="21"/>
    <w:rPr>
      <w:b/>
      <w:bCs/>
      <w:i/>
      <w:iCs/>
      <w:color w:val="4F81BD" w:themeColor="accent1"/>
      <w14:textFill>
        <w14:solidFill>
          <w14:schemeClr w14:val="accent1"/>
        </w14:solidFill>
      </w14:textFill>
    </w:rPr>
  </w:style>
  <w:style w:type="character" w:customStyle="1" w:styleId="162">
    <w:name w:val="Subtle Reference"/>
    <w:basedOn w:val="134"/>
    <w:qFormat/>
    <w:uiPriority w:val="31"/>
    <w:rPr>
      <w:smallCaps/>
      <w:color w:val="C0504D" w:themeColor="accent2"/>
      <w:u w:val="single"/>
      <w14:textFill>
        <w14:solidFill>
          <w14:schemeClr w14:val="accent2"/>
        </w14:solidFill>
      </w14:textFill>
    </w:rPr>
  </w:style>
  <w:style w:type="character" w:customStyle="1" w:styleId="163">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4"/>
    <w:qFormat/>
    <w:uiPriority w:val="33"/>
    <w:rPr>
      <w:b/>
      <w:bCs/>
      <w:smallCaps/>
      <w:spacing w:val="5"/>
    </w:rPr>
  </w:style>
  <w:style w:type="paragraph" w:customStyle="1" w:styleId="165">
    <w:name w:val="TOC Heading"/>
    <w:basedOn w:val="3"/>
    <w:next w:val="1"/>
    <w:semiHidden/>
    <w:unhideWhenUsed/>
    <w:qFormat/>
    <w:uiPriority w:val="39"/>
    <w:pPr>
      <w:outlineLvl w:val="9"/>
    </w:pPr>
  </w:style>
  <w:style w:type="table" w:customStyle="1" w:styleId="166">
    <w:name w:val="Table"/>
    <w:basedOn w:val="34"/>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2464</Words>
  <Characters>2565</Characters>
  <Lines>0</Lines>
  <Paragraphs>0</Paragraphs>
  <TotalTime>16</TotalTime>
  <ScaleCrop>false</ScaleCrop>
  <LinksUpToDate>false</LinksUpToDate>
  <CharactersWithSpaces>2584</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2013-12-24T15:15:00Z</dcterms:created>
  <dc:creator>python-docx</dc:creator>
  <dc:description>generated by python-docx</dc:description>
  <cp:lastModifiedBy>郝红</cp:lastModifiedBy>
  <dcterms:modified xsi:type="dcterms:W3CDTF">2026-08-21T16:22:56Z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eyJoZGlkIjoiM2I5MGZkYTQ3MGRhMTc4MGU1ZDYzYjAxNzljYjA3NDMiLCJ1c2VySWQiOiIzMjY2NDU2MTMifQ==</vt:lpwstr>
  </property>
  <property fmtid="{D5CDD505-2E9C-101B-9397-08002B2CF9AE}" pid="3" name="KSOProductBuildVer">
    <vt:lpwstr>2052-11.8.2.11880</vt:lpwstr>
  </property>
  <property fmtid="{D5CDD505-2E9C-101B-9397-08002B2CF9AE}" pid="4" name="ICV">
    <vt:lpwstr>2E519AE33BC947FC8F120A4B4336C36B_13</vt:lpwstr>
  </property>
</Properties>
</file>