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Pr>
      <w:r>
        <w:rPr>
          <w:rFonts w:hint="eastAsia"/>
        </w:rPr>
        <w:t>项目概述</w:t>
      </w:r>
    </w:p>
    <w:p>
      <w:pPr>
        <w:pStyle w:val="4"/>
      </w:pPr>
      <w:r>
        <w:rPr>
          <w:rFonts w:hint="eastAsia"/>
        </w:rPr>
        <w:t>项目建设目标</w:t>
      </w:r>
    </w:p>
    <w:p>
      <w:pPr>
        <w:ind w:firstLine="420" w:firstLineChars="200"/>
        <w:rPr>
          <w:rFonts w:hint="eastAsia" w:ascii="Times New Roman" w:hAnsi="Times New Roman" w:eastAsia="宋体"/>
        </w:rPr>
      </w:pPr>
      <w:r>
        <w:rPr>
          <w:rFonts w:hint="eastAsia" w:ascii="Times New Roman" w:hAnsi="Times New Roman" w:eastAsia="宋体"/>
        </w:rPr>
        <w:t>根据国家及省</w:t>
      </w:r>
      <w:r>
        <w:rPr>
          <w:rFonts w:hint="eastAsia"/>
          <w:lang w:eastAsia="zh-CN"/>
        </w:rPr>
        <w:t>长期护理保险</w:t>
      </w:r>
      <w:r>
        <w:rPr>
          <w:rFonts w:hint="default" w:ascii="Times New Roman" w:hAnsi="Times New Roman" w:eastAsia="宋体"/>
        </w:rPr>
        <w:t>相关政策要求，</w:t>
      </w:r>
      <w:r>
        <w:rPr>
          <w:rFonts w:hint="eastAsia" w:ascii="Times New Roman" w:hAnsi="Times New Roman" w:eastAsia="宋体"/>
        </w:rPr>
        <w:t>结合</w:t>
      </w:r>
      <w:r>
        <w:rPr>
          <w:rFonts w:hint="eastAsia" w:ascii="Times New Roman" w:hAnsi="Times New Roman" w:eastAsia="宋体"/>
          <w:lang w:eastAsia="zh-CN"/>
        </w:rPr>
        <w:t>江门</w:t>
      </w:r>
      <w:r>
        <w:rPr>
          <w:rFonts w:hint="default" w:ascii="Times New Roman" w:hAnsi="Times New Roman" w:eastAsia="宋体"/>
        </w:rPr>
        <w:t>市</w:t>
      </w:r>
      <w:r>
        <w:rPr>
          <w:rFonts w:hint="eastAsia"/>
          <w:lang w:eastAsia="zh-CN"/>
        </w:rPr>
        <w:t>长期护理保险</w:t>
      </w:r>
      <w:r>
        <w:rPr>
          <w:rFonts w:hint="default" w:ascii="Times New Roman" w:hAnsi="Times New Roman" w:eastAsia="宋体"/>
        </w:rPr>
        <w:t>业务实际需求，</w:t>
      </w:r>
      <w:r>
        <w:rPr>
          <w:rFonts w:hint="eastAsia" w:ascii="Times New Roman" w:hAnsi="Times New Roman" w:eastAsia="宋体"/>
        </w:rPr>
        <w:t>基于省医疗保障信息平台</w:t>
      </w:r>
      <w:bookmarkStart w:id="0" w:name="OLE_LINK2"/>
      <w:r>
        <w:rPr>
          <w:rFonts w:hint="eastAsia" w:ascii="Times New Roman" w:hAnsi="Times New Roman" w:eastAsia="宋体"/>
        </w:rPr>
        <w:t>进行本地化政策适配</w:t>
      </w:r>
      <w:bookmarkEnd w:id="0"/>
      <w:r>
        <w:rPr>
          <w:rFonts w:hint="eastAsia" w:ascii="Times New Roman" w:hAnsi="Times New Roman" w:eastAsia="宋体"/>
        </w:rPr>
        <w:t>与调试，促进</w:t>
      </w:r>
      <w:r>
        <w:rPr>
          <w:rFonts w:hint="eastAsia"/>
          <w:lang w:eastAsia="zh-CN"/>
        </w:rPr>
        <w:t>长期护理保险</w:t>
      </w:r>
      <w:r>
        <w:rPr>
          <w:rFonts w:hint="eastAsia" w:ascii="Times New Roman" w:hAnsi="Times New Roman" w:eastAsia="宋体"/>
        </w:rPr>
        <w:t>政策在我市有条不紊的落地实施，具体目标如下：</w:t>
      </w:r>
    </w:p>
    <w:p>
      <w:pPr>
        <w:ind w:firstLine="420" w:firstLineChars="200"/>
        <w:rPr>
          <w:rFonts w:hint="default" w:ascii="Times New Roman" w:hAnsi="Times New Roman" w:eastAsia="宋体"/>
        </w:rPr>
      </w:pPr>
      <w:r>
        <w:rPr>
          <w:rFonts w:hint="eastAsia" w:ascii="Times New Roman" w:hAnsi="Times New Roman" w:eastAsia="宋体"/>
        </w:rPr>
        <w:t>1、构建具有</w:t>
      </w:r>
      <w:r>
        <w:rPr>
          <w:rFonts w:hint="eastAsia" w:ascii="Times New Roman" w:hAnsi="Times New Roman" w:eastAsia="宋体"/>
          <w:lang w:eastAsia="zh-CN"/>
        </w:rPr>
        <w:t>江门</w:t>
      </w:r>
      <w:r>
        <w:rPr>
          <w:rFonts w:hint="eastAsia" w:ascii="Times New Roman" w:hAnsi="Times New Roman" w:eastAsia="宋体"/>
        </w:rPr>
        <w:t>特色的一体化</w:t>
      </w:r>
      <w:r>
        <w:rPr>
          <w:rFonts w:hint="eastAsia"/>
          <w:lang w:eastAsia="zh-CN"/>
        </w:rPr>
        <w:t>长期护理保险</w:t>
      </w:r>
      <w:r>
        <w:rPr>
          <w:rFonts w:hint="eastAsia" w:ascii="Times New Roman" w:hAnsi="Times New Roman" w:eastAsia="宋体"/>
        </w:rPr>
        <w:t>应用体系</w:t>
      </w:r>
    </w:p>
    <w:p>
      <w:pPr>
        <w:ind w:firstLine="420" w:firstLineChars="200"/>
        <w:rPr>
          <w:rFonts w:hint="default" w:ascii="Times New Roman" w:hAnsi="Times New Roman" w:eastAsia="宋体"/>
        </w:rPr>
      </w:pPr>
      <w:r>
        <w:rPr>
          <w:rFonts w:hint="default" w:ascii="Times New Roman" w:hAnsi="Times New Roman" w:eastAsia="宋体"/>
        </w:rPr>
        <w:t>以专业、高效的管理运营保障业务顺畅运转，凭借精准的数据处理运营挖掘数据价值，辅以全面的其他运营支持，打造出具有鲜明</w:t>
      </w:r>
      <w:r>
        <w:rPr>
          <w:rFonts w:hint="eastAsia" w:ascii="Times New Roman" w:hAnsi="Times New Roman" w:eastAsia="宋体"/>
          <w:lang w:eastAsia="zh-CN"/>
        </w:rPr>
        <w:t>江门</w:t>
      </w:r>
      <w:r>
        <w:rPr>
          <w:rFonts w:hint="default" w:ascii="Times New Roman" w:hAnsi="Times New Roman" w:eastAsia="宋体"/>
        </w:rPr>
        <w:t>特色的</w:t>
      </w:r>
      <w:r>
        <w:rPr>
          <w:rFonts w:hint="eastAsia"/>
          <w:lang w:eastAsia="zh-CN"/>
        </w:rPr>
        <w:t>长期护理保险</w:t>
      </w:r>
      <w:r>
        <w:rPr>
          <w:rFonts w:hint="default" w:ascii="Times New Roman" w:hAnsi="Times New Roman" w:eastAsia="宋体"/>
        </w:rPr>
        <w:t>应用生态，为业务发展提供坚实支撑。</w:t>
      </w:r>
    </w:p>
    <w:p>
      <w:pPr>
        <w:ind w:firstLine="420" w:firstLineChars="200"/>
        <w:rPr>
          <w:rFonts w:hint="default" w:ascii="Times New Roman" w:hAnsi="Times New Roman" w:eastAsia="宋体"/>
        </w:rPr>
      </w:pPr>
      <w:r>
        <w:rPr>
          <w:rFonts w:hint="eastAsia" w:ascii="Times New Roman" w:hAnsi="Times New Roman" w:eastAsia="宋体"/>
        </w:rPr>
        <w:t>2、</w:t>
      </w:r>
      <w:r>
        <w:rPr>
          <w:rFonts w:hint="default" w:ascii="Times New Roman" w:hAnsi="Times New Roman" w:eastAsia="宋体"/>
        </w:rPr>
        <w:t>以科技赋能，实现</w:t>
      </w:r>
      <w:r>
        <w:rPr>
          <w:rFonts w:hint="eastAsia"/>
          <w:lang w:eastAsia="zh-CN"/>
        </w:rPr>
        <w:t>长期护理保险</w:t>
      </w:r>
      <w:r>
        <w:rPr>
          <w:rFonts w:hint="default" w:ascii="Times New Roman" w:hAnsi="Times New Roman" w:eastAsia="宋体"/>
        </w:rPr>
        <w:t>服务全方位升级</w:t>
      </w:r>
    </w:p>
    <w:p>
      <w:pPr>
        <w:ind w:firstLine="420" w:firstLineChars="200"/>
        <w:rPr>
          <w:rFonts w:hint="default" w:ascii="Times New Roman" w:hAnsi="Times New Roman" w:eastAsia="宋体"/>
        </w:rPr>
      </w:pPr>
      <w:r>
        <w:rPr>
          <w:rFonts w:hint="eastAsia" w:ascii="Times New Roman" w:hAnsi="Times New Roman" w:eastAsia="宋体"/>
        </w:rPr>
        <w:t>运用先进的技术手段，推动参保、征缴等业务向线上化、便捷化转型，让失能人员及其家属足不出户即可办理业务，全面提升</w:t>
      </w:r>
      <w:r>
        <w:rPr>
          <w:rFonts w:hint="eastAsia"/>
          <w:lang w:eastAsia="zh-CN"/>
        </w:rPr>
        <w:t>长期护理保险</w:t>
      </w:r>
      <w:r>
        <w:rPr>
          <w:rFonts w:hint="eastAsia" w:ascii="Times New Roman" w:hAnsi="Times New Roman" w:eastAsia="宋体"/>
        </w:rPr>
        <w:t>服务的信息化、智能化、便利化水平，为失能人群提供更加优质、高效的服务体验。</w:t>
      </w:r>
    </w:p>
    <w:p>
      <w:pPr>
        <w:ind w:firstLine="420" w:firstLineChars="200"/>
        <w:rPr>
          <w:rFonts w:hint="default" w:ascii="Times New Roman" w:hAnsi="Times New Roman" w:eastAsia="宋体"/>
        </w:rPr>
      </w:pPr>
      <w:r>
        <w:rPr>
          <w:rFonts w:hint="eastAsia" w:ascii="Times New Roman" w:hAnsi="Times New Roman" w:eastAsia="宋体"/>
        </w:rPr>
        <w:t>3、建立健全社会保障服务体系，提升失能群体的幸福感</w:t>
      </w:r>
    </w:p>
    <w:p>
      <w:pPr>
        <w:ind w:firstLine="420" w:firstLineChars="200"/>
        <w:rPr>
          <w:rFonts w:hint="eastAsia" w:ascii="Times New Roman" w:hAnsi="Times New Roman" w:eastAsia="宋体"/>
          <w:lang w:val="en-US" w:eastAsia="zh-CN"/>
        </w:rPr>
      </w:pPr>
      <w:r>
        <w:rPr>
          <w:rFonts w:hint="eastAsia" w:ascii="Times New Roman" w:hAnsi="Times New Roman" w:eastAsia="宋体"/>
        </w:rPr>
        <w:t>通过构建完善的一体化</w:t>
      </w:r>
      <w:r>
        <w:rPr>
          <w:rFonts w:hint="eastAsia"/>
          <w:lang w:eastAsia="zh-CN"/>
        </w:rPr>
        <w:t>长期护理保险</w:t>
      </w:r>
      <w:r>
        <w:rPr>
          <w:rFonts w:hint="eastAsia" w:ascii="Times New Roman" w:hAnsi="Times New Roman" w:eastAsia="宋体"/>
        </w:rPr>
        <w:t>应用体系以及不断提升服务水平，积极推动我市社会保障体系的健全与完善。在政策功能适配上，确保</w:t>
      </w:r>
      <w:r>
        <w:rPr>
          <w:rFonts w:hint="eastAsia"/>
          <w:lang w:eastAsia="zh-CN"/>
        </w:rPr>
        <w:t>长期护理保险</w:t>
      </w:r>
      <w:r>
        <w:rPr>
          <w:rFonts w:hint="eastAsia" w:ascii="Times New Roman" w:hAnsi="Times New Roman" w:eastAsia="宋体"/>
        </w:rPr>
        <w:t>业务全流程覆盖，使失能人员能够顺利参保、及时享受应有的待遇，为其基本生活提供坚实保障</w:t>
      </w:r>
      <w:r>
        <w:rPr>
          <w:rFonts w:hint="eastAsia" w:ascii="Times New Roman" w:hAnsi="Times New Roman" w:eastAsia="宋体"/>
          <w:lang w:eastAsia="zh-CN"/>
        </w:rPr>
        <w:t>。</w:t>
      </w:r>
    </w:p>
    <w:p>
      <w:pPr>
        <w:pStyle w:val="4"/>
      </w:pPr>
      <w:r>
        <w:rPr>
          <w:rFonts w:hint="eastAsia"/>
        </w:rPr>
        <w:t>项目建设工期</w:t>
      </w:r>
    </w:p>
    <w:p>
      <w:pPr>
        <w:ind w:firstLine="420" w:firstLineChars="200"/>
        <w:rPr>
          <w:rFonts w:hint="default" w:ascii="Times New Roman" w:hAnsi="Times New Roman" w:eastAsia="宋体"/>
          <w:lang w:val="en-US" w:eastAsia="zh-CN"/>
        </w:rPr>
      </w:pPr>
      <w:r>
        <w:rPr>
          <w:rFonts w:hint="eastAsia" w:ascii="Times New Roman" w:hAnsi="Times New Roman" w:eastAsia="宋体"/>
        </w:rPr>
        <w:t>建设工期：</w:t>
      </w:r>
      <w:r>
        <w:rPr>
          <w:rFonts w:hint="eastAsia" w:ascii="Times New Roman" w:hAnsi="Times New Roman" w:eastAsia="宋体"/>
          <w:lang w:val="en-US" w:eastAsia="zh-CN"/>
        </w:rPr>
        <w:t>合同签订后</w:t>
      </w:r>
      <w:r>
        <w:rPr>
          <w:rFonts w:hint="eastAsia"/>
          <w:lang w:val="en-US" w:eastAsia="zh-CN"/>
        </w:rPr>
        <w:t>3</w:t>
      </w:r>
      <w:r>
        <w:rPr>
          <w:rFonts w:hint="eastAsia" w:ascii="Times New Roman" w:hAnsi="Times New Roman" w:eastAsia="宋体"/>
          <w:lang w:val="en-US" w:eastAsia="zh-CN"/>
        </w:rPr>
        <w:t>个月内完成长期护理保险本地政策适配并上线</w:t>
      </w:r>
      <w:r>
        <w:rPr>
          <w:rFonts w:hint="eastAsia" w:ascii="Times New Roman" w:hAnsi="Times New Roman" w:eastAsia="宋体"/>
        </w:rPr>
        <w:t>。</w:t>
      </w:r>
    </w:p>
    <w:p>
      <w:pPr>
        <w:pStyle w:val="4"/>
      </w:pPr>
      <w:r>
        <w:rPr>
          <w:rFonts w:hint="eastAsia"/>
        </w:rPr>
        <w:t>项目建设内容</w:t>
      </w:r>
    </w:p>
    <w:p>
      <w:pPr>
        <w:ind w:firstLine="420" w:firstLineChars="200"/>
      </w:pPr>
      <w:r>
        <w:rPr>
          <w:rFonts w:hint="eastAsia"/>
        </w:rPr>
        <w:t>本项目主要建设内容包括：</w:t>
      </w:r>
    </w:p>
    <w:tbl>
      <w:tblPr>
        <w:tblStyle w:val="25"/>
        <w:tblW w:w="8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1"/>
        <w:gridCol w:w="2136"/>
        <w:gridCol w:w="5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Align w:val="top"/>
          </w:tcPr>
          <w:p>
            <w:pPr>
              <w:jc w:val="center"/>
            </w:pPr>
            <w:r>
              <w:rPr>
                <w:b/>
                <w:sz w:val="21"/>
              </w:rPr>
              <w:t>序号</w:t>
            </w:r>
          </w:p>
        </w:tc>
        <w:tc>
          <w:tcPr>
            <w:tcW w:w="2136" w:type="dxa"/>
            <w:vAlign w:val="top"/>
          </w:tcPr>
          <w:p>
            <w:pPr>
              <w:jc w:val="center"/>
            </w:pPr>
            <w:r>
              <w:rPr>
                <w:b/>
                <w:sz w:val="21"/>
              </w:rPr>
              <w:t>子项</w:t>
            </w:r>
          </w:p>
        </w:tc>
        <w:tc>
          <w:tcPr>
            <w:tcW w:w="5898" w:type="dxa"/>
            <w:vAlign w:val="top"/>
          </w:tcPr>
          <w:p>
            <w:pPr>
              <w:jc w:val="center"/>
            </w:pPr>
            <w:r>
              <w:rPr>
                <w:b/>
                <w:sz w:val="21"/>
              </w:rPr>
              <w:t>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Align w:val="top"/>
          </w:tcPr>
          <w:p>
            <w:pPr>
              <w:jc w:val="center"/>
            </w:pPr>
            <w:r>
              <w:rPr>
                <w:sz w:val="21"/>
              </w:rPr>
              <w:t>1.</w:t>
            </w:r>
          </w:p>
        </w:tc>
        <w:tc>
          <w:tcPr>
            <w:tcW w:w="2136" w:type="dxa"/>
            <w:vAlign w:val="top"/>
          </w:tcPr>
          <w:p>
            <w:pPr>
              <w:rPr>
                <w:rFonts w:hint="eastAsia" w:ascii="Times New Roman" w:hAnsi="Times New Roman" w:eastAsia="宋体"/>
                <w:lang w:val="en-US" w:eastAsia="zh-CN"/>
              </w:rPr>
            </w:pPr>
            <w:r>
              <w:rPr>
                <w:rFonts w:hint="eastAsia" w:ascii="Times New Roman" w:hAnsi="Times New Roman" w:eastAsia="宋体"/>
                <w:lang w:val="en-US" w:eastAsia="zh-CN"/>
              </w:rPr>
              <w:t>政策功能适配</w:t>
            </w:r>
          </w:p>
        </w:tc>
        <w:tc>
          <w:tcPr>
            <w:tcW w:w="5898" w:type="dxa"/>
            <w:vAlign w:val="bottom"/>
          </w:tcPr>
          <w:p>
            <w:pPr>
              <w:rPr>
                <w:rFonts w:hint="default" w:ascii="Times New Roman" w:hAnsi="Times New Roman" w:eastAsia="宋体"/>
                <w:lang w:val="en-US" w:eastAsia="zh-CN"/>
              </w:rPr>
            </w:pPr>
            <w:r>
              <w:rPr>
                <w:rFonts w:hint="eastAsia" w:ascii="Times New Roman" w:hAnsi="Times New Roman" w:eastAsia="宋体"/>
                <w:lang w:val="en-US" w:eastAsia="zh-CN"/>
              </w:rPr>
              <w:t>严格遵循“已有功能应用尽用、个性功能最小必须”原则，重点围绕参保缴费、待遇结算、机构管理等环节开展本地化适配。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 w:type="dxa"/>
            <w:vAlign w:val="top"/>
          </w:tcPr>
          <w:p>
            <w:pPr>
              <w:jc w:val="center"/>
              <w:rPr>
                <w:rFonts w:ascii="Times New Roman" w:hAnsi="Times New Roman"/>
              </w:rPr>
            </w:pPr>
            <w:r>
              <w:rPr>
                <w:rFonts w:hint="eastAsia"/>
                <w:sz w:val="21"/>
                <w:lang w:val="en-US" w:eastAsia="zh-CN"/>
              </w:rPr>
              <w:t>2</w:t>
            </w:r>
            <w:r>
              <w:rPr>
                <w:sz w:val="21"/>
              </w:rPr>
              <w:t>.</w:t>
            </w:r>
          </w:p>
        </w:tc>
        <w:tc>
          <w:tcPr>
            <w:tcW w:w="2136" w:type="dxa"/>
            <w:vAlign w:val="top"/>
          </w:tcPr>
          <w:p>
            <w:pPr>
              <w:rPr>
                <w:rFonts w:hint="eastAsia" w:ascii="Times New Roman" w:hAnsi="Times New Roman" w:eastAsia="宋体"/>
                <w:lang w:val="en-US" w:eastAsia="zh-CN"/>
              </w:rPr>
            </w:pPr>
            <w:r>
              <w:rPr>
                <w:rFonts w:hint="eastAsia" w:ascii="Times New Roman" w:hAnsi="Times New Roman" w:eastAsia="宋体"/>
                <w:lang w:val="en-US" w:eastAsia="zh-CN"/>
              </w:rPr>
              <w:t>系统运营服务</w:t>
            </w:r>
          </w:p>
        </w:tc>
        <w:tc>
          <w:tcPr>
            <w:tcW w:w="5898" w:type="dxa"/>
            <w:vAlign w:val="top"/>
          </w:tcPr>
          <w:p>
            <w:pPr>
              <w:rPr>
                <w:rFonts w:hint="default" w:ascii="Times New Roman" w:hAnsi="Times New Roman" w:eastAsia="宋体"/>
                <w:lang w:val="en-US" w:eastAsia="zh-CN"/>
              </w:rPr>
            </w:pPr>
            <w:r>
              <w:rPr>
                <w:rFonts w:hint="default" w:ascii="Times New Roman" w:hAnsi="Times New Roman" w:eastAsia="宋体"/>
                <w:lang w:val="en-US" w:eastAsia="zh-CN"/>
              </w:rPr>
              <w:t>包括针对</w:t>
            </w:r>
            <w:r>
              <w:rPr>
                <w:rFonts w:hint="eastAsia" w:ascii="Times New Roman" w:hAnsi="Times New Roman" w:eastAsia="宋体"/>
                <w:lang w:val="en-US" w:eastAsia="zh-CN"/>
              </w:rPr>
              <w:t>江门</w:t>
            </w:r>
            <w:r>
              <w:rPr>
                <w:rFonts w:hint="default" w:ascii="Times New Roman" w:hAnsi="Times New Roman" w:eastAsia="宋体"/>
                <w:lang w:val="en-US" w:eastAsia="zh-CN"/>
              </w:rPr>
              <w:t>市医疗保障局下属业务经办机构、各定点护理/评估机构的系统培训、系统上线后针对经办部门、各定点护理/评估机构的业务</w:t>
            </w:r>
            <w:r>
              <w:rPr>
                <w:rFonts w:hint="eastAsia" w:ascii="Times New Roman" w:hAnsi="Times New Roman" w:eastAsia="宋体"/>
                <w:lang w:val="en-US" w:eastAsia="zh-CN"/>
              </w:rPr>
              <w:t>管理</w:t>
            </w:r>
            <w:r>
              <w:rPr>
                <w:rFonts w:hint="default" w:ascii="Times New Roman" w:hAnsi="Times New Roman" w:eastAsia="宋体"/>
                <w:lang w:val="en-US" w:eastAsia="zh-CN"/>
              </w:rPr>
              <w:t>运营</w:t>
            </w:r>
            <w:r>
              <w:rPr>
                <w:rFonts w:hint="eastAsia" w:ascii="Times New Roman" w:hAnsi="Times New Roman" w:eastAsia="宋体"/>
                <w:lang w:val="en-US" w:eastAsia="zh-CN"/>
              </w:rPr>
              <w:t>、</w:t>
            </w:r>
            <w:r>
              <w:rPr>
                <w:rFonts w:hint="default" w:ascii="Times New Roman" w:hAnsi="Times New Roman" w:eastAsia="宋体"/>
                <w:lang w:val="en-US" w:eastAsia="zh-CN"/>
              </w:rPr>
              <w:t>数据处理</w:t>
            </w:r>
            <w:r>
              <w:rPr>
                <w:rFonts w:hint="eastAsia" w:ascii="Times New Roman" w:hAnsi="Times New Roman" w:eastAsia="宋体"/>
                <w:lang w:val="en-US" w:eastAsia="zh-CN"/>
              </w:rPr>
              <w:t>运营服务以及其他业务运营服务</w:t>
            </w:r>
            <w:r>
              <w:rPr>
                <w:rFonts w:hint="default" w:ascii="Times New Roman" w:hAnsi="Times New Roman" w:eastAsia="宋体"/>
                <w:lang w:val="en-US" w:eastAsia="zh-CN"/>
              </w:rPr>
              <w:t>等</w:t>
            </w:r>
            <w:r>
              <w:rPr>
                <w:rFonts w:hint="eastAsia"/>
                <w:lang w:val="en-US" w:eastAsia="zh-CN"/>
              </w:rPr>
              <w:t>。</w:t>
            </w:r>
          </w:p>
        </w:tc>
      </w:tr>
    </w:tbl>
    <w:p>
      <w:pPr>
        <w:pStyle w:val="3"/>
        <w:rPr>
          <w:sz w:val="32"/>
          <w:szCs w:val="32"/>
        </w:rPr>
      </w:pPr>
      <w:r>
        <w:rPr>
          <w:rFonts w:hint="eastAsia"/>
          <w:sz w:val="32"/>
          <w:szCs w:val="32"/>
        </w:rPr>
        <w:t>项目建设需求</w:t>
      </w:r>
    </w:p>
    <w:p>
      <w:pPr>
        <w:pStyle w:val="4"/>
        <w:rPr>
          <w:sz w:val="30"/>
          <w:szCs w:val="30"/>
        </w:rPr>
      </w:pPr>
      <w:r>
        <w:rPr>
          <w:rFonts w:hint="eastAsia"/>
          <w:sz w:val="30"/>
          <w:szCs w:val="30"/>
          <w:lang w:val="en-US" w:eastAsia="zh-CN"/>
        </w:rPr>
        <w:t>业务</w:t>
      </w:r>
      <w:r>
        <w:rPr>
          <w:rFonts w:hint="eastAsia"/>
          <w:sz w:val="30"/>
          <w:szCs w:val="30"/>
        </w:rPr>
        <w:t>需求</w:t>
      </w:r>
    </w:p>
    <w:p>
      <w:pPr>
        <w:pStyle w:val="6"/>
        <w:bidi w:val="0"/>
        <w:rPr>
          <w:sz w:val="24"/>
          <w:szCs w:val="24"/>
        </w:rPr>
      </w:pPr>
      <w:r>
        <w:rPr>
          <w:sz w:val="24"/>
          <w:szCs w:val="24"/>
        </w:rPr>
        <w:t>政策功能适配</w:t>
      </w:r>
    </w:p>
    <w:p>
      <w:pPr>
        <w:numPr>
          <w:ilvl w:val="0"/>
          <w:numId w:val="5"/>
        </w:numPr>
        <w:spacing w:line="560" w:lineRule="exact"/>
        <w:ind w:firstLine="480" w:firstLineChars="200"/>
        <w:rPr>
          <w:rFonts w:ascii="宋体" w:hAnsi="宋体" w:cs="宋体"/>
          <w:color w:val="000000"/>
          <w:sz w:val="24"/>
          <w:szCs w:val="24"/>
        </w:rPr>
      </w:pPr>
      <w:r>
        <w:rPr>
          <w:rFonts w:ascii="宋体" w:hAnsi="宋体" w:cs="宋体"/>
          <w:color w:val="000000"/>
          <w:sz w:val="24"/>
          <w:szCs w:val="24"/>
        </w:rPr>
        <w:t>参保业务配置</w:t>
      </w:r>
    </w:p>
    <w:p>
      <w:pPr>
        <w:spacing w:line="560" w:lineRule="exact"/>
        <w:ind w:firstLine="480" w:firstLineChars="200"/>
        <w:rPr>
          <w:rFonts w:hint="default" w:ascii="宋体" w:hAnsi="宋体" w:cs="宋体"/>
          <w:color w:val="000000"/>
          <w:sz w:val="24"/>
          <w:szCs w:val="24"/>
        </w:rPr>
      </w:pPr>
      <w:r>
        <w:rPr>
          <w:rFonts w:hint="default" w:ascii="宋体" w:hAnsi="宋体" w:cs="宋体"/>
          <w:color w:val="000000"/>
          <w:sz w:val="24"/>
          <w:szCs w:val="24"/>
        </w:rPr>
        <w:t>参保业务配置旨在依据</w:t>
      </w:r>
      <w:r>
        <w:rPr>
          <w:rFonts w:hint="eastAsia" w:ascii="宋体" w:hAnsi="宋体" w:cs="宋体"/>
          <w:color w:val="000000"/>
          <w:sz w:val="24"/>
          <w:szCs w:val="24"/>
          <w:lang w:eastAsia="zh-CN"/>
        </w:rPr>
        <w:t>江门</w:t>
      </w:r>
      <w:r>
        <w:rPr>
          <w:rFonts w:hint="default" w:ascii="宋体" w:hAnsi="宋体" w:cs="宋体"/>
          <w:color w:val="000000"/>
          <w:sz w:val="24"/>
          <w:szCs w:val="24"/>
        </w:rPr>
        <w:t>市</w:t>
      </w:r>
      <w:r>
        <w:rPr>
          <w:rFonts w:hint="eastAsia" w:ascii="宋体" w:hAnsi="宋体" w:cs="宋体"/>
          <w:color w:val="000000"/>
          <w:sz w:val="24"/>
          <w:szCs w:val="24"/>
          <w:lang w:eastAsia="zh-CN"/>
        </w:rPr>
        <w:t>长期护理保险</w:t>
      </w:r>
      <w:r>
        <w:rPr>
          <w:rFonts w:hint="default" w:ascii="宋体" w:hAnsi="宋体" w:cs="宋体"/>
          <w:color w:val="000000"/>
          <w:sz w:val="24"/>
          <w:szCs w:val="24"/>
        </w:rPr>
        <w:t>政策，在广东省医疗保障信息平台内搭建起参保相关业务的完整框架。通过合理配置参数，保障参保流程顺畅，使符合条件的参保人能够准确、便捷地完成参保登记与缴费操作。</w:t>
      </w:r>
    </w:p>
    <w:p>
      <w:pPr>
        <w:numPr>
          <w:ilvl w:val="0"/>
          <w:numId w:val="5"/>
        </w:numPr>
        <w:spacing w:line="560" w:lineRule="exact"/>
        <w:ind w:firstLine="480" w:firstLineChars="200"/>
        <w:rPr>
          <w:rFonts w:hint="default" w:ascii="宋体" w:hAnsi="宋体" w:cs="宋体"/>
          <w:color w:val="000000"/>
          <w:sz w:val="24"/>
          <w:szCs w:val="24"/>
        </w:rPr>
      </w:pPr>
      <w:r>
        <w:rPr>
          <w:rFonts w:ascii="宋体" w:hAnsi="宋体" w:cs="宋体"/>
          <w:color w:val="000000"/>
          <w:sz w:val="24"/>
          <w:szCs w:val="24"/>
        </w:rPr>
        <w:t>征缴业务配置</w:t>
      </w:r>
    </w:p>
    <w:p>
      <w:pPr>
        <w:spacing w:line="560" w:lineRule="exact"/>
        <w:ind w:firstLine="480" w:firstLineChars="200"/>
        <w:rPr>
          <w:rFonts w:ascii="宋体" w:hAnsi="宋体" w:cs="宋体"/>
          <w:color w:val="000000"/>
          <w:sz w:val="24"/>
          <w:szCs w:val="24"/>
        </w:rPr>
      </w:pPr>
      <w:r>
        <w:rPr>
          <w:rFonts w:ascii="宋体" w:hAnsi="宋体" w:cs="宋体"/>
          <w:color w:val="000000"/>
          <w:sz w:val="24"/>
          <w:szCs w:val="24"/>
        </w:rPr>
        <w:t>征缴业务配置围绕</w:t>
      </w:r>
      <w:r>
        <w:rPr>
          <w:rFonts w:hint="eastAsia" w:ascii="宋体" w:hAnsi="宋体" w:cs="宋体"/>
          <w:color w:val="000000"/>
          <w:sz w:val="24"/>
          <w:szCs w:val="24"/>
          <w:lang w:eastAsia="zh-CN"/>
        </w:rPr>
        <w:t>江门</w:t>
      </w:r>
      <w:r>
        <w:rPr>
          <w:rFonts w:ascii="宋体" w:hAnsi="宋体" w:cs="宋体"/>
          <w:color w:val="000000"/>
          <w:sz w:val="24"/>
          <w:szCs w:val="24"/>
        </w:rPr>
        <w:t>市</w:t>
      </w:r>
      <w:r>
        <w:rPr>
          <w:rFonts w:hint="eastAsia" w:ascii="宋体" w:hAnsi="宋体" w:cs="宋体"/>
          <w:color w:val="000000"/>
          <w:sz w:val="24"/>
          <w:szCs w:val="24"/>
          <w:lang w:eastAsia="zh-CN"/>
        </w:rPr>
        <w:t>长期护理保险</w:t>
      </w:r>
      <w:r>
        <w:rPr>
          <w:rFonts w:ascii="宋体" w:hAnsi="宋体" w:cs="宋体"/>
          <w:color w:val="000000"/>
          <w:sz w:val="24"/>
          <w:szCs w:val="24"/>
        </w:rPr>
        <w:t>的征缴政策，在广东省医疗保障信息平台内完成征缴相关业务的参数设定，确保</w:t>
      </w:r>
      <w:r>
        <w:rPr>
          <w:rFonts w:hint="eastAsia" w:ascii="宋体" w:hAnsi="宋体" w:cs="宋体"/>
          <w:color w:val="000000"/>
          <w:sz w:val="24"/>
          <w:szCs w:val="24"/>
          <w:lang w:eastAsia="zh-CN"/>
        </w:rPr>
        <w:t>长期护理保险</w:t>
      </w:r>
      <w:r>
        <w:rPr>
          <w:rFonts w:ascii="宋体" w:hAnsi="宋体" w:cs="宋体"/>
          <w:color w:val="000000"/>
          <w:sz w:val="24"/>
          <w:szCs w:val="24"/>
        </w:rPr>
        <w:t>费用的准确、及时征缴，保障</w:t>
      </w:r>
      <w:r>
        <w:rPr>
          <w:rFonts w:hint="eastAsia" w:ascii="宋体" w:hAnsi="宋体" w:cs="宋体"/>
          <w:color w:val="000000"/>
          <w:sz w:val="24"/>
          <w:szCs w:val="24"/>
          <w:lang w:eastAsia="zh-CN"/>
        </w:rPr>
        <w:t>长期护理保险</w:t>
      </w:r>
      <w:r>
        <w:rPr>
          <w:rFonts w:ascii="宋体" w:hAnsi="宋体" w:cs="宋体"/>
          <w:color w:val="000000"/>
          <w:sz w:val="24"/>
          <w:szCs w:val="24"/>
        </w:rPr>
        <w:t>基金的稳定来源。</w:t>
      </w:r>
    </w:p>
    <w:p>
      <w:pPr>
        <w:numPr>
          <w:ilvl w:val="0"/>
          <w:numId w:val="5"/>
        </w:numPr>
        <w:spacing w:line="560" w:lineRule="exact"/>
        <w:ind w:firstLine="480" w:firstLineChars="200"/>
        <w:rPr>
          <w:rFonts w:ascii="宋体" w:hAnsi="宋体" w:cs="宋体"/>
          <w:color w:val="000000"/>
          <w:sz w:val="24"/>
          <w:szCs w:val="24"/>
        </w:rPr>
      </w:pPr>
      <w:r>
        <w:rPr>
          <w:rFonts w:ascii="宋体" w:hAnsi="宋体" w:cs="宋体"/>
          <w:color w:val="000000"/>
          <w:sz w:val="24"/>
          <w:szCs w:val="24"/>
        </w:rPr>
        <w:t>个人待遇业务配置</w:t>
      </w:r>
    </w:p>
    <w:p>
      <w:pPr>
        <w:spacing w:line="560" w:lineRule="exact"/>
        <w:ind w:firstLine="480" w:firstLineChars="200"/>
        <w:rPr>
          <w:rFonts w:ascii="宋体" w:hAnsi="宋体" w:cs="宋体"/>
          <w:color w:val="000000"/>
          <w:sz w:val="24"/>
          <w:szCs w:val="24"/>
        </w:rPr>
      </w:pPr>
      <w:r>
        <w:rPr>
          <w:rFonts w:ascii="宋体" w:hAnsi="宋体" w:cs="宋体"/>
          <w:color w:val="000000"/>
          <w:sz w:val="24"/>
          <w:szCs w:val="24"/>
        </w:rPr>
        <w:t>个人待遇业务配置聚焦于</w:t>
      </w:r>
      <w:r>
        <w:rPr>
          <w:rFonts w:hint="eastAsia" w:ascii="宋体" w:hAnsi="宋体" w:cs="宋体"/>
          <w:color w:val="000000"/>
          <w:sz w:val="24"/>
          <w:szCs w:val="24"/>
          <w:lang w:eastAsia="zh-CN"/>
        </w:rPr>
        <w:t>江门</w:t>
      </w:r>
      <w:r>
        <w:rPr>
          <w:rFonts w:ascii="宋体" w:hAnsi="宋体" w:cs="宋体"/>
          <w:color w:val="000000"/>
          <w:sz w:val="24"/>
          <w:szCs w:val="24"/>
        </w:rPr>
        <w:t>市</w:t>
      </w:r>
      <w:r>
        <w:rPr>
          <w:rFonts w:hint="eastAsia" w:ascii="宋体" w:hAnsi="宋体" w:cs="宋体"/>
          <w:color w:val="000000"/>
          <w:sz w:val="24"/>
          <w:szCs w:val="24"/>
          <w:lang w:eastAsia="zh-CN"/>
        </w:rPr>
        <w:t>长期护理保险</w:t>
      </w:r>
      <w:r>
        <w:rPr>
          <w:rFonts w:ascii="宋体" w:hAnsi="宋体" w:cs="宋体"/>
          <w:color w:val="000000"/>
          <w:sz w:val="24"/>
          <w:szCs w:val="24"/>
        </w:rPr>
        <w:t>个人待遇政策，涵盖个人评估待遇和个人护理待遇，在</w:t>
      </w:r>
      <w:r>
        <w:rPr>
          <w:rFonts w:hint="eastAsia" w:ascii="宋体" w:hAnsi="宋体" w:cs="宋体"/>
          <w:color w:val="000000"/>
          <w:sz w:val="24"/>
          <w:szCs w:val="24"/>
          <w:lang w:eastAsia="zh-CN"/>
        </w:rPr>
        <w:t>广东省医疗保障信息平台</w:t>
      </w:r>
      <w:r>
        <w:rPr>
          <w:rFonts w:ascii="宋体" w:hAnsi="宋体" w:cs="宋体"/>
          <w:color w:val="000000"/>
          <w:sz w:val="24"/>
          <w:szCs w:val="24"/>
        </w:rPr>
        <w:t>内完成待遇支付相关业务的参数配置，确保符合条件的参保人能够及时、准确地享受</w:t>
      </w:r>
      <w:r>
        <w:rPr>
          <w:rFonts w:hint="eastAsia" w:ascii="宋体" w:hAnsi="宋体" w:cs="宋体"/>
          <w:color w:val="000000"/>
          <w:sz w:val="24"/>
          <w:szCs w:val="24"/>
          <w:lang w:eastAsia="zh-CN"/>
        </w:rPr>
        <w:t>长期护理保险</w:t>
      </w:r>
      <w:r>
        <w:rPr>
          <w:rFonts w:ascii="宋体" w:hAnsi="宋体" w:cs="宋体"/>
          <w:color w:val="000000"/>
          <w:sz w:val="24"/>
          <w:szCs w:val="24"/>
        </w:rPr>
        <w:t>待遇。</w:t>
      </w:r>
    </w:p>
    <w:p>
      <w:pPr>
        <w:numPr>
          <w:ilvl w:val="0"/>
          <w:numId w:val="5"/>
        </w:numPr>
        <w:spacing w:line="560" w:lineRule="exact"/>
        <w:ind w:firstLine="480" w:firstLineChars="200"/>
        <w:rPr>
          <w:rFonts w:hint="default" w:ascii="宋体" w:hAnsi="宋体" w:cs="宋体"/>
          <w:color w:val="000000"/>
          <w:sz w:val="24"/>
          <w:szCs w:val="24"/>
        </w:rPr>
      </w:pPr>
      <w:r>
        <w:rPr>
          <w:rFonts w:ascii="宋体" w:hAnsi="宋体" w:cs="宋体"/>
          <w:color w:val="000000"/>
          <w:sz w:val="24"/>
          <w:szCs w:val="24"/>
        </w:rPr>
        <w:t>机构清算业务配置</w:t>
      </w:r>
    </w:p>
    <w:p>
      <w:pPr>
        <w:spacing w:line="560" w:lineRule="exact"/>
        <w:ind w:firstLine="480" w:firstLineChars="200"/>
        <w:rPr>
          <w:rFonts w:hint="default" w:ascii="宋体" w:hAnsi="宋体" w:cs="宋体"/>
          <w:color w:val="000000"/>
          <w:sz w:val="24"/>
          <w:szCs w:val="24"/>
        </w:rPr>
      </w:pPr>
      <w:r>
        <w:rPr>
          <w:rFonts w:ascii="宋体" w:hAnsi="宋体" w:cs="宋体"/>
          <w:color w:val="000000"/>
          <w:sz w:val="24"/>
          <w:szCs w:val="24"/>
        </w:rPr>
        <w:t>机构清算业务配置针对</w:t>
      </w:r>
      <w:r>
        <w:rPr>
          <w:rFonts w:hint="eastAsia" w:ascii="宋体" w:hAnsi="宋体" w:cs="宋体"/>
          <w:color w:val="000000"/>
          <w:sz w:val="24"/>
          <w:szCs w:val="24"/>
          <w:lang w:eastAsia="zh-CN"/>
        </w:rPr>
        <w:t>江门</w:t>
      </w:r>
      <w:r>
        <w:rPr>
          <w:rFonts w:ascii="宋体" w:hAnsi="宋体" w:cs="宋体"/>
          <w:color w:val="000000"/>
          <w:sz w:val="24"/>
          <w:szCs w:val="24"/>
        </w:rPr>
        <w:t>市</w:t>
      </w:r>
      <w:r>
        <w:rPr>
          <w:rFonts w:hint="eastAsia" w:ascii="宋体" w:hAnsi="宋体" w:cs="宋体"/>
          <w:color w:val="000000"/>
          <w:sz w:val="24"/>
          <w:szCs w:val="24"/>
          <w:lang w:eastAsia="zh-CN"/>
        </w:rPr>
        <w:t>长期护理保险</w:t>
      </w:r>
      <w:r>
        <w:rPr>
          <w:rFonts w:ascii="宋体" w:hAnsi="宋体" w:cs="宋体"/>
          <w:color w:val="000000"/>
          <w:sz w:val="24"/>
          <w:szCs w:val="24"/>
        </w:rPr>
        <w:t>定点服务机构的费用清算工作，涉及评估机构费用清算和护理机构费用清算，在</w:t>
      </w:r>
      <w:r>
        <w:rPr>
          <w:rFonts w:hint="eastAsia" w:ascii="宋体" w:hAnsi="宋体" w:cs="宋体"/>
          <w:color w:val="000000"/>
          <w:sz w:val="24"/>
          <w:szCs w:val="24"/>
          <w:lang w:eastAsia="zh-CN"/>
        </w:rPr>
        <w:t>广东省医疗保障信息平台</w:t>
      </w:r>
      <w:r>
        <w:rPr>
          <w:rFonts w:ascii="宋体" w:hAnsi="宋体" w:cs="宋体"/>
          <w:color w:val="000000"/>
          <w:sz w:val="24"/>
          <w:szCs w:val="24"/>
        </w:rPr>
        <w:t>内完成相关业务参数配置，确保机构费用清算准确、及时，保障</w:t>
      </w:r>
      <w:r>
        <w:rPr>
          <w:rFonts w:hint="eastAsia" w:ascii="宋体" w:hAnsi="宋体" w:cs="宋体"/>
          <w:color w:val="000000"/>
          <w:sz w:val="24"/>
          <w:szCs w:val="24"/>
          <w:lang w:eastAsia="zh-CN"/>
        </w:rPr>
        <w:t>长期护理保险</w:t>
      </w:r>
      <w:r>
        <w:rPr>
          <w:rFonts w:ascii="宋体" w:hAnsi="宋体" w:cs="宋体"/>
          <w:color w:val="000000"/>
          <w:sz w:val="24"/>
          <w:szCs w:val="24"/>
        </w:rPr>
        <w:t>服务的正常开展。</w:t>
      </w:r>
    </w:p>
    <w:p>
      <w:pPr>
        <w:numPr>
          <w:ilvl w:val="0"/>
          <w:numId w:val="5"/>
        </w:numPr>
        <w:spacing w:line="560" w:lineRule="exact"/>
        <w:ind w:firstLine="480" w:firstLineChars="200"/>
        <w:rPr>
          <w:rFonts w:ascii="宋体" w:hAnsi="宋体" w:cs="宋体"/>
          <w:color w:val="000000"/>
          <w:sz w:val="24"/>
          <w:szCs w:val="24"/>
        </w:rPr>
      </w:pPr>
      <w:r>
        <w:rPr>
          <w:rFonts w:ascii="宋体" w:hAnsi="宋体" w:cs="宋体"/>
          <w:color w:val="000000"/>
          <w:sz w:val="24"/>
          <w:szCs w:val="24"/>
        </w:rPr>
        <w:t>评估量表配置</w:t>
      </w:r>
    </w:p>
    <w:p>
      <w:pPr>
        <w:spacing w:line="560" w:lineRule="exact"/>
        <w:ind w:firstLine="480" w:firstLineChars="200"/>
        <w:rPr>
          <w:rFonts w:ascii="宋体" w:hAnsi="宋体" w:cs="宋体"/>
          <w:color w:val="000000"/>
          <w:sz w:val="24"/>
          <w:szCs w:val="24"/>
        </w:rPr>
      </w:pPr>
      <w:r>
        <w:rPr>
          <w:rFonts w:ascii="宋体" w:hAnsi="宋体" w:cs="宋体"/>
          <w:color w:val="000000"/>
          <w:sz w:val="24"/>
          <w:szCs w:val="24"/>
        </w:rPr>
        <w:t>评估量表配置是依据</w:t>
      </w:r>
      <w:r>
        <w:rPr>
          <w:rFonts w:hint="eastAsia" w:ascii="宋体" w:hAnsi="宋体" w:cs="宋体"/>
          <w:color w:val="000000"/>
          <w:sz w:val="24"/>
          <w:szCs w:val="24"/>
          <w:lang w:eastAsia="zh-CN"/>
        </w:rPr>
        <w:t>江门</w:t>
      </w:r>
      <w:r>
        <w:rPr>
          <w:rFonts w:ascii="宋体" w:hAnsi="宋体" w:cs="宋体"/>
          <w:color w:val="000000"/>
          <w:sz w:val="24"/>
          <w:szCs w:val="24"/>
        </w:rPr>
        <w:t>市</w:t>
      </w:r>
      <w:r>
        <w:rPr>
          <w:rFonts w:hint="eastAsia" w:ascii="宋体" w:hAnsi="宋体" w:cs="宋体"/>
          <w:color w:val="000000"/>
          <w:sz w:val="24"/>
          <w:szCs w:val="24"/>
          <w:lang w:eastAsia="zh-CN"/>
        </w:rPr>
        <w:t>长期护理保险</w:t>
      </w:r>
      <w:r>
        <w:rPr>
          <w:rFonts w:ascii="宋体" w:hAnsi="宋体" w:cs="宋体"/>
          <w:color w:val="000000"/>
          <w:sz w:val="24"/>
          <w:szCs w:val="24"/>
        </w:rPr>
        <w:t>政策中关于失能等级评估的要求，在长护子系统内完成评估量表相关参数配置，为准确评估参保人失能等级提供科学依据。长护子系统部署后，</w:t>
      </w:r>
      <w:r>
        <w:rPr>
          <w:rFonts w:hint="eastAsia" w:ascii="宋体" w:hAnsi="宋体" w:cs="宋体"/>
          <w:color w:val="000000"/>
          <w:sz w:val="24"/>
          <w:szCs w:val="24"/>
          <w:lang w:eastAsia="zh-CN"/>
        </w:rPr>
        <w:t>江门</w:t>
      </w:r>
      <w:r>
        <w:rPr>
          <w:rFonts w:ascii="宋体" w:hAnsi="宋体" w:cs="宋体"/>
          <w:color w:val="000000"/>
          <w:sz w:val="24"/>
          <w:szCs w:val="24"/>
        </w:rPr>
        <w:t>市可以选择省统一的模板进行参数配置。当</w:t>
      </w:r>
      <w:r>
        <w:rPr>
          <w:rFonts w:hint="eastAsia" w:ascii="宋体" w:hAnsi="宋体" w:cs="宋体"/>
          <w:color w:val="000000"/>
          <w:sz w:val="24"/>
          <w:szCs w:val="24"/>
          <w:lang w:eastAsia="zh-CN"/>
        </w:rPr>
        <w:t>江门</w:t>
      </w:r>
      <w:r>
        <w:rPr>
          <w:rFonts w:ascii="宋体" w:hAnsi="宋体" w:cs="宋体"/>
          <w:color w:val="000000"/>
          <w:sz w:val="24"/>
          <w:szCs w:val="24"/>
        </w:rPr>
        <w:t>市有个性化需求时，需要对评估量表进行调整。</w:t>
      </w:r>
    </w:p>
    <w:p>
      <w:pPr>
        <w:numPr>
          <w:ilvl w:val="0"/>
          <w:numId w:val="5"/>
        </w:numPr>
        <w:spacing w:line="560" w:lineRule="exact"/>
        <w:ind w:firstLine="480" w:firstLineChars="200"/>
        <w:rPr>
          <w:rFonts w:hint="default" w:ascii="宋体" w:hAnsi="宋体" w:cs="宋体"/>
          <w:color w:val="000000"/>
          <w:sz w:val="24"/>
          <w:szCs w:val="24"/>
        </w:rPr>
      </w:pPr>
      <w:r>
        <w:rPr>
          <w:rFonts w:ascii="宋体" w:hAnsi="宋体" w:cs="宋体"/>
          <w:color w:val="000000"/>
          <w:sz w:val="24"/>
          <w:szCs w:val="24"/>
        </w:rPr>
        <w:t>业财一体化配置</w:t>
      </w:r>
    </w:p>
    <w:p>
      <w:pPr>
        <w:spacing w:line="560" w:lineRule="exact"/>
        <w:ind w:firstLine="480" w:firstLineChars="200"/>
        <w:rPr>
          <w:rFonts w:ascii="宋体" w:hAnsi="宋体" w:cs="宋体"/>
          <w:color w:val="000000"/>
          <w:sz w:val="24"/>
          <w:szCs w:val="24"/>
        </w:rPr>
      </w:pPr>
      <w:r>
        <w:rPr>
          <w:rFonts w:ascii="宋体" w:hAnsi="宋体" w:cs="宋体"/>
          <w:color w:val="000000"/>
          <w:sz w:val="24"/>
          <w:szCs w:val="24"/>
        </w:rPr>
        <w:t>业财一体化配置旨在实现</w:t>
      </w:r>
      <w:r>
        <w:rPr>
          <w:rFonts w:hint="eastAsia" w:ascii="宋体" w:hAnsi="宋体" w:cs="宋体"/>
          <w:color w:val="000000"/>
          <w:sz w:val="24"/>
          <w:szCs w:val="24"/>
          <w:lang w:eastAsia="zh-CN"/>
        </w:rPr>
        <w:t>江门</w:t>
      </w:r>
      <w:r>
        <w:rPr>
          <w:rFonts w:ascii="宋体" w:hAnsi="宋体" w:cs="宋体"/>
          <w:color w:val="000000"/>
          <w:sz w:val="24"/>
          <w:szCs w:val="24"/>
        </w:rPr>
        <w:t>市</w:t>
      </w:r>
      <w:r>
        <w:rPr>
          <w:rFonts w:hint="eastAsia" w:ascii="宋体" w:hAnsi="宋体" w:cs="宋体"/>
          <w:color w:val="000000"/>
          <w:sz w:val="24"/>
          <w:szCs w:val="24"/>
          <w:lang w:eastAsia="zh-CN"/>
        </w:rPr>
        <w:t>长期护理保险</w:t>
      </w:r>
      <w:r>
        <w:rPr>
          <w:rFonts w:ascii="宋体" w:hAnsi="宋体" w:cs="宋体"/>
          <w:color w:val="000000"/>
          <w:sz w:val="24"/>
          <w:szCs w:val="24"/>
        </w:rPr>
        <w:t>业务与财务工作的深度融合，在</w:t>
      </w:r>
      <w:r>
        <w:rPr>
          <w:rFonts w:hint="eastAsia" w:ascii="宋体" w:hAnsi="宋体" w:cs="宋体"/>
          <w:color w:val="000000"/>
          <w:sz w:val="24"/>
          <w:szCs w:val="24"/>
          <w:lang w:eastAsia="zh-CN"/>
        </w:rPr>
        <w:t>广东省医疗保障信息平台</w:t>
      </w:r>
      <w:r>
        <w:rPr>
          <w:rFonts w:ascii="宋体" w:hAnsi="宋体" w:cs="宋体"/>
          <w:color w:val="000000"/>
          <w:sz w:val="24"/>
          <w:szCs w:val="24"/>
        </w:rPr>
        <w:t>内完成相关业务参数配置，涉及与长护的拨付银行对接配置、与长护的财务对接配置等，确保业务数据与财务数据准确对接、实时共享，提高</w:t>
      </w:r>
      <w:r>
        <w:rPr>
          <w:rFonts w:hint="eastAsia" w:ascii="宋体" w:hAnsi="宋体" w:cs="宋体"/>
          <w:color w:val="000000"/>
          <w:sz w:val="24"/>
          <w:szCs w:val="24"/>
          <w:lang w:eastAsia="zh-CN"/>
        </w:rPr>
        <w:t>长期护理保险</w:t>
      </w:r>
      <w:r>
        <w:rPr>
          <w:rFonts w:ascii="宋体" w:hAnsi="宋体" w:cs="宋体"/>
          <w:color w:val="000000"/>
          <w:sz w:val="24"/>
          <w:szCs w:val="24"/>
        </w:rPr>
        <w:t>业务财务管理效率。</w:t>
      </w:r>
    </w:p>
    <w:p>
      <w:pPr>
        <w:numPr>
          <w:ilvl w:val="0"/>
          <w:numId w:val="5"/>
        </w:numPr>
        <w:spacing w:line="560" w:lineRule="exact"/>
        <w:ind w:firstLine="480" w:firstLineChars="200"/>
        <w:rPr>
          <w:rFonts w:ascii="宋体" w:hAnsi="宋体" w:cs="宋体"/>
          <w:color w:val="000000"/>
          <w:sz w:val="24"/>
          <w:szCs w:val="24"/>
        </w:rPr>
      </w:pPr>
      <w:r>
        <w:rPr>
          <w:rFonts w:ascii="宋体" w:hAnsi="宋体" w:cs="宋体"/>
          <w:color w:val="000000"/>
          <w:sz w:val="24"/>
          <w:szCs w:val="24"/>
        </w:rPr>
        <w:t>“粤医保”</w:t>
      </w:r>
      <w:r>
        <w:rPr>
          <w:rFonts w:hint="eastAsia" w:ascii="宋体" w:hAnsi="宋体" w:cs="宋体"/>
          <w:color w:val="000000"/>
          <w:sz w:val="24"/>
          <w:szCs w:val="24"/>
          <w:lang w:eastAsia="zh-CN"/>
        </w:rPr>
        <w:t>江门</w:t>
      </w:r>
      <w:r>
        <w:rPr>
          <w:rFonts w:ascii="宋体" w:hAnsi="宋体" w:cs="宋体"/>
          <w:color w:val="000000"/>
          <w:sz w:val="24"/>
          <w:szCs w:val="24"/>
        </w:rPr>
        <w:t>市</w:t>
      </w:r>
      <w:r>
        <w:rPr>
          <w:rFonts w:hint="eastAsia" w:ascii="宋体" w:hAnsi="宋体" w:cs="宋体"/>
          <w:color w:val="000000"/>
          <w:sz w:val="24"/>
          <w:szCs w:val="24"/>
          <w:lang w:eastAsia="zh-CN"/>
        </w:rPr>
        <w:t>长期护理保险</w:t>
      </w:r>
      <w:r>
        <w:rPr>
          <w:rFonts w:ascii="宋体" w:hAnsi="宋体" w:cs="宋体"/>
          <w:color w:val="000000"/>
          <w:sz w:val="24"/>
          <w:szCs w:val="24"/>
        </w:rPr>
        <w:t>配置</w:t>
      </w:r>
    </w:p>
    <w:p>
      <w:pPr>
        <w:spacing w:line="560" w:lineRule="exact"/>
        <w:ind w:firstLine="480" w:firstLineChars="200"/>
        <w:rPr>
          <w:rFonts w:ascii="宋体" w:hAnsi="宋体" w:cs="宋体"/>
          <w:color w:val="000000"/>
          <w:sz w:val="24"/>
          <w:szCs w:val="24"/>
        </w:rPr>
      </w:pPr>
      <w:r>
        <w:rPr>
          <w:rFonts w:ascii="宋体" w:hAnsi="宋体" w:cs="宋体"/>
          <w:color w:val="000000"/>
          <w:sz w:val="24"/>
          <w:szCs w:val="24"/>
        </w:rPr>
        <w:t>“</w:t>
      </w:r>
      <w:r>
        <w:rPr>
          <w:rFonts w:hint="default" w:ascii="宋体" w:hAnsi="宋体" w:cs="宋体"/>
          <w:color w:val="000000"/>
          <w:sz w:val="24"/>
          <w:szCs w:val="24"/>
        </w:rPr>
        <w:t>粤医保</w:t>
      </w:r>
      <w:r>
        <w:rPr>
          <w:rFonts w:ascii="宋体" w:hAnsi="宋体" w:cs="宋体"/>
          <w:color w:val="000000"/>
          <w:sz w:val="24"/>
          <w:szCs w:val="24"/>
        </w:rPr>
        <w:t>”</w:t>
      </w:r>
      <w:r>
        <w:rPr>
          <w:rFonts w:hint="eastAsia" w:ascii="宋体" w:hAnsi="宋体" w:cs="宋体"/>
          <w:color w:val="000000"/>
          <w:sz w:val="24"/>
          <w:szCs w:val="24"/>
          <w:lang w:eastAsia="zh-CN"/>
        </w:rPr>
        <w:t>江门</w:t>
      </w:r>
      <w:r>
        <w:rPr>
          <w:rFonts w:hint="default" w:ascii="宋体" w:hAnsi="宋体" w:cs="宋体"/>
          <w:color w:val="000000"/>
          <w:sz w:val="24"/>
          <w:szCs w:val="24"/>
        </w:rPr>
        <w:t>市</w:t>
      </w:r>
      <w:r>
        <w:rPr>
          <w:rFonts w:hint="eastAsia" w:ascii="宋体" w:hAnsi="宋体" w:cs="宋体"/>
          <w:color w:val="000000"/>
          <w:sz w:val="24"/>
          <w:szCs w:val="24"/>
          <w:lang w:eastAsia="zh-CN"/>
        </w:rPr>
        <w:t>长期护理保险</w:t>
      </w:r>
      <w:r>
        <w:rPr>
          <w:rFonts w:hint="default" w:ascii="宋体" w:hAnsi="宋体" w:cs="宋体"/>
          <w:color w:val="000000"/>
          <w:sz w:val="24"/>
          <w:szCs w:val="24"/>
        </w:rPr>
        <w:t>配置</w:t>
      </w:r>
      <w:r>
        <w:rPr>
          <w:rFonts w:ascii="宋体" w:hAnsi="宋体" w:cs="宋体"/>
          <w:color w:val="000000"/>
          <w:sz w:val="24"/>
          <w:szCs w:val="24"/>
        </w:rPr>
        <w:t>是实现长护参保人对</w:t>
      </w:r>
      <w:r>
        <w:rPr>
          <w:rFonts w:hint="default" w:ascii="宋体" w:hAnsi="宋体" w:cs="宋体"/>
          <w:color w:val="000000"/>
          <w:sz w:val="24"/>
          <w:szCs w:val="24"/>
        </w:rPr>
        <w:t>失能评估申请、服务信息查询、服务评价</w:t>
      </w:r>
      <w:r>
        <w:rPr>
          <w:rFonts w:ascii="宋体" w:hAnsi="宋体" w:cs="宋体"/>
          <w:color w:val="000000"/>
          <w:sz w:val="24"/>
          <w:szCs w:val="24"/>
        </w:rPr>
        <w:t>线上化操作的要求，在“粤医保”</w:t>
      </w:r>
      <w:r>
        <w:rPr>
          <w:rFonts w:hint="eastAsia" w:ascii="宋体" w:hAnsi="宋体" w:cs="宋体"/>
          <w:color w:val="000000"/>
          <w:sz w:val="24"/>
          <w:szCs w:val="24"/>
          <w:lang w:eastAsia="zh-CN"/>
        </w:rPr>
        <w:t>江门</w:t>
      </w:r>
      <w:r>
        <w:rPr>
          <w:rFonts w:ascii="宋体" w:hAnsi="宋体" w:cs="宋体"/>
          <w:color w:val="000000"/>
          <w:sz w:val="24"/>
          <w:szCs w:val="24"/>
        </w:rPr>
        <w:t>市内完成</w:t>
      </w:r>
      <w:r>
        <w:rPr>
          <w:rFonts w:hint="eastAsia" w:ascii="宋体" w:hAnsi="宋体" w:cs="宋体"/>
          <w:color w:val="000000"/>
          <w:sz w:val="24"/>
          <w:szCs w:val="24"/>
          <w:lang w:eastAsia="zh-CN"/>
        </w:rPr>
        <w:t>长期护理保险</w:t>
      </w:r>
      <w:r>
        <w:rPr>
          <w:rFonts w:ascii="宋体" w:hAnsi="宋体" w:cs="宋体"/>
          <w:color w:val="000000"/>
          <w:sz w:val="24"/>
          <w:szCs w:val="24"/>
        </w:rPr>
        <w:t>相关功能参数配置，</w:t>
      </w:r>
      <w:r>
        <w:rPr>
          <w:rFonts w:hint="default" w:ascii="宋体" w:hAnsi="宋体" w:cs="宋体"/>
          <w:color w:val="000000"/>
          <w:sz w:val="24"/>
          <w:szCs w:val="24"/>
        </w:rPr>
        <w:t>提升便民服务水平</w:t>
      </w:r>
      <w:r>
        <w:rPr>
          <w:rFonts w:ascii="宋体" w:hAnsi="宋体" w:cs="宋体"/>
          <w:color w:val="000000"/>
          <w:sz w:val="24"/>
          <w:szCs w:val="24"/>
        </w:rPr>
        <w:t>。</w:t>
      </w:r>
    </w:p>
    <w:p>
      <w:pPr>
        <w:pStyle w:val="6"/>
        <w:bidi w:val="0"/>
        <w:rPr>
          <w:rFonts w:hint="default" w:ascii="Times New Roman" w:hAnsi="Times New Roman" w:eastAsia="宋体"/>
          <w:sz w:val="24"/>
          <w:szCs w:val="24"/>
        </w:rPr>
      </w:pPr>
      <w:r>
        <w:rPr>
          <w:rFonts w:ascii="Times New Roman" w:hAnsi="Times New Roman" w:eastAsia="宋体"/>
          <w:sz w:val="24"/>
          <w:szCs w:val="24"/>
        </w:rPr>
        <w:t>系统运营服务</w:t>
      </w:r>
    </w:p>
    <w:p>
      <w:pPr>
        <w:spacing w:line="560" w:lineRule="exact"/>
        <w:ind w:firstLine="480" w:firstLineChars="200"/>
        <w:rPr>
          <w:rFonts w:hint="default" w:ascii="宋体" w:hAnsi="宋体" w:cs="宋体"/>
          <w:color w:val="000000"/>
          <w:sz w:val="24"/>
          <w:szCs w:val="24"/>
        </w:rPr>
      </w:pPr>
      <w:r>
        <w:rPr>
          <w:rFonts w:hint="default" w:ascii="宋体" w:hAnsi="宋体" w:cs="宋体"/>
          <w:color w:val="000000"/>
          <w:sz w:val="24"/>
          <w:szCs w:val="24"/>
        </w:rPr>
        <w:t>包括针对</w:t>
      </w:r>
      <w:r>
        <w:rPr>
          <w:rFonts w:hint="eastAsia" w:ascii="宋体" w:hAnsi="宋体" w:cs="宋体"/>
          <w:color w:val="000000"/>
          <w:sz w:val="24"/>
          <w:szCs w:val="24"/>
          <w:lang w:eastAsia="zh-CN"/>
        </w:rPr>
        <w:t>江门</w:t>
      </w:r>
      <w:r>
        <w:rPr>
          <w:rFonts w:hint="default" w:ascii="宋体" w:hAnsi="宋体" w:cs="宋体"/>
          <w:color w:val="000000"/>
          <w:sz w:val="24"/>
          <w:szCs w:val="24"/>
        </w:rPr>
        <w:t>市医疗保障局下属业务经办机构、各定点护理/评估机构的系统培训、系统上线后针对经办部门、各定点护理/评估机构的业务</w:t>
      </w:r>
      <w:r>
        <w:rPr>
          <w:rFonts w:ascii="宋体" w:hAnsi="宋体" w:cs="宋体"/>
          <w:color w:val="000000"/>
          <w:sz w:val="24"/>
          <w:szCs w:val="24"/>
        </w:rPr>
        <w:t>管理</w:t>
      </w:r>
      <w:r>
        <w:rPr>
          <w:rFonts w:hint="default" w:ascii="宋体" w:hAnsi="宋体" w:cs="宋体"/>
          <w:color w:val="000000"/>
          <w:sz w:val="24"/>
          <w:szCs w:val="24"/>
        </w:rPr>
        <w:t>运营</w:t>
      </w:r>
      <w:r>
        <w:rPr>
          <w:rFonts w:ascii="宋体" w:hAnsi="宋体" w:cs="宋体"/>
          <w:color w:val="000000"/>
          <w:sz w:val="24"/>
          <w:szCs w:val="24"/>
        </w:rPr>
        <w:t>、</w:t>
      </w:r>
      <w:r>
        <w:rPr>
          <w:rFonts w:hint="default" w:ascii="宋体" w:hAnsi="宋体" w:cs="宋体"/>
          <w:color w:val="000000"/>
          <w:sz w:val="24"/>
          <w:szCs w:val="24"/>
        </w:rPr>
        <w:t>数据处理</w:t>
      </w:r>
      <w:r>
        <w:rPr>
          <w:rFonts w:ascii="宋体" w:hAnsi="宋体" w:cs="宋体"/>
          <w:color w:val="000000"/>
          <w:sz w:val="24"/>
          <w:szCs w:val="24"/>
        </w:rPr>
        <w:t>运营服务以及其他业务运营服务</w:t>
      </w:r>
      <w:r>
        <w:rPr>
          <w:rFonts w:hint="default" w:ascii="宋体" w:hAnsi="宋体" w:cs="宋体"/>
          <w:color w:val="000000"/>
          <w:sz w:val="24"/>
          <w:szCs w:val="24"/>
        </w:rPr>
        <w:t>等。</w:t>
      </w:r>
    </w:p>
    <w:p>
      <w:pPr>
        <w:numPr>
          <w:ilvl w:val="0"/>
          <w:numId w:val="6"/>
        </w:numPr>
        <w:spacing w:line="560" w:lineRule="exact"/>
        <w:ind w:firstLine="480" w:firstLineChars="200"/>
        <w:rPr>
          <w:rFonts w:ascii="宋体" w:hAnsi="宋体" w:cs="宋体"/>
          <w:color w:val="000000"/>
          <w:sz w:val="24"/>
          <w:szCs w:val="24"/>
        </w:rPr>
      </w:pPr>
      <w:r>
        <w:rPr>
          <w:rFonts w:ascii="宋体" w:hAnsi="宋体" w:cs="宋体"/>
          <w:color w:val="000000"/>
          <w:sz w:val="24"/>
          <w:szCs w:val="24"/>
        </w:rPr>
        <w:t>业务管理运营服务</w:t>
      </w:r>
    </w:p>
    <w:p>
      <w:pPr>
        <w:spacing w:line="560" w:lineRule="exact"/>
        <w:ind w:firstLine="480" w:firstLineChars="200"/>
        <w:rPr>
          <w:rFonts w:hint="default" w:ascii="宋体" w:hAnsi="宋体" w:cs="宋体"/>
          <w:color w:val="000000"/>
          <w:sz w:val="24"/>
          <w:szCs w:val="24"/>
        </w:rPr>
      </w:pPr>
      <w:r>
        <w:rPr>
          <w:rFonts w:ascii="宋体" w:hAnsi="宋体" w:cs="宋体"/>
          <w:color w:val="000000"/>
          <w:sz w:val="24"/>
          <w:szCs w:val="24"/>
        </w:rPr>
        <w:t>业务管理运营服务主要是针对新政策适配服务开展的业务管理运营，包括</w:t>
      </w:r>
      <w:r>
        <w:rPr>
          <w:rFonts w:hint="eastAsia" w:ascii="宋体" w:hAnsi="宋体" w:cs="宋体"/>
          <w:color w:val="000000"/>
          <w:sz w:val="24"/>
          <w:szCs w:val="24"/>
          <w:lang w:eastAsia="zh-CN"/>
        </w:rPr>
        <w:t>长期护理保险</w:t>
      </w:r>
      <w:r>
        <w:rPr>
          <w:rFonts w:ascii="宋体" w:hAnsi="宋体" w:cs="宋体"/>
          <w:color w:val="000000"/>
          <w:sz w:val="24"/>
          <w:szCs w:val="24"/>
        </w:rPr>
        <w:t>政策分析、国家长护子系统本地测试验证服务、长护子系统国家下发两定协同端功能本地测试验证、业务技术支持、业务经办操作指引、系统问题处理分析等。</w:t>
      </w:r>
    </w:p>
    <w:p>
      <w:pPr>
        <w:numPr>
          <w:ilvl w:val="0"/>
          <w:numId w:val="6"/>
        </w:numPr>
        <w:spacing w:line="560" w:lineRule="exact"/>
        <w:ind w:firstLine="480" w:firstLineChars="200"/>
        <w:rPr>
          <w:rFonts w:ascii="宋体" w:hAnsi="宋体" w:cs="宋体"/>
          <w:color w:val="000000"/>
          <w:sz w:val="24"/>
          <w:szCs w:val="24"/>
        </w:rPr>
      </w:pPr>
      <w:r>
        <w:rPr>
          <w:rFonts w:ascii="宋体" w:hAnsi="宋体" w:cs="宋体"/>
          <w:color w:val="000000"/>
          <w:sz w:val="24"/>
          <w:szCs w:val="24"/>
        </w:rPr>
        <w:t>数据处理运营服务</w:t>
      </w:r>
    </w:p>
    <w:p>
      <w:pPr>
        <w:spacing w:line="560" w:lineRule="exact"/>
        <w:ind w:firstLine="480" w:firstLineChars="200"/>
        <w:rPr>
          <w:rFonts w:hint="default" w:ascii="宋体" w:hAnsi="宋体" w:cs="宋体"/>
          <w:color w:val="000000"/>
          <w:sz w:val="24"/>
          <w:szCs w:val="24"/>
        </w:rPr>
      </w:pPr>
      <w:r>
        <w:rPr>
          <w:rFonts w:ascii="宋体" w:hAnsi="宋体" w:cs="宋体"/>
          <w:color w:val="000000"/>
          <w:sz w:val="24"/>
          <w:szCs w:val="24"/>
        </w:rPr>
        <w:t>数据处理运营服务主要是围绕新政策适配实施服务中数据处理相关的运营服务工作，包括数据标准化建设、日常数据处理、与长护定点机构的数据交互处理、批量数据处理、临时报表统计等。</w:t>
      </w:r>
    </w:p>
    <w:p>
      <w:pPr>
        <w:numPr>
          <w:ilvl w:val="0"/>
          <w:numId w:val="6"/>
        </w:numPr>
        <w:spacing w:line="560" w:lineRule="exact"/>
        <w:ind w:firstLine="480" w:firstLineChars="200"/>
        <w:rPr>
          <w:rFonts w:hint="default" w:ascii="宋体" w:hAnsi="宋体" w:cs="宋体"/>
          <w:color w:val="000000"/>
          <w:sz w:val="24"/>
          <w:szCs w:val="24"/>
        </w:rPr>
      </w:pPr>
      <w:r>
        <w:rPr>
          <w:rFonts w:ascii="宋体" w:hAnsi="宋体" w:cs="宋体"/>
          <w:color w:val="000000"/>
          <w:sz w:val="24"/>
          <w:szCs w:val="24"/>
        </w:rPr>
        <w:t>其他业务运营服务</w:t>
      </w:r>
    </w:p>
    <w:p>
      <w:pPr>
        <w:ind w:firstLine="480"/>
        <w:rPr>
          <w:rFonts w:hint="eastAsia"/>
          <w:lang w:val="en-US" w:eastAsia="zh-CN"/>
        </w:rPr>
      </w:pPr>
      <w:r>
        <w:rPr>
          <w:rFonts w:ascii="宋体" w:hAnsi="宋体" w:cs="宋体"/>
          <w:color w:val="000000"/>
          <w:sz w:val="24"/>
          <w:szCs w:val="24"/>
        </w:rPr>
        <w:t>其他业务运营服务主要包括系统培训服务、客服坐席运营服务、投诉和应急保障运营服务等</w:t>
      </w:r>
      <w:r>
        <w:rPr>
          <w:rFonts w:hint="eastAsia"/>
          <w:lang w:val="en-US" w:eastAsia="zh-CN"/>
        </w:rPr>
        <w:t>。</w:t>
      </w:r>
    </w:p>
    <w:p>
      <w:pPr>
        <w:pStyle w:val="4"/>
      </w:pPr>
      <w:r>
        <w:rPr>
          <w:rFonts w:hint="eastAsia"/>
        </w:rPr>
        <w:t>技术要求</w:t>
      </w:r>
    </w:p>
    <w:p>
      <w:pPr>
        <w:ind w:firstLine="420" w:firstLineChars="200"/>
      </w:pPr>
      <w:r>
        <w:rPr>
          <w:rFonts w:hint="eastAsia"/>
        </w:rPr>
        <w:t>系统建设需严格遵循以下要求：</w:t>
      </w:r>
    </w:p>
    <w:p>
      <w:pPr>
        <w:numPr>
          <w:ilvl w:val="0"/>
          <w:numId w:val="7"/>
        </w:numPr>
        <w:rPr>
          <w:rFonts w:hint="eastAsia" w:ascii="Times New Roman" w:hAnsi="Times New Roman" w:eastAsia="宋体"/>
        </w:rPr>
      </w:pPr>
      <w:r>
        <w:rPr>
          <w:rFonts w:hint="eastAsia" w:ascii="Times New Roman" w:hAnsi="Times New Roman" w:eastAsia="宋体"/>
        </w:rPr>
        <w:t>系统整体采用J2EE体系结构，三层应用体系结构模式来构筑应用系统，将用户界面、业务逻辑与数据逻辑分离，提高软件的可重用性、安全性和可移植性；</w:t>
      </w:r>
    </w:p>
    <w:p>
      <w:pPr>
        <w:numPr>
          <w:ilvl w:val="0"/>
          <w:numId w:val="7"/>
        </w:numPr>
        <w:rPr>
          <w:rFonts w:hint="eastAsia" w:ascii="Times New Roman" w:hAnsi="Times New Roman" w:eastAsia="宋体"/>
        </w:rPr>
      </w:pPr>
      <w:r>
        <w:rPr>
          <w:rFonts w:hint="eastAsia" w:ascii="Times New Roman" w:hAnsi="Times New Roman" w:eastAsia="宋体"/>
        </w:rPr>
        <w:t>采用面向服务的SOA技术，能够复用核心业务系统的业务组件，同时能够为周边业务系统提供标准服务接口；</w:t>
      </w:r>
    </w:p>
    <w:p>
      <w:pPr>
        <w:numPr>
          <w:ilvl w:val="0"/>
          <w:numId w:val="7"/>
        </w:numPr>
        <w:rPr>
          <w:rFonts w:hint="eastAsia" w:ascii="Times New Roman" w:hAnsi="Times New Roman" w:eastAsia="宋体"/>
          <w:highlight w:val="none"/>
        </w:rPr>
      </w:pPr>
      <w:r>
        <w:rPr>
          <w:rFonts w:hint="eastAsia" w:ascii="Times New Roman" w:hAnsi="Times New Roman" w:eastAsia="宋体"/>
          <w:highlight w:val="none"/>
        </w:rPr>
        <w:t>本项目</w:t>
      </w:r>
      <w:r>
        <w:rPr>
          <w:rFonts w:hint="eastAsia"/>
          <w:highlight w:val="none"/>
          <w:lang w:val="en-US" w:eastAsia="zh-CN"/>
        </w:rPr>
        <w:t>涉及</w:t>
      </w:r>
      <w:r>
        <w:rPr>
          <w:rFonts w:hint="eastAsia" w:ascii="Times New Roman" w:hAnsi="Times New Roman" w:eastAsia="宋体"/>
          <w:highlight w:val="none"/>
        </w:rPr>
        <w:t>省医疗保障信息平台</w:t>
      </w:r>
      <w:r>
        <w:rPr>
          <w:rFonts w:hint="eastAsia"/>
          <w:highlight w:val="none"/>
          <w:lang w:val="en-US" w:eastAsia="zh-CN"/>
        </w:rPr>
        <w:t>建设内容</w:t>
      </w:r>
      <w:r>
        <w:rPr>
          <w:rFonts w:hint="eastAsia" w:ascii="Times New Roman" w:hAnsi="Times New Roman" w:eastAsia="宋体"/>
          <w:highlight w:val="none"/>
        </w:rPr>
        <w:t>，需采用HSAF医疗保障应用框架技术</w:t>
      </w:r>
      <w:r>
        <w:rPr>
          <w:rFonts w:hint="eastAsia" w:ascii="Times New Roman" w:hAnsi="Times New Roman" w:eastAsia="宋体"/>
          <w:highlight w:val="none"/>
          <w:lang w:eastAsia="zh-CN"/>
        </w:rPr>
        <w:t>；</w:t>
      </w:r>
      <w:r>
        <w:rPr>
          <w:rFonts w:hint="eastAsia" w:ascii="Times New Roman" w:hAnsi="Times New Roman" w:eastAsia="宋体"/>
          <w:highlight w:val="none"/>
        </w:rPr>
        <w:t>需采用微服务架构</w:t>
      </w:r>
      <w:r>
        <w:rPr>
          <w:rFonts w:hint="eastAsia"/>
          <w:highlight w:val="none"/>
          <w:lang w:eastAsia="zh-CN"/>
        </w:rPr>
        <w:t>，</w:t>
      </w:r>
      <w:r>
        <w:rPr>
          <w:rFonts w:hint="eastAsia"/>
          <w:highlight w:val="none"/>
          <w:lang w:val="en-US" w:eastAsia="zh-CN"/>
        </w:rPr>
        <w:t>按照国家和省的技术规范进行建设</w:t>
      </w:r>
      <w:r>
        <w:rPr>
          <w:rFonts w:hint="eastAsia" w:ascii="Times New Roman" w:hAnsi="Times New Roman" w:eastAsia="宋体"/>
          <w:highlight w:val="none"/>
        </w:rPr>
        <w:t>；</w:t>
      </w:r>
    </w:p>
    <w:p>
      <w:pPr>
        <w:numPr>
          <w:ilvl w:val="0"/>
          <w:numId w:val="7"/>
        </w:numPr>
        <w:rPr>
          <w:rFonts w:hint="eastAsia" w:ascii="Times New Roman" w:hAnsi="Times New Roman" w:eastAsia="宋体"/>
          <w:highlight w:val="none"/>
        </w:rPr>
      </w:pPr>
      <w:r>
        <w:rPr>
          <w:rFonts w:hint="eastAsia" w:ascii="Times New Roman" w:hAnsi="Times New Roman" w:eastAsia="宋体"/>
          <w:highlight w:val="none"/>
        </w:rPr>
        <w:t>采用模块化、组件化及参数化等先进可行的分析和设计方法；</w:t>
      </w:r>
    </w:p>
    <w:p>
      <w:pPr>
        <w:pStyle w:val="4"/>
      </w:pPr>
      <w:r>
        <w:rPr>
          <w:rFonts w:hint="eastAsia"/>
        </w:rPr>
        <w:t>性能要求</w:t>
      </w:r>
    </w:p>
    <w:p>
      <w:pPr>
        <w:ind w:firstLine="420" w:firstLineChars="200"/>
        <w:rPr>
          <w:highlight w:val="none"/>
        </w:rPr>
      </w:pPr>
      <w:r>
        <w:rPr>
          <w:rFonts w:hint="eastAsia"/>
          <w:highlight w:val="none"/>
        </w:rPr>
        <w:t>本项目要求系统能够实现快速响应，同时应充分考虑业务的特殊性和复杂性，确保系统的总体性能满足要求，不发生长时间业务中断、阻塞、死锁等情况。并保证在今后一段时期内业务增长的情况下，系统需要具有较高的性能。</w:t>
      </w:r>
    </w:p>
    <w:p>
      <w:pPr>
        <w:pStyle w:val="4"/>
      </w:pPr>
      <w:r>
        <w:rPr>
          <w:rFonts w:hint="eastAsia"/>
        </w:rPr>
        <w:t>安全要求</w:t>
      </w:r>
    </w:p>
    <w:p>
      <w:pPr>
        <w:numPr>
          <w:ilvl w:val="0"/>
          <w:numId w:val="8"/>
        </w:numPr>
      </w:pPr>
      <w:r>
        <w:rPr>
          <w:rFonts w:hint="eastAsia"/>
        </w:rPr>
        <w:t>应用软件必须对每一位使用应用软件的操作人员，都要验证其身份和权限。</w:t>
      </w:r>
    </w:p>
    <w:p>
      <w:pPr>
        <w:numPr>
          <w:ilvl w:val="0"/>
          <w:numId w:val="8"/>
        </w:numPr>
      </w:pPr>
      <w:r>
        <w:rPr>
          <w:rFonts w:hint="eastAsia"/>
        </w:rPr>
        <w:t>应用软件对于启动任何一个有潜在风险的功能，</w:t>
      </w:r>
      <w:r>
        <w:rPr>
          <w:rFonts w:hint="eastAsia"/>
          <w:lang w:eastAsia="zh-CN"/>
        </w:rPr>
        <w:t>至少有两个或两个以上</w:t>
      </w:r>
      <w:r>
        <w:rPr>
          <w:rFonts w:hint="eastAsia"/>
        </w:rPr>
        <w:t>的确认动作，给业务经办人以纠正错误的机会，借以避免偶然的误操作造成不可恢复错误。</w:t>
      </w:r>
    </w:p>
    <w:p>
      <w:pPr>
        <w:pStyle w:val="4"/>
        <w:rPr>
          <w:rFonts w:hint="eastAsia" w:ascii="Times New Roman" w:hAnsi="Times New Roman" w:eastAsia="宋体"/>
          <w:lang w:val="en-US" w:eastAsia="zh-CN"/>
        </w:rPr>
      </w:pPr>
      <w:bookmarkStart w:id="1" w:name="_Toc361318027"/>
      <w:r>
        <w:rPr>
          <w:rFonts w:hint="eastAsia" w:ascii="Times New Roman" w:hAnsi="Times New Roman" w:eastAsia="宋体"/>
          <w:lang w:val="en-US" w:eastAsia="zh-CN"/>
        </w:rPr>
        <w:t>其他</w:t>
      </w:r>
    </w:p>
    <w:p>
      <w:pPr>
        <w:spacing w:before="156" w:beforeLines="50" w:after="156" w:afterLines="50"/>
        <w:ind w:firstLine="420" w:firstLineChars="200"/>
        <w:rPr>
          <w:rFonts w:hint="eastAsia" w:ascii="Times New Roman" w:hAnsi="Times New Roman" w:eastAsia="宋体"/>
          <w:color w:val="000000"/>
          <w:highlight w:val="none"/>
          <w:lang w:eastAsia="zh-CN"/>
        </w:rPr>
      </w:pPr>
      <w:r>
        <w:rPr>
          <w:rFonts w:hint="eastAsia" w:ascii="Times New Roman" w:hAnsi="Times New Roman" w:eastAsia="宋体"/>
          <w:color w:val="000000"/>
          <w:highlight w:val="none"/>
        </w:rPr>
        <w:t>由于本项目采购人需要</w:t>
      </w:r>
      <w:r>
        <w:rPr>
          <w:rFonts w:hint="eastAsia"/>
          <w:color w:val="000000"/>
          <w:highlight w:val="none"/>
          <w:lang w:val="en-US" w:eastAsia="zh-CN"/>
        </w:rPr>
        <w:t>在</w:t>
      </w:r>
      <w:r>
        <w:rPr>
          <w:rFonts w:hint="eastAsia" w:ascii="Times New Roman" w:hAnsi="Times New Roman" w:eastAsia="宋体"/>
          <w:color w:val="000000"/>
          <w:highlight w:val="none"/>
          <w:lang w:val="en-US" w:eastAsia="zh-CN"/>
        </w:rPr>
        <w:t>省医</w:t>
      </w:r>
      <w:r>
        <w:rPr>
          <w:rFonts w:hint="eastAsia"/>
          <w:color w:val="000000"/>
          <w:highlight w:val="none"/>
          <w:lang w:val="en-US" w:eastAsia="zh-CN"/>
        </w:rPr>
        <w:t>疗</w:t>
      </w:r>
      <w:r>
        <w:rPr>
          <w:rFonts w:hint="eastAsia" w:ascii="Times New Roman" w:hAnsi="Times New Roman" w:eastAsia="宋体"/>
          <w:color w:val="000000"/>
          <w:highlight w:val="none"/>
          <w:lang w:val="en-US" w:eastAsia="zh-CN"/>
        </w:rPr>
        <w:t>保</w:t>
      </w:r>
      <w:r>
        <w:rPr>
          <w:rFonts w:hint="eastAsia"/>
          <w:color w:val="000000"/>
          <w:highlight w:val="none"/>
          <w:lang w:val="en-US" w:eastAsia="zh-CN"/>
        </w:rPr>
        <w:t>障</w:t>
      </w:r>
      <w:r>
        <w:rPr>
          <w:rFonts w:hint="eastAsia" w:ascii="Times New Roman" w:hAnsi="Times New Roman" w:eastAsia="宋体"/>
          <w:color w:val="000000"/>
          <w:highlight w:val="none"/>
          <w:lang w:val="en-US" w:eastAsia="zh-CN"/>
        </w:rPr>
        <w:t>信息平台</w:t>
      </w:r>
      <w:r>
        <w:rPr>
          <w:rFonts w:hint="eastAsia"/>
          <w:color w:val="000000"/>
          <w:highlight w:val="none"/>
          <w:lang w:val="en-US" w:eastAsia="zh-CN"/>
        </w:rPr>
        <w:t>基础上进行功能开发改造</w:t>
      </w:r>
      <w:r>
        <w:rPr>
          <w:rFonts w:hint="eastAsia" w:ascii="Times New Roman" w:hAnsi="Times New Roman" w:eastAsia="宋体"/>
          <w:color w:val="000000"/>
          <w:highlight w:val="none"/>
        </w:rPr>
        <w:t>，为确保</w:t>
      </w:r>
      <w:r>
        <w:rPr>
          <w:rFonts w:hint="eastAsia" w:ascii="Times New Roman" w:hAnsi="Times New Roman" w:eastAsia="宋体"/>
          <w:color w:val="000000"/>
          <w:highlight w:val="none"/>
          <w:lang w:val="en-US" w:eastAsia="zh-CN"/>
        </w:rPr>
        <w:t>整个</w:t>
      </w:r>
      <w:r>
        <w:rPr>
          <w:rFonts w:hint="eastAsia"/>
          <w:color w:val="000000"/>
          <w:highlight w:val="none"/>
          <w:lang w:val="en-US" w:eastAsia="zh-CN"/>
        </w:rPr>
        <w:t>项目</w:t>
      </w:r>
      <w:r>
        <w:rPr>
          <w:rFonts w:hint="eastAsia" w:ascii="Times New Roman" w:hAnsi="Times New Roman" w:eastAsia="宋体"/>
          <w:color w:val="000000"/>
          <w:highlight w:val="none"/>
          <w:lang w:val="en-US" w:eastAsia="zh-CN"/>
        </w:rPr>
        <w:t>工作顺利开展</w:t>
      </w:r>
      <w:r>
        <w:rPr>
          <w:rFonts w:hint="eastAsia" w:ascii="Times New Roman" w:hAnsi="Times New Roman" w:eastAsia="宋体"/>
          <w:color w:val="000000"/>
          <w:highlight w:val="none"/>
        </w:rPr>
        <w:t>，投标人如需</w:t>
      </w:r>
      <w:r>
        <w:rPr>
          <w:rFonts w:hint="eastAsia" w:ascii="Times New Roman" w:hAnsi="Times New Roman" w:eastAsia="宋体"/>
          <w:color w:val="000000"/>
          <w:highlight w:val="none"/>
          <w:lang w:val="en-US" w:eastAsia="zh-CN"/>
        </w:rPr>
        <w:t>省医</w:t>
      </w:r>
      <w:r>
        <w:rPr>
          <w:rFonts w:hint="eastAsia"/>
          <w:color w:val="000000"/>
          <w:highlight w:val="none"/>
          <w:lang w:val="en-US" w:eastAsia="zh-CN"/>
        </w:rPr>
        <w:t>疗</w:t>
      </w:r>
      <w:r>
        <w:rPr>
          <w:rFonts w:hint="eastAsia" w:ascii="Times New Roman" w:hAnsi="Times New Roman" w:eastAsia="宋体"/>
          <w:color w:val="000000"/>
          <w:highlight w:val="none"/>
          <w:lang w:val="en-US" w:eastAsia="zh-CN"/>
        </w:rPr>
        <w:t>保</w:t>
      </w:r>
      <w:r>
        <w:rPr>
          <w:rFonts w:hint="eastAsia"/>
          <w:color w:val="000000"/>
          <w:highlight w:val="none"/>
          <w:lang w:val="en-US" w:eastAsia="zh-CN"/>
        </w:rPr>
        <w:t>障</w:t>
      </w:r>
      <w:r>
        <w:rPr>
          <w:rFonts w:hint="eastAsia" w:ascii="Times New Roman" w:hAnsi="Times New Roman" w:eastAsia="宋体"/>
          <w:color w:val="000000"/>
          <w:highlight w:val="none"/>
          <w:lang w:val="en-US" w:eastAsia="zh-CN"/>
        </w:rPr>
        <w:t>信息平台项目组</w:t>
      </w:r>
      <w:r>
        <w:rPr>
          <w:rFonts w:hint="eastAsia" w:ascii="Times New Roman" w:hAnsi="Times New Roman" w:eastAsia="宋体"/>
          <w:color w:val="000000"/>
          <w:highlight w:val="none"/>
        </w:rPr>
        <w:t>提供</w:t>
      </w:r>
      <w:r>
        <w:rPr>
          <w:rFonts w:hint="eastAsia"/>
          <w:color w:val="000000"/>
          <w:highlight w:val="none"/>
          <w:lang w:val="en-US" w:eastAsia="zh-CN"/>
        </w:rPr>
        <w:t>支持</w:t>
      </w:r>
      <w:r>
        <w:rPr>
          <w:rFonts w:hint="eastAsia" w:ascii="Times New Roman" w:hAnsi="Times New Roman" w:eastAsia="宋体"/>
          <w:color w:val="000000"/>
          <w:highlight w:val="none"/>
        </w:rPr>
        <w:t>的，由投标人自行与现有</w:t>
      </w:r>
      <w:r>
        <w:rPr>
          <w:rFonts w:hint="eastAsia" w:ascii="Times New Roman" w:hAnsi="Times New Roman" w:eastAsia="宋体"/>
          <w:color w:val="000000"/>
          <w:highlight w:val="none"/>
          <w:lang w:val="en-US" w:eastAsia="zh-CN"/>
        </w:rPr>
        <w:t>省医</w:t>
      </w:r>
      <w:r>
        <w:rPr>
          <w:rFonts w:hint="eastAsia"/>
          <w:color w:val="000000"/>
          <w:highlight w:val="none"/>
          <w:lang w:val="en-US" w:eastAsia="zh-CN"/>
        </w:rPr>
        <w:t>疗</w:t>
      </w:r>
      <w:r>
        <w:rPr>
          <w:rFonts w:hint="eastAsia" w:ascii="Times New Roman" w:hAnsi="Times New Roman" w:eastAsia="宋体"/>
          <w:color w:val="000000"/>
          <w:highlight w:val="none"/>
          <w:lang w:val="en-US" w:eastAsia="zh-CN"/>
        </w:rPr>
        <w:t>保</w:t>
      </w:r>
      <w:r>
        <w:rPr>
          <w:rFonts w:hint="eastAsia"/>
          <w:color w:val="000000"/>
          <w:highlight w:val="none"/>
          <w:lang w:val="en-US" w:eastAsia="zh-CN"/>
        </w:rPr>
        <w:t>障</w:t>
      </w:r>
      <w:r>
        <w:rPr>
          <w:rFonts w:hint="eastAsia" w:ascii="Times New Roman" w:hAnsi="Times New Roman" w:eastAsia="宋体"/>
          <w:color w:val="000000"/>
          <w:highlight w:val="none"/>
          <w:lang w:val="en-US" w:eastAsia="zh-CN"/>
        </w:rPr>
        <w:t>信息平台项目组</w:t>
      </w:r>
      <w:r>
        <w:rPr>
          <w:rFonts w:hint="eastAsia" w:ascii="Times New Roman" w:hAnsi="Times New Roman" w:eastAsia="宋体"/>
          <w:color w:val="000000"/>
          <w:highlight w:val="none"/>
        </w:rPr>
        <w:t>协商并承担配合费用，采购人不再另行支付费用</w:t>
      </w:r>
      <w:r>
        <w:rPr>
          <w:rFonts w:hint="eastAsia" w:ascii="Times New Roman" w:hAnsi="Times New Roman" w:eastAsia="宋体"/>
          <w:color w:val="000000"/>
          <w:highlight w:val="none"/>
          <w:lang w:eastAsia="zh-CN"/>
        </w:rPr>
        <w:t>。</w:t>
      </w:r>
    </w:p>
    <w:p>
      <w:pPr>
        <w:pStyle w:val="3"/>
        <w:bidi w:val="0"/>
        <w:rPr>
          <w:rFonts w:hint="default"/>
          <w:lang w:val="en-US" w:eastAsia="zh-CN"/>
        </w:rPr>
      </w:pPr>
      <w:r>
        <w:rPr>
          <w:rFonts w:hint="eastAsia"/>
          <w:lang w:val="en-US" w:eastAsia="zh-CN"/>
        </w:rPr>
        <w:t>项目实施要求</w:t>
      </w:r>
    </w:p>
    <w:p>
      <w:pPr>
        <w:pStyle w:val="4"/>
        <w:rPr>
          <w:rFonts w:hint="default" w:eastAsia="宋体"/>
          <w:sz w:val="30"/>
          <w:szCs w:val="30"/>
          <w:lang w:val="en-US" w:eastAsia="zh-CN"/>
        </w:rPr>
      </w:pPr>
      <w:bookmarkStart w:id="2" w:name="_Toc8725"/>
      <w:r>
        <w:rPr>
          <w:rFonts w:hint="default" w:eastAsia="宋体"/>
          <w:sz w:val="30"/>
          <w:szCs w:val="30"/>
          <w:lang w:val="en-US" w:eastAsia="zh-CN"/>
        </w:rPr>
        <w:t>项目组织管理要求</w:t>
      </w:r>
      <w:bookmarkEnd w:id="2"/>
    </w:p>
    <w:p>
      <w:pPr>
        <w:ind w:firstLine="420" w:firstLineChars="200"/>
        <w:rPr>
          <w:rFonts w:hint="default" w:eastAsia="宋体"/>
          <w:highlight w:val="none"/>
          <w:lang w:val="en-US" w:eastAsia="zh-CN"/>
        </w:rPr>
      </w:pPr>
      <w:r>
        <w:rPr>
          <w:rFonts w:hint="default" w:eastAsia="宋体"/>
          <w:highlight w:val="none"/>
          <w:lang w:val="en-US" w:eastAsia="zh-CN"/>
        </w:rPr>
        <w:t>1、投标人应充分考虑满足投标项目的建设要求，提出完整的项目组织管理方案，包括项目组织架构、人力资源管理等，并阐述项目建设中业主方的职责。</w:t>
      </w:r>
    </w:p>
    <w:p>
      <w:pPr>
        <w:ind w:firstLine="420" w:firstLineChars="200"/>
        <w:rPr>
          <w:rFonts w:hint="default" w:eastAsia="宋体"/>
          <w:highlight w:val="none"/>
          <w:lang w:val="en-US" w:eastAsia="zh-CN"/>
        </w:rPr>
      </w:pPr>
      <w:r>
        <w:rPr>
          <w:rFonts w:hint="eastAsia" w:eastAsia="宋体"/>
          <w:highlight w:val="none"/>
          <w:lang w:val="en-US" w:eastAsia="zh-CN"/>
        </w:rPr>
        <w:t>2</w:t>
      </w:r>
      <w:r>
        <w:rPr>
          <w:rFonts w:hint="default" w:eastAsia="宋体"/>
          <w:highlight w:val="none"/>
          <w:lang w:val="en-US" w:eastAsia="zh-CN"/>
        </w:rPr>
        <w:t>、项目核心人员的更替需要提出书面申请，并征得</w:t>
      </w:r>
      <w:r>
        <w:rPr>
          <w:rFonts w:hint="eastAsia" w:eastAsia="宋体"/>
          <w:highlight w:val="none"/>
          <w:lang w:val="en-US" w:eastAsia="zh-CN"/>
        </w:rPr>
        <w:t>业主方</w:t>
      </w:r>
      <w:r>
        <w:rPr>
          <w:rFonts w:hint="default" w:eastAsia="宋体"/>
          <w:highlight w:val="none"/>
          <w:lang w:val="en-US" w:eastAsia="zh-CN"/>
        </w:rPr>
        <w:t>同意后方可替换。</w:t>
      </w:r>
    </w:p>
    <w:p>
      <w:pPr>
        <w:pStyle w:val="4"/>
        <w:rPr>
          <w:rFonts w:hint="default" w:eastAsia="宋体"/>
          <w:sz w:val="30"/>
          <w:szCs w:val="30"/>
          <w:lang w:val="en-US" w:eastAsia="zh-CN"/>
        </w:rPr>
      </w:pPr>
      <w:r>
        <w:rPr>
          <w:rFonts w:hint="default" w:eastAsia="宋体"/>
          <w:sz w:val="30"/>
          <w:szCs w:val="30"/>
          <w:lang w:val="en-US" w:eastAsia="zh-CN"/>
        </w:rPr>
        <w:tab/>
      </w:r>
      <w:bookmarkStart w:id="3" w:name="_Toc12690"/>
      <w:r>
        <w:rPr>
          <w:rFonts w:hint="default" w:eastAsia="宋体"/>
          <w:sz w:val="30"/>
          <w:szCs w:val="30"/>
          <w:lang w:val="en-US" w:eastAsia="zh-CN"/>
        </w:rPr>
        <w:t>项目进度管理要求</w:t>
      </w:r>
      <w:bookmarkEnd w:id="3"/>
    </w:p>
    <w:p>
      <w:pPr>
        <w:ind w:firstLine="420" w:firstLineChars="200"/>
        <w:rPr>
          <w:rFonts w:hint="default" w:eastAsia="宋体"/>
          <w:highlight w:val="none"/>
          <w:lang w:val="en-US" w:eastAsia="zh-CN"/>
        </w:rPr>
      </w:pPr>
      <w:r>
        <w:rPr>
          <w:rFonts w:hint="eastAsia" w:eastAsia="宋体"/>
          <w:highlight w:val="none"/>
          <w:lang w:val="en-US" w:eastAsia="zh-CN"/>
        </w:rPr>
        <w:t>1、</w:t>
      </w:r>
      <w:r>
        <w:rPr>
          <w:rFonts w:hint="default" w:eastAsia="宋体"/>
          <w:highlight w:val="none"/>
          <w:lang w:val="en-US" w:eastAsia="zh-CN"/>
        </w:rPr>
        <w:t>投标人需要根据项目工期要求，提出项目实施进度计划，列出详细的工程进度安排表，并提出相应的保障措施。</w:t>
      </w:r>
    </w:p>
    <w:p>
      <w:pPr>
        <w:ind w:firstLine="420" w:firstLineChars="200"/>
        <w:rPr>
          <w:rFonts w:hint="default" w:eastAsia="宋体"/>
          <w:highlight w:val="none"/>
          <w:lang w:val="en-US" w:eastAsia="zh-CN"/>
        </w:rPr>
      </w:pPr>
      <w:r>
        <w:rPr>
          <w:rFonts w:hint="default" w:eastAsia="宋体"/>
          <w:highlight w:val="none"/>
          <w:lang w:val="en-US" w:eastAsia="zh-CN"/>
        </w:rPr>
        <w:t>2、中标人在项目实施过程中需要分别按周、月提交进度报告，对项目问题及进度延迟原因进行说明，制定合理的解决措施并有效执行。</w:t>
      </w:r>
    </w:p>
    <w:p>
      <w:pPr>
        <w:pStyle w:val="4"/>
        <w:bidi w:val="0"/>
        <w:rPr>
          <w:rFonts w:hint="default"/>
          <w:lang w:val="en-US" w:eastAsia="zh-CN"/>
        </w:rPr>
      </w:pPr>
      <w:bookmarkStart w:id="4" w:name="_Toc23404"/>
      <w:r>
        <w:rPr>
          <w:rFonts w:hint="default"/>
          <w:lang w:val="en-US" w:eastAsia="zh-CN"/>
        </w:rPr>
        <w:t>项目质量管理要求</w:t>
      </w:r>
      <w:bookmarkEnd w:id="4"/>
    </w:p>
    <w:p>
      <w:pPr>
        <w:ind w:firstLine="420" w:firstLineChars="200"/>
        <w:rPr>
          <w:rFonts w:hint="eastAsia" w:eastAsia="宋体"/>
          <w:highlight w:val="none"/>
          <w:lang w:val="en-US" w:eastAsia="zh-CN"/>
        </w:rPr>
      </w:pPr>
      <w:r>
        <w:rPr>
          <w:rFonts w:hint="eastAsia" w:eastAsia="宋体"/>
          <w:highlight w:val="none"/>
          <w:lang w:val="en-US" w:eastAsia="zh-CN"/>
        </w:rPr>
        <w:t>1、投标人应按ISO9001质量管理体系规范要求，针对招标项目实施过程及交付结果进行质量规划、管理、控制。</w:t>
      </w:r>
    </w:p>
    <w:p>
      <w:pPr>
        <w:ind w:firstLine="420" w:firstLineChars="200"/>
        <w:rPr>
          <w:rFonts w:hint="eastAsia" w:eastAsia="宋体"/>
          <w:highlight w:val="none"/>
          <w:lang w:val="en-US" w:eastAsia="zh-CN"/>
        </w:rPr>
      </w:pPr>
      <w:r>
        <w:rPr>
          <w:rFonts w:hint="eastAsia" w:eastAsia="宋体"/>
          <w:highlight w:val="none"/>
          <w:lang w:val="en-US" w:eastAsia="zh-CN"/>
        </w:rPr>
        <w:t>2、符合国家标准有关软件开发技术规范、软件文档管理和软件验收标准的要求。</w:t>
      </w:r>
    </w:p>
    <w:p>
      <w:pPr>
        <w:ind w:firstLine="420" w:firstLineChars="200"/>
        <w:rPr>
          <w:rFonts w:hint="eastAsia" w:eastAsia="宋体"/>
          <w:highlight w:val="none"/>
          <w:lang w:val="en-US" w:eastAsia="zh-CN"/>
        </w:rPr>
      </w:pPr>
      <w:r>
        <w:rPr>
          <w:rFonts w:hint="eastAsia" w:eastAsia="宋体"/>
          <w:highlight w:val="none"/>
          <w:lang w:val="en-US" w:eastAsia="zh-CN"/>
        </w:rPr>
        <w:t>3、投标人应提供详细的质量保证、质量控制措施，明确质量保证、控制内容与活动。</w:t>
      </w:r>
    </w:p>
    <w:p>
      <w:pPr>
        <w:ind w:firstLine="420" w:firstLineChars="200"/>
        <w:rPr>
          <w:rFonts w:hint="eastAsia" w:eastAsia="宋体"/>
          <w:highlight w:val="none"/>
          <w:lang w:val="en-US" w:eastAsia="zh-CN"/>
        </w:rPr>
      </w:pPr>
      <w:r>
        <w:rPr>
          <w:rFonts w:hint="eastAsia" w:eastAsia="宋体"/>
          <w:highlight w:val="none"/>
          <w:lang w:val="en-US" w:eastAsia="zh-CN"/>
        </w:rPr>
        <w:t>4、投标人一旦中标，需要接受业主方的质量监督检查，提供真实有效的相关质量活动记录、证据，无条件接受业主方提出的质量问题整改要求，承担因质量问题导致的进度延迟责任。</w:t>
      </w:r>
    </w:p>
    <w:p>
      <w:pPr>
        <w:pStyle w:val="4"/>
        <w:bidi w:val="0"/>
        <w:rPr>
          <w:rFonts w:hint="default"/>
          <w:lang w:val="en-US" w:eastAsia="zh-CN"/>
        </w:rPr>
      </w:pPr>
      <w:r>
        <w:rPr>
          <w:rFonts w:hint="eastAsia"/>
          <w:lang w:val="en-US" w:eastAsia="zh-CN"/>
        </w:rPr>
        <w:t>项目风险管理要求</w:t>
      </w:r>
    </w:p>
    <w:p>
      <w:pPr>
        <w:ind w:firstLine="420" w:firstLineChars="200"/>
        <w:rPr>
          <w:rFonts w:hint="eastAsia" w:eastAsia="宋体"/>
          <w:highlight w:val="none"/>
          <w:lang w:val="en-US" w:eastAsia="zh-CN"/>
        </w:rPr>
      </w:pPr>
      <w:r>
        <w:rPr>
          <w:rFonts w:hint="eastAsia" w:eastAsia="宋体"/>
          <w:highlight w:val="none"/>
          <w:lang w:val="en-US" w:eastAsia="zh-CN"/>
        </w:rPr>
        <w:t>投标人应充分认识到项目风险管理的重要性，在投标文件中必须识别分析项目中的各类风险因素，并提出相应的对策。</w:t>
      </w:r>
    </w:p>
    <w:p>
      <w:pPr>
        <w:pStyle w:val="4"/>
        <w:bidi w:val="0"/>
        <w:rPr>
          <w:rFonts w:hint="default"/>
          <w:lang w:val="en-US" w:eastAsia="zh-CN"/>
        </w:rPr>
      </w:pPr>
      <w:r>
        <w:rPr>
          <w:rFonts w:hint="eastAsia"/>
          <w:lang w:val="en-US" w:eastAsia="zh-CN"/>
        </w:rPr>
        <w:t>项目测试要求</w:t>
      </w:r>
    </w:p>
    <w:p>
      <w:pPr>
        <w:ind w:firstLine="420" w:firstLineChars="200"/>
        <w:rPr>
          <w:rFonts w:hint="eastAsia" w:eastAsia="宋体"/>
          <w:highlight w:val="none"/>
          <w:lang w:val="en-US" w:eastAsia="zh-CN"/>
        </w:rPr>
      </w:pPr>
      <w:r>
        <w:rPr>
          <w:rFonts w:hint="eastAsia" w:eastAsia="宋体"/>
          <w:highlight w:val="none"/>
          <w:lang w:val="en-US" w:eastAsia="zh-CN"/>
        </w:rPr>
        <w:t>1、投标人必须提供详细测试方案，包括采用测试目的、测试方法与技术以及测试流程等，并能对测试问题进行有效处理。</w:t>
      </w:r>
    </w:p>
    <w:p>
      <w:pPr>
        <w:ind w:firstLine="420" w:firstLineChars="200"/>
        <w:rPr>
          <w:rFonts w:hint="eastAsia" w:eastAsia="宋体"/>
          <w:highlight w:val="none"/>
          <w:lang w:val="en-US" w:eastAsia="zh-CN"/>
        </w:rPr>
      </w:pPr>
      <w:r>
        <w:rPr>
          <w:rFonts w:hint="eastAsia" w:eastAsia="宋体"/>
          <w:highlight w:val="none"/>
          <w:lang w:val="en-US" w:eastAsia="zh-CN"/>
        </w:rPr>
        <w:t>2、在工程实施过程中，中标方应先拟出一个测试方案，具体到每一个测试步骤，与用户讨论通过后，方可按计划进行测试。</w:t>
      </w:r>
    </w:p>
    <w:p>
      <w:pPr>
        <w:pStyle w:val="4"/>
        <w:bidi w:val="0"/>
        <w:rPr>
          <w:rFonts w:hint="eastAsia"/>
          <w:lang w:val="en-US" w:eastAsia="zh-CN"/>
        </w:rPr>
      </w:pPr>
      <w:r>
        <w:rPr>
          <w:rFonts w:hint="eastAsia"/>
          <w:lang w:val="en-US" w:eastAsia="zh-CN"/>
        </w:rPr>
        <w:t>项目培训要求</w:t>
      </w:r>
    </w:p>
    <w:p>
      <w:pPr>
        <w:ind w:firstLine="420" w:firstLineChars="200"/>
        <w:rPr>
          <w:rFonts w:hint="eastAsia" w:eastAsia="宋体"/>
          <w:highlight w:val="none"/>
        </w:rPr>
      </w:pPr>
      <w:r>
        <w:rPr>
          <w:rFonts w:hint="eastAsia" w:eastAsia="宋体"/>
          <w:highlight w:val="none"/>
        </w:rPr>
        <w:t>培训目的：</w:t>
      </w:r>
      <w:r>
        <w:rPr>
          <w:rFonts w:hint="eastAsia" w:eastAsia="宋体"/>
          <w:highlight w:val="none"/>
          <w:lang w:eastAsia="zh-CN"/>
        </w:rPr>
        <w:t>中标人</w:t>
      </w:r>
      <w:r>
        <w:rPr>
          <w:rFonts w:hint="eastAsia" w:eastAsia="宋体"/>
          <w:highlight w:val="none"/>
        </w:rPr>
        <w:t>负责对</w:t>
      </w:r>
      <w:r>
        <w:rPr>
          <w:rFonts w:hint="eastAsia" w:eastAsia="宋体"/>
          <w:highlight w:val="none"/>
          <w:lang w:eastAsia="zh-CN"/>
        </w:rPr>
        <w:t>甲方</w:t>
      </w:r>
      <w:r>
        <w:rPr>
          <w:rFonts w:hint="eastAsia" w:eastAsia="宋体"/>
          <w:highlight w:val="none"/>
        </w:rPr>
        <w:t>进行全面的技术培训（培训费用包含在投标报价中），使</w:t>
      </w:r>
      <w:r>
        <w:rPr>
          <w:rFonts w:hint="eastAsia" w:eastAsia="宋体"/>
          <w:highlight w:val="none"/>
          <w:lang w:eastAsia="zh-CN"/>
        </w:rPr>
        <w:t>甲方</w:t>
      </w:r>
      <w:r>
        <w:rPr>
          <w:rFonts w:hint="eastAsia" w:eastAsia="宋体"/>
          <w:highlight w:val="none"/>
        </w:rPr>
        <w:t>达到能独立进行管理、维护和故障处理等工作，以便</w:t>
      </w:r>
      <w:r>
        <w:rPr>
          <w:rFonts w:hint="eastAsia" w:eastAsia="宋体"/>
          <w:highlight w:val="none"/>
          <w:lang w:eastAsia="zh-CN"/>
        </w:rPr>
        <w:t>甲方</w:t>
      </w:r>
      <w:r>
        <w:rPr>
          <w:rFonts w:hint="eastAsia" w:eastAsia="宋体"/>
          <w:highlight w:val="none"/>
        </w:rPr>
        <w:t>所使用的软件产品能够正常、安全地运行。</w:t>
      </w:r>
    </w:p>
    <w:p>
      <w:pPr>
        <w:ind w:firstLine="420" w:firstLineChars="200"/>
        <w:rPr>
          <w:rFonts w:hint="eastAsia" w:eastAsia="宋体"/>
          <w:highlight w:val="none"/>
        </w:rPr>
      </w:pPr>
      <w:r>
        <w:rPr>
          <w:rFonts w:hint="eastAsia" w:eastAsia="宋体"/>
          <w:highlight w:val="none"/>
        </w:rPr>
        <w:t>培训对象及资料：系统管理员和系统使用人员，由</w:t>
      </w:r>
      <w:r>
        <w:rPr>
          <w:rFonts w:hint="eastAsia" w:eastAsia="宋体"/>
          <w:highlight w:val="none"/>
          <w:lang w:eastAsia="zh-CN"/>
        </w:rPr>
        <w:t>中标人</w:t>
      </w:r>
      <w:r>
        <w:rPr>
          <w:rFonts w:hint="eastAsia" w:eastAsia="宋体"/>
          <w:highlight w:val="none"/>
        </w:rPr>
        <w:t>提供培训教材。</w:t>
      </w:r>
    </w:p>
    <w:p>
      <w:pPr>
        <w:ind w:firstLine="420" w:firstLineChars="200"/>
        <w:rPr>
          <w:rFonts w:hint="eastAsia" w:eastAsia="宋体"/>
          <w:highlight w:val="none"/>
        </w:rPr>
      </w:pPr>
      <w:r>
        <w:rPr>
          <w:rFonts w:hint="eastAsia" w:eastAsia="宋体"/>
          <w:highlight w:val="none"/>
        </w:rPr>
        <w:t>培训要求：</w:t>
      </w:r>
      <w:r>
        <w:rPr>
          <w:rFonts w:hint="eastAsia" w:eastAsia="宋体"/>
          <w:highlight w:val="none"/>
          <w:lang w:eastAsia="zh-CN"/>
        </w:rPr>
        <w:t>中标人</w:t>
      </w:r>
      <w:r>
        <w:rPr>
          <w:rFonts w:hint="eastAsia" w:eastAsia="宋体"/>
          <w:highlight w:val="none"/>
        </w:rPr>
        <w:t>除了对业务经办人员的专项培训以外，应对</w:t>
      </w:r>
      <w:r>
        <w:rPr>
          <w:rFonts w:hint="eastAsia" w:eastAsia="宋体"/>
          <w:highlight w:val="none"/>
          <w:lang w:eastAsia="zh-CN"/>
        </w:rPr>
        <w:t>甲方</w:t>
      </w:r>
      <w:r>
        <w:rPr>
          <w:rFonts w:hint="eastAsia" w:eastAsia="宋体"/>
          <w:highlight w:val="none"/>
        </w:rPr>
        <w:t>的系统维护人员进行系统维护培训。</w:t>
      </w:r>
    </w:p>
    <w:p>
      <w:pPr>
        <w:ind w:firstLine="420" w:firstLineChars="200"/>
        <w:rPr>
          <w:rFonts w:hint="eastAsia" w:eastAsia="宋体"/>
          <w:highlight w:val="none"/>
        </w:rPr>
      </w:pPr>
      <w:r>
        <w:rPr>
          <w:rFonts w:hint="eastAsia" w:eastAsia="宋体"/>
          <w:highlight w:val="none"/>
        </w:rPr>
        <w:t>对于所有培训，</w:t>
      </w:r>
      <w:r>
        <w:rPr>
          <w:rFonts w:hint="eastAsia" w:eastAsia="宋体"/>
          <w:highlight w:val="none"/>
          <w:lang w:eastAsia="zh-CN"/>
        </w:rPr>
        <w:t>中标人</w:t>
      </w:r>
      <w:r>
        <w:rPr>
          <w:rFonts w:hint="eastAsia" w:eastAsia="宋体"/>
          <w:highlight w:val="none"/>
        </w:rPr>
        <w:t>必须派出具有相应专业资格和实际工作、教育经验的教师和相应的辅导人员进行培训，主要培训教员应至少具有三年的教学经验，培训所使用的语言必须是中文，否则</w:t>
      </w:r>
      <w:r>
        <w:rPr>
          <w:rFonts w:hint="eastAsia" w:eastAsia="宋体"/>
          <w:highlight w:val="none"/>
          <w:lang w:eastAsia="zh-CN"/>
        </w:rPr>
        <w:t>乙方</w:t>
      </w:r>
      <w:r>
        <w:rPr>
          <w:rFonts w:hint="eastAsia" w:eastAsia="宋体"/>
          <w:highlight w:val="none"/>
        </w:rPr>
        <w:t>必须提供相应的翻译。</w:t>
      </w:r>
    </w:p>
    <w:p>
      <w:pPr>
        <w:ind w:firstLine="420" w:firstLineChars="200"/>
        <w:rPr>
          <w:rFonts w:hint="eastAsia" w:eastAsia="宋体"/>
          <w:highlight w:val="none"/>
        </w:rPr>
      </w:pPr>
      <w:r>
        <w:rPr>
          <w:rFonts w:hint="eastAsia" w:eastAsia="宋体"/>
          <w:highlight w:val="none"/>
          <w:lang w:eastAsia="zh-CN"/>
        </w:rPr>
        <w:t>中标人</w:t>
      </w:r>
      <w:r>
        <w:rPr>
          <w:rFonts w:hint="eastAsia" w:eastAsia="宋体"/>
          <w:highlight w:val="none"/>
        </w:rPr>
        <w:t>应将所有培训费用（含培训教材费）及各项支出列入培训费用价格中，计入总价。</w:t>
      </w:r>
    </w:p>
    <w:p>
      <w:pPr>
        <w:ind w:firstLine="420" w:firstLineChars="200"/>
        <w:rPr>
          <w:rFonts w:hint="eastAsia" w:eastAsia="宋体"/>
          <w:highlight w:val="none"/>
        </w:rPr>
      </w:pPr>
      <w:r>
        <w:rPr>
          <w:rFonts w:hint="eastAsia" w:eastAsia="宋体"/>
          <w:highlight w:val="none"/>
        </w:rPr>
        <w:t>所有的培训资料必须是中文书写。</w:t>
      </w:r>
    </w:p>
    <w:p>
      <w:pPr>
        <w:pStyle w:val="4"/>
        <w:bidi w:val="0"/>
        <w:rPr>
          <w:rFonts w:hint="default"/>
          <w:lang w:val="en-US" w:eastAsia="zh-CN"/>
        </w:rPr>
      </w:pPr>
      <w:bookmarkStart w:id="5" w:name="_Toc7386"/>
      <w:r>
        <w:rPr>
          <w:rFonts w:hint="eastAsia"/>
          <w:lang w:val="en-US" w:eastAsia="zh-CN"/>
        </w:rPr>
        <w:t>项目验收要求</w:t>
      </w:r>
      <w:bookmarkEnd w:id="5"/>
    </w:p>
    <w:p>
      <w:pPr>
        <w:ind w:firstLine="420" w:firstLineChars="200"/>
        <w:rPr>
          <w:rFonts w:hint="eastAsia" w:eastAsia="宋体"/>
          <w:highlight w:val="none"/>
        </w:rPr>
      </w:pPr>
      <w:r>
        <w:rPr>
          <w:rFonts w:hint="eastAsia" w:eastAsia="宋体"/>
          <w:highlight w:val="none"/>
        </w:rPr>
        <w:t>3.7.1 验收节点与阶段</w:t>
      </w:r>
    </w:p>
    <w:p>
      <w:pPr>
        <w:ind w:firstLine="420" w:firstLineChars="200"/>
        <w:rPr>
          <w:rFonts w:hint="eastAsia" w:eastAsia="宋体"/>
          <w:highlight w:val="none"/>
        </w:rPr>
      </w:pPr>
      <w:r>
        <w:rPr>
          <w:rFonts w:hint="eastAsia" w:eastAsia="宋体"/>
          <w:highlight w:val="none"/>
        </w:rPr>
        <w:t>本项目验收分为两个阶段：</w:t>
      </w:r>
    </w:p>
    <w:p>
      <w:pPr>
        <w:ind w:firstLine="420" w:firstLineChars="200"/>
        <w:rPr>
          <w:rFonts w:hint="eastAsia" w:eastAsia="宋体"/>
          <w:highlight w:val="none"/>
        </w:rPr>
      </w:pPr>
      <w:r>
        <w:rPr>
          <w:rFonts w:hint="eastAsia"/>
          <w:highlight w:val="none"/>
          <w:lang w:eastAsia="zh-CN"/>
        </w:rPr>
        <w:t>部分验收</w:t>
      </w:r>
      <w:r>
        <w:rPr>
          <w:rFonts w:hint="eastAsia" w:eastAsia="宋体"/>
          <w:highlight w:val="none"/>
        </w:rPr>
        <w:t>：合同签订后3个月内完成长期护理保险本地政策适配并上线运行，经采购人确认系统上线稳定运行满</w:t>
      </w:r>
      <w:r>
        <w:rPr>
          <w:rFonts w:hint="eastAsia"/>
          <w:highlight w:val="none"/>
          <w:lang w:val="en-US" w:eastAsia="zh-CN"/>
        </w:rPr>
        <w:t>10</w:t>
      </w:r>
      <w:r>
        <w:rPr>
          <w:rFonts w:hint="eastAsia" w:eastAsia="宋体"/>
          <w:highlight w:val="none"/>
        </w:rPr>
        <w:t>个自然日后，由成交供应商提出</w:t>
      </w:r>
      <w:r>
        <w:rPr>
          <w:rFonts w:hint="eastAsia"/>
          <w:highlight w:val="none"/>
          <w:lang w:eastAsia="zh-CN"/>
        </w:rPr>
        <w:t>部分验收（初验）</w:t>
      </w:r>
      <w:r>
        <w:rPr>
          <w:rFonts w:hint="eastAsia" w:eastAsia="宋体"/>
          <w:highlight w:val="none"/>
        </w:rPr>
        <w:t>申请。</w:t>
      </w:r>
    </w:p>
    <w:p>
      <w:pPr>
        <w:ind w:firstLine="420" w:firstLineChars="200"/>
        <w:rPr>
          <w:rFonts w:hint="eastAsia" w:eastAsia="宋体"/>
          <w:highlight w:val="none"/>
        </w:rPr>
      </w:pPr>
      <w:r>
        <w:rPr>
          <w:rFonts w:hint="eastAsia" w:eastAsia="宋体"/>
          <w:highlight w:val="none"/>
        </w:rPr>
        <w:t>终验：所有服务内容履行完毕后，由成交供应商提出终验申请。</w:t>
      </w:r>
    </w:p>
    <w:p>
      <w:pPr>
        <w:ind w:firstLine="420" w:firstLineChars="200"/>
        <w:rPr>
          <w:rFonts w:hint="eastAsia" w:eastAsia="宋体"/>
          <w:highlight w:val="none"/>
        </w:rPr>
      </w:pPr>
      <w:r>
        <w:rPr>
          <w:rFonts w:hint="eastAsia" w:eastAsia="宋体"/>
          <w:highlight w:val="none"/>
        </w:rPr>
        <w:t>3.7.2 验收依据</w:t>
      </w:r>
    </w:p>
    <w:p>
      <w:pPr>
        <w:ind w:firstLine="420" w:firstLineChars="200"/>
        <w:rPr>
          <w:rFonts w:hint="eastAsia" w:eastAsia="宋体"/>
          <w:highlight w:val="none"/>
        </w:rPr>
      </w:pPr>
      <w:r>
        <w:rPr>
          <w:rFonts w:hint="eastAsia" w:eastAsia="宋体"/>
          <w:highlight w:val="none"/>
        </w:rPr>
        <w:t>验收以采购文件、成交供应商的响应文件、合同、国家及省医疗保障信息平台相关技术标准、业务规范以及项目实际业务需求为共同依据。</w:t>
      </w:r>
    </w:p>
    <w:p>
      <w:pPr>
        <w:pStyle w:val="4"/>
        <w:bidi w:val="0"/>
        <w:rPr>
          <w:rFonts w:hint="default" w:eastAsia="宋体"/>
          <w:lang w:val="en-US" w:eastAsia="zh-CN"/>
        </w:rPr>
      </w:pPr>
      <w:r>
        <w:rPr>
          <w:rFonts w:hint="eastAsia" w:eastAsia="宋体"/>
          <w:lang w:val="en-US" w:eastAsia="zh-CN"/>
        </w:rPr>
        <w:t>付款方式</w:t>
      </w:r>
      <w:r>
        <w:rPr>
          <w:rFonts w:hint="eastAsia"/>
          <w:sz w:val="21"/>
          <w:szCs w:val="24"/>
          <w:highlight w:val="none"/>
          <w:lang w:val="en-US" w:eastAsia="zh-CN"/>
        </w:rPr>
        <w:t>（</w:t>
      </w:r>
      <w:r>
        <w:rPr>
          <w:rFonts w:hint="eastAsia" w:eastAsia="宋体"/>
          <w:sz w:val="21"/>
          <w:szCs w:val="24"/>
          <w:highlight w:val="none"/>
          <w:lang w:val="en-US" w:eastAsia="zh-CN"/>
        </w:rPr>
        <w:t>具体以合同签订为准</w:t>
      </w:r>
      <w:r>
        <w:rPr>
          <w:rFonts w:hint="eastAsia"/>
          <w:sz w:val="21"/>
          <w:szCs w:val="24"/>
          <w:highlight w:val="none"/>
          <w:lang w:val="en-US" w:eastAsia="zh-CN"/>
        </w:rPr>
        <w:t>）</w:t>
      </w:r>
    </w:p>
    <w:p>
      <w:pPr>
        <w:ind w:firstLine="420" w:firstLineChars="200"/>
        <w:rPr>
          <w:rFonts w:hint="eastAsia" w:eastAsia="宋体"/>
          <w:highlight w:val="none"/>
          <w:lang w:val="en-US" w:eastAsia="zh-CN"/>
        </w:rPr>
      </w:pPr>
      <w:r>
        <w:rPr>
          <w:rFonts w:hint="eastAsia" w:eastAsia="宋体"/>
          <w:highlight w:val="none"/>
          <w:lang w:val="en-US" w:eastAsia="zh-CN"/>
        </w:rPr>
        <w:t>1期：支付比例30%，合同签订生效后，</w:t>
      </w:r>
      <w:r>
        <w:rPr>
          <w:rFonts w:hint="eastAsia"/>
          <w:highlight w:val="none"/>
          <w:lang w:val="en-US" w:eastAsia="zh-CN"/>
        </w:rPr>
        <w:t>采购人收到成交供应商开具符合</w:t>
      </w:r>
      <w:r>
        <w:rPr>
          <w:rFonts w:hint="eastAsia" w:eastAsia="宋体"/>
          <w:highlight w:val="none"/>
          <w:lang w:val="en-US" w:eastAsia="zh-CN"/>
        </w:rPr>
        <w:t>国家财务规定的发票</w:t>
      </w:r>
      <w:r>
        <w:rPr>
          <w:rFonts w:hint="eastAsia"/>
          <w:highlight w:val="none"/>
          <w:lang w:val="en-US" w:eastAsia="zh-CN"/>
        </w:rPr>
        <w:t>且收到财政拨付资金后的15个工作日内</w:t>
      </w:r>
      <w:r>
        <w:rPr>
          <w:rFonts w:hint="eastAsia" w:eastAsia="宋体"/>
          <w:highlight w:val="none"/>
          <w:lang w:val="en-US" w:eastAsia="zh-CN"/>
        </w:rPr>
        <w:t>，</w:t>
      </w:r>
      <w:r>
        <w:rPr>
          <w:rFonts w:hint="eastAsia"/>
          <w:highlight w:val="none"/>
          <w:lang w:val="en-US" w:eastAsia="zh-CN"/>
        </w:rPr>
        <w:t>将项目合同</w:t>
      </w:r>
      <w:r>
        <w:rPr>
          <w:rFonts w:hint="eastAsia" w:eastAsia="宋体"/>
          <w:highlight w:val="none"/>
          <w:lang w:val="en-US" w:eastAsia="zh-CN"/>
        </w:rPr>
        <w:t>总金额的30%</w:t>
      </w:r>
      <w:r>
        <w:rPr>
          <w:rFonts w:hint="eastAsia"/>
          <w:highlight w:val="none"/>
          <w:lang w:val="en-US" w:eastAsia="zh-CN"/>
        </w:rPr>
        <w:t>支付到成交供应商账户</w:t>
      </w:r>
      <w:r>
        <w:rPr>
          <w:rFonts w:hint="eastAsia" w:eastAsia="宋体"/>
          <w:highlight w:val="none"/>
          <w:lang w:val="en-US" w:eastAsia="zh-CN"/>
        </w:rPr>
        <w:t>。</w:t>
      </w:r>
    </w:p>
    <w:p>
      <w:pPr>
        <w:ind w:firstLine="420" w:firstLineChars="200"/>
        <w:rPr>
          <w:rFonts w:hint="eastAsia" w:eastAsia="宋体"/>
          <w:highlight w:val="none"/>
          <w:lang w:val="en-US" w:eastAsia="zh-CN"/>
        </w:rPr>
      </w:pPr>
      <w:r>
        <w:rPr>
          <w:rFonts w:hint="eastAsia" w:eastAsia="宋体"/>
          <w:highlight w:val="none"/>
          <w:lang w:val="en-US" w:eastAsia="zh-CN"/>
        </w:rPr>
        <w:t>2期：支付比例</w:t>
      </w:r>
      <w:r>
        <w:rPr>
          <w:rFonts w:hint="eastAsia"/>
          <w:highlight w:val="none"/>
          <w:lang w:val="en-US" w:eastAsia="zh-CN"/>
        </w:rPr>
        <w:t>50</w:t>
      </w:r>
      <w:r>
        <w:rPr>
          <w:rFonts w:hint="eastAsia" w:eastAsia="宋体"/>
          <w:highlight w:val="none"/>
          <w:lang w:val="en-US" w:eastAsia="zh-CN"/>
        </w:rPr>
        <w:t>%，项目上线并经采购人确认，成交供应商可向采购人提供符合国家财务规定的发票和申请付款手续。采购人</w:t>
      </w:r>
      <w:r>
        <w:rPr>
          <w:rFonts w:hint="eastAsia"/>
          <w:highlight w:val="none"/>
          <w:lang w:val="en-US" w:eastAsia="zh-CN"/>
        </w:rPr>
        <w:t>收到财政拨付资金后15</w:t>
      </w:r>
      <w:r>
        <w:rPr>
          <w:rFonts w:hint="eastAsia" w:eastAsia="宋体"/>
          <w:highlight w:val="none"/>
          <w:lang w:val="en-US" w:eastAsia="zh-CN"/>
        </w:rPr>
        <w:t>个工作日内</w:t>
      </w:r>
      <w:r>
        <w:rPr>
          <w:rFonts w:hint="eastAsia"/>
          <w:highlight w:val="none"/>
          <w:lang w:val="en-US" w:eastAsia="zh-CN"/>
        </w:rPr>
        <w:t>，视实际资金到位情况，</w:t>
      </w:r>
      <w:r>
        <w:rPr>
          <w:rFonts w:hint="eastAsia" w:eastAsia="宋体"/>
          <w:highlight w:val="none"/>
          <w:lang w:val="en-US" w:eastAsia="zh-CN"/>
        </w:rPr>
        <w:t>向成交供应商支付项目进度款</w:t>
      </w:r>
      <w:r>
        <w:rPr>
          <w:rFonts w:hint="eastAsia"/>
          <w:highlight w:val="none"/>
          <w:lang w:val="en-US" w:eastAsia="zh-CN"/>
        </w:rPr>
        <w:t>合同总金额的50</w:t>
      </w:r>
      <w:r>
        <w:rPr>
          <w:rFonts w:hint="eastAsia" w:eastAsia="宋体"/>
          <w:highlight w:val="none"/>
          <w:lang w:val="en-US" w:eastAsia="zh-CN"/>
        </w:rPr>
        <w:t>%</w:t>
      </w:r>
      <w:r>
        <w:rPr>
          <w:rFonts w:hint="eastAsia"/>
          <w:highlight w:val="none"/>
          <w:lang w:val="en-US" w:eastAsia="zh-CN"/>
        </w:rPr>
        <w:t>支付到</w:t>
      </w:r>
      <w:r>
        <w:rPr>
          <w:rFonts w:hint="eastAsia" w:eastAsia="宋体"/>
          <w:highlight w:val="none"/>
          <w:lang w:val="en-US" w:eastAsia="zh-CN"/>
        </w:rPr>
        <w:t>成交供应商</w:t>
      </w:r>
      <w:r>
        <w:rPr>
          <w:rFonts w:hint="eastAsia"/>
          <w:highlight w:val="none"/>
          <w:lang w:val="en-US" w:eastAsia="zh-CN"/>
        </w:rPr>
        <w:t>账户</w:t>
      </w:r>
      <w:r>
        <w:rPr>
          <w:rFonts w:hint="eastAsia" w:eastAsia="宋体"/>
          <w:highlight w:val="none"/>
          <w:lang w:val="en-US" w:eastAsia="zh-CN"/>
        </w:rPr>
        <w:t>。</w:t>
      </w:r>
    </w:p>
    <w:p>
      <w:pPr>
        <w:ind w:firstLine="420" w:firstLineChars="200"/>
        <w:rPr>
          <w:rFonts w:hint="eastAsia" w:eastAsia="宋体"/>
          <w:highlight w:val="none"/>
          <w:lang w:val="en-US" w:eastAsia="zh-CN"/>
        </w:rPr>
      </w:pPr>
      <w:r>
        <w:rPr>
          <w:rFonts w:hint="eastAsia" w:eastAsia="宋体"/>
          <w:highlight w:val="none"/>
          <w:lang w:val="en-US" w:eastAsia="zh-CN"/>
        </w:rPr>
        <w:t>3期：支付比例</w:t>
      </w:r>
      <w:r>
        <w:rPr>
          <w:rFonts w:hint="eastAsia"/>
          <w:highlight w:val="none"/>
          <w:lang w:val="en-US" w:eastAsia="zh-CN"/>
        </w:rPr>
        <w:t>20</w:t>
      </w:r>
      <w:r>
        <w:rPr>
          <w:rFonts w:hint="eastAsia" w:eastAsia="宋体"/>
          <w:highlight w:val="none"/>
          <w:lang w:val="en-US" w:eastAsia="zh-CN"/>
        </w:rPr>
        <w:t>%，项目终验合格并经采购人确认，</w:t>
      </w:r>
      <w:r>
        <w:rPr>
          <w:rFonts w:hint="eastAsia"/>
          <w:highlight w:val="none"/>
          <w:lang w:val="en-US" w:eastAsia="zh-CN"/>
        </w:rPr>
        <w:t>且</w:t>
      </w:r>
      <w:r>
        <w:rPr>
          <w:rFonts w:hint="eastAsia" w:eastAsia="宋体"/>
          <w:highlight w:val="none"/>
          <w:lang w:val="en-US" w:eastAsia="zh-CN"/>
        </w:rPr>
        <w:t>成交供应商向采购人提供符合国家财务规定的发票后，</w:t>
      </w:r>
      <w:r>
        <w:rPr>
          <w:rFonts w:hint="eastAsia"/>
          <w:highlight w:val="none"/>
          <w:lang w:val="en-US" w:eastAsia="zh-CN"/>
        </w:rPr>
        <w:t>采购人收到财政拨付资金后15个工作日内，将余下款项项目合同总金额的20%</w:t>
      </w:r>
      <w:r>
        <w:rPr>
          <w:rFonts w:hint="eastAsia" w:eastAsia="宋体"/>
          <w:highlight w:val="none"/>
          <w:lang w:val="en-US" w:eastAsia="zh-CN"/>
        </w:rPr>
        <w:t>支付</w:t>
      </w:r>
      <w:r>
        <w:rPr>
          <w:rFonts w:hint="eastAsia"/>
          <w:highlight w:val="none"/>
          <w:lang w:val="en-US" w:eastAsia="zh-CN"/>
        </w:rPr>
        <w:t>到</w:t>
      </w:r>
      <w:r>
        <w:rPr>
          <w:rFonts w:hint="eastAsia" w:eastAsia="宋体"/>
          <w:highlight w:val="none"/>
          <w:lang w:val="en-US" w:eastAsia="zh-CN"/>
        </w:rPr>
        <w:t>成交供应商</w:t>
      </w:r>
      <w:r>
        <w:rPr>
          <w:rFonts w:hint="eastAsia"/>
          <w:highlight w:val="none"/>
          <w:lang w:val="en-US" w:eastAsia="zh-CN"/>
        </w:rPr>
        <w:t>账户</w:t>
      </w:r>
      <w:r>
        <w:rPr>
          <w:rFonts w:hint="eastAsia" w:eastAsia="宋体"/>
          <w:highlight w:val="none"/>
          <w:lang w:val="en-US" w:eastAsia="zh-CN"/>
        </w:rPr>
        <w:t>。</w:t>
      </w:r>
    </w:p>
    <w:p>
      <w:pPr>
        <w:pStyle w:val="4"/>
        <w:keepNext/>
        <w:keepLines w:val="0"/>
        <w:pageBreakBefore/>
        <w:widowControl w:val="0"/>
        <w:shd w:val="clear"/>
        <w:kinsoku/>
        <w:wordWrap/>
        <w:overflowPunct/>
        <w:topLinePunct w:val="0"/>
        <w:autoSpaceDE/>
        <w:autoSpaceDN/>
        <w:bidi w:val="0"/>
        <w:adjustRightInd/>
        <w:snapToGrid/>
        <w:ind w:left="575" w:hanging="575"/>
        <w:jc w:val="center"/>
        <w:textAlignment w:val="auto"/>
        <w:rPr>
          <w:rFonts w:hint="default"/>
          <w:lang w:val="en-US" w:eastAsia="zh-CN"/>
        </w:rPr>
      </w:pPr>
      <w:r>
        <w:rPr>
          <w:rFonts w:hint="eastAsia"/>
          <w:lang w:val="en-US" w:eastAsia="zh-CN"/>
        </w:rPr>
        <w:t>技术评分表</w:t>
      </w:r>
    </w:p>
    <w:p>
      <w:pPr>
        <w:shd w:val="clear"/>
        <w:spacing w:line="360" w:lineRule="auto"/>
        <w:ind w:firstLine="420" w:firstLineChars="200"/>
        <w:rPr>
          <w:rFonts w:ascii="宋体" w:hAnsi="宋体" w:eastAsia="宋体" w:cs="宋体"/>
          <w:color w:val="auto"/>
        </w:rPr>
      </w:pPr>
      <w:r>
        <w:rPr>
          <w:rFonts w:hint="eastAsia" w:ascii="宋体" w:hAnsi="宋体" w:eastAsia="宋体" w:cs="宋体"/>
          <w:color w:val="auto"/>
        </w:rPr>
        <w:t>本次评标采用综合评分法，即对通过初审的各投标人的价格、技术、商务进行评审、比较，并量化打分，最后根据各项得分之和（其中价格评分占</w:t>
      </w:r>
      <w:r>
        <w:rPr>
          <w:rFonts w:hint="eastAsia" w:ascii="宋体" w:hAnsi="宋体" w:cs="宋体"/>
          <w:color w:val="auto"/>
          <w:lang w:val="en-US" w:eastAsia="zh-CN"/>
        </w:rPr>
        <w:t>1</w:t>
      </w:r>
      <w:r>
        <w:rPr>
          <w:rFonts w:ascii="宋体" w:hAnsi="宋体" w:eastAsia="宋体" w:cs="宋体"/>
          <w:color w:val="auto"/>
        </w:rPr>
        <w:t>0</w:t>
      </w:r>
      <w:r>
        <w:rPr>
          <w:rFonts w:hint="eastAsia" w:ascii="宋体" w:hAnsi="宋体" w:eastAsia="宋体" w:cs="宋体"/>
          <w:color w:val="auto"/>
        </w:rPr>
        <w:t>分，技术、商务评分占</w:t>
      </w:r>
      <w:r>
        <w:rPr>
          <w:rFonts w:hint="eastAsia" w:ascii="宋体" w:hAnsi="宋体" w:cs="宋体"/>
          <w:color w:val="auto"/>
          <w:lang w:val="en-US" w:eastAsia="zh-CN"/>
        </w:rPr>
        <w:t>9</w:t>
      </w:r>
      <w:r>
        <w:rPr>
          <w:rFonts w:ascii="宋体" w:hAnsi="宋体" w:eastAsia="宋体" w:cs="宋体"/>
          <w:color w:val="auto"/>
        </w:rPr>
        <w:t>0</w:t>
      </w:r>
      <w:r>
        <w:rPr>
          <w:rFonts w:hint="eastAsia" w:ascii="宋体" w:hAnsi="宋体" w:eastAsia="宋体" w:cs="宋体"/>
          <w:color w:val="auto"/>
        </w:rPr>
        <w:t>分）计算出通过初审投标人的综合评价得分。评标委员会将按各投标人综合评价得分由高到低的原则对所有通过初审的投标人进行排序，推荐排名最前的投标人为第一中标候选人。</w:t>
      </w:r>
    </w:p>
    <w:tbl>
      <w:tblPr>
        <w:tblStyle w:val="25"/>
        <w:tblW w:w="8877" w:type="dxa"/>
        <w:jc w:val="center"/>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3154"/>
        <w:gridCol w:w="3155"/>
        <w:gridCol w:w="2568"/>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trPr>
        <w:tc>
          <w:tcPr>
            <w:tcW w:w="3154" w:type="dxa"/>
            <w:tcBorders>
              <w:top w:val="single" w:color="auto" w:sz="6" w:space="0"/>
              <w:left w:val="single" w:color="auto" w:sz="6" w:space="0"/>
              <w:bottom w:val="single" w:color="auto" w:sz="6" w:space="0"/>
              <w:right w:val="single" w:color="auto" w:sz="6" w:space="0"/>
            </w:tcBorders>
            <w:vAlign w:val="center"/>
          </w:tcPr>
          <w:p>
            <w:pPr>
              <w:shd w:val="clear"/>
              <w:rPr>
                <w:rFonts w:ascii="宋体" w:hAnsi="宋体" w:eastAsia="宋体" w:cs="宋体"/>
                <w:color w:val="auto"/>
              </w:rPr>
            </w:pPr>
            <w:r>
              <w:rPr>
                <w:rFonts w:ascii="宋体" w:hAnsi="宋体" w:eastAsia="宋体" w:cs="宋体"/>
                <w:color w:val="auto"/>
              </w:rPr>
              <w:t>商务部分</w:t>
            </w:r>
          </w:p>
        </w:tc>
        <w:tc>
          <w:tcPr>
            <w:tcW w:w="3155" w:type="dxa"/>
            <w:tcBorders>
              <w:top w:val="single" w:color="auto" w:sz="6" w:space="0"/>
              <w:left w:val="single" w:color="auto" w:sz="6" w:space="0"/>
              <w:bottom w:val="single" w:color="auto" w:sz="6" w:space="0"/>
              <w:right w:val="single" w:color="auto" w:sz="6" w:space="0"/>
            </w:tcBorders>
            <w:vAlign w:val="center"/>
          </w:tcPr>
          <w:p>
            <w:pPr>
              <w:shd w:val="clear"/>
              <w:rPr>
                <w:rFonts w:ascii="宋体" w:hAnsi="宋体" w:eastAsia="宋体" w:cs="宋体"/>
                <w:color w:val="auto"/>
              </w:rPr>
            </w:pPr>
            <w:r>
              <w:rPr>
                <w:rFonts w:ascii="宋体" w:hAnsi="宋体" w:eastAsia="宋体" w:cs="宋体"/>
                <w:color w:val="auto"/>
              </w:rPr>
              <w:t>技术部分</w:t>
            </w:r>
          </w:p>
        </w:tc>
        <w:tc>
          <w:tcPr>
            <w:tcW w:w="2568" w:type="dxa"/>
            <w:tcBorders>
              <w:top w:val="single" w:color="auto" w:sz="6" w:space="0"/>
              <w:left w:val="single" w:color="auto" w:sz="6" w:space="0"/>
              <w:bottom w:val="single" w:color="auto" w:sz="6" w:space="0"/>
              <w:right w:val="single" w:color="auto" w:sz="6" w:space="0"/>
            </w:tcBorders>
            <w:vAlign w:val="center"/>
          </w:tcPr>
          <w:p>
            <w:pPr>
              <w:shd w:val="clear"/>
              <w:rPr>
                <w:rFonts w:ascii="宋体" w:hAnsi="宋体" w:eastAsia="宋体" w:cs="宋体"/>
                <w:color w:val="auto"/>
              </w:rPr>
            </w:pPr>
            <w:r>
              <w:rPr>
                <w:rFonts w:ascii="宋体" w:hAnsi="宋体" w:eastAsia="宋体" w:cs="宋体"/>
                <w:color w:val="auto"/>
              </w:rPr>
              <w:t>价格部分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trPr>
        <w:tc>
          <w:tcPr>
            <w:tcW w:w="3154" w:type="dxa"/>
            <w:tcBorders>
              <w:top w:val="single" w:color="auto" w:sz="6" w:space="0"/>
              <w:left w:val="single" w:color="auto" w:sz="6" w:space="0"/>
              <w:bottom w:val="single" w:color="auto" w:sz="6" w:space="0"/>
              <w:right w:val="single" w:color="auto" w:sz="6" w:space="0"/>
            </w:tcBorders>
            <w:vAlign w:val="center"/>
          </w:tcPr>
          <w:p>
            <w:pPr>
              <w:shd w:val="clear"/>
              <w:rPr>
                <w:rFonts w:ascii="宋体" w:hAnsi="宋体" w:eastAsia="宋体" w:cs="宋体"/>
                <w:color w:val="auto"/>
              </w:rPr>
            </w:pPr>
            <w:r>
              <w:rPr>
                <w:rFonts w:hint="eastAsia" w:ascii="宋体" w:hAnsi="宋体" w:cs="宋体"/>
                <w:color w:val="auto"/>
                <w:lang w:val="en-US" w:eastAsia="zh-CN"/>
              </w:rPr>
              <w:t>3</w:t>
            </w:r>
            <w:r>
              <w:rPr>
                <w:rFonts w:ascii="宋体" w:hAnsi="宋体" w:eastAsia="宋体" w:cs="宋体"/>
                <w:color w:val="auto"/>
              </w:rPr>
              <w:t>5.00%</w:t>
            </w:r>
          </w:p>
        </w:tc>
        <w:tc>
          <w:tcPr>
            <w:tcW w:w="3155" w:type="dxa"/>
            <w:tcBorders>
              <w:top w:val="single" w:color="auto" w:sz="6" w:space="0"/>
              <w:left w:val="single" w:color="auto" w:sz="6" w:space="0"/>
              <w:bottom w:val="single" w:color="auto" w:sz="6" w:space="0"/>
              <w:right w:val="single" w:color="auto" w:sz="6" w:space="0"/>
            </w:tcBorders>
            <w:vAlign w:val="center"/>
          </w:tcPr>
          <w:p>
            <w:pPr>
              <w:shd w:val="clear"/>
              <w:rPr>
                <w:rFonts w:ascii="宋体" w:hAnsi="宋体" w:eastAsia="宋体" w:cs="宋体"/>
                <w:color w:val="auto"/>
              </w:rPr>
            </w:pPr>
            <w:r>
              <w:rPr>
                <w:rFonts w:hint="eastAsia" w:ascii="宋体" w:hAnsi="宋体" w:cs="宋体"/>
                <w:color w:val="auto"/>
                <w:lang w:val="en-US" w:eastAsia="zh-CN"/>
              </w:rPr>
              <w:t>5</w:t>
            </w:r>
            <w:r>
              <w:rPr>
                <w:rFonts w:ascii="宋体" w:hAnsi="宋体" w:eastAsia="宋体" w:cs="宋体"/>
                <w:color w:val="auto"/>
              </w:rPr>
              <w:t>5.00%</w:t>
            </w:r>
          </w:p>
        </w:tc>
        <w:tc>
          <w:tcPr>
            <w:tcW w:w="2568" w:type="dxa"/>
            <w:tcBorders>
              <w:top w:val="single" w:color="auto" w:sz="6" w:space="0"/>
              <w:left w:val="single" w:color="auto" w:sz="6" w:space="0"/>
              <w:bottom w:val="single" w:color="auto" w:sz="6" w:space="0"/>
              <w:right w:val="single" w:color="auto" w:sz="6" w:space="0"/>
            </w:tcBorders>
            <w:vAlign w:val="center"/>
          </w:tcPr>
          <w:p>
            <w:pPr>
              <w:shd w:val="clear"/>
              <w:rPr>
                <w:rFonts w:ascii="宋体" w:hAnsi="宋体" w:eastAsia="宋体" w:cs="宋体"/>
                <w:color w:val="auto"/>
              </w:rPr>
            </w:pPr>
            <w:r>
              <w:rPr>
                <w:rFonts w:hint="eastAsia" w:ascii="宋体" w:hAnsi="宋体" w:cs="宋体"/>
                <w:color w:val="auto"/>
                <w:lang w:val="en-US" w:eastAsia="zh-CN"/>
              </w:rPr>
              <w:t>10</w:t>
            </w:r>
            <w:r>
              <w:rPr>
                <w:rFonts w:ascii="宋体" w:hAnsi="宋体" w:eastAsia="宋体" w:cs="宋体"/>
                <w:color w:val="auto"/>
              </w:rPr>
              <w:t>.00%</w:t>
            </w:r>
          </w:p>
        </w:tc>
      </w:tr>
    </w:tbl>
    <w:p>
      <w:pPr>
        <w:shd w:val="clear"/>
        <w:rPr>
          <w:rFonts w:ascii="宋体" w:hAnsi="宋体" w:eastAsia="宋体" w:cs="宋体"/>
          <w:color w:val="auto"/>
        </w:rPr>
      </w:pPr>
    </w:p>
    <w:p>
      <w:pPr>
        <w:pStyle w:val="2"/>
        <w:shd w:val="clear"/>
        <w:rPr>
          <w:rFonts w:hint="eastAsia"/>
          <w:color w:val="auto"/>
          <w:lang w:val="en-US" w:eastAsia="zh-CN"/>
        </w:rPr>
      </w:pPr>
      <w:r>
        <w:rPr>
          <w:color w:val="auto"/>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r>
        <w:rPr>
          <w:rFonts w:hint="eastAsia"/>
          <w:color w:val="auto"/>
          <w:lang w:val="en-US" w:eastAsia="zh-CN"/>
        </w:rPr>
        <w:t>详细评分表如下：</w:t>
      </w:r>
    </w:p>
    <w:p>
      <w:pPr>
        <w:pStyle w:val="2"/>
        <w:shd w:val="clear"/>
        <w:rPr>
          <w:rFonts w:hint="default"/>
          <w:color w:val="auto"/>
          <w:lang w:val="en-US" w:eastAsia="zh-CN"/>
        </w:rPr>
      </w:pPr>
    </w:p>
    <w:tbl>
      <w:tblPr>
        <w:tblStyle w:val="25"/>
        <w:tblW w:w="5383" w:type="pct"/>
        <w:tblInd w:w="-41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7"/>
        <w:gridCol w:w="995"/>
        <w:gridCol w:w="1232"/>
        <w:gridCol w:w="5413"/>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评审项</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评分内容</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评分标准</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分值（分）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6"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价格部分（10分）</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价格评定</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投标报价得分＝（评标基准价/投标报价）×价格分值【注：满足招标文件要求且投标价格最低的投标报价为评标基准价。】</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6"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w:t>
            </w:r>
          </w:p>
        </w:tc>
        <w:tc>
          <w:tcPr>
            <w:tcW w:w="541" w:type="pct"/>
            <w:vMerge w:val="restart"/>
            <w:tcBorders>
              <w:top w:val="single" w:color="000000" w:sz="4" w:space="0"/>
              <w:left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商务部分（35分）</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bidi="ar"/>
              </w:rPr>
              <w:t>企业认证证书</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top"/>
          </w:tcPr>
          <w:p>
            <w:pPr>
              <w:shd w:val="clear"/>
              <w:spacing w:line="288" w:lineRule="auto"/>
              <w:jc w:val="both"/>
              <w:rPr>
                <w:rFonts w:hint="eastAsia" w:ascii="宋体" w:hAnsi="宋体" w:eastAsia="宋体" w:cs="宋体"/>
                <w:color w:val="auto"/>
                <w:kern w:val="0"/>
                <w:sz w:val="21"/>
                <w:szCs w:val="21"/>
                <w:lang w:bidi="ar"/>
              </w:rPr>
            </w:pPr>
            <w:r>
              <w:rPr>
                <w:rFonts w:hint="eastAsia" w:ascii="宋体" w:hAnsi="宋体" w:eastAsia="宋体" w:cs="宋体"/>
                <w:kern w:val="0"/>
                <w:sz w:val="21"/>
                <w:szCs w:val="21"/>
                <w:lang w:val="en-US" w:eastAsia="zh-CN" w:bidi="ar"/>
              </w:rPr>
              <w:t>供应商</w:t>
            </w:r>
            <w:r>
              <w:rPr>
                <w:rFonts w:hint="eastAsia" w:ascii="宋体" w:hAnsi="宋体" w:eastAsia="宋体" w:cs="宋体"/>
                <w:kern w:val="0"/>
                <w:sz w:val="21"/>
                <w:szCs w:val="21"/>
                <w:lang w:bidi="ar"/>
              </w:rPr>
              <w:t>具有</w:t>
            </w:r>
            <w:r>
              <w:rPr>
                <w:rFonts w:hint="eastAsia" w:ascii="宋体" w:hAnsi="宋体" w:eastAsia="宋体" w:cs="宋体"/>
                <w:kern w:val="0"/>
                <w:sz w:val="21"/>
                <w:szCs w:val="21"/>
                <w:lang w:eastAsia="zh-CN" w:bidi="ar"/>
              </w:rPr>
              <w:t>国家认证认可监督管理委员会</w:t>
            </w:r>
            <w:r>
              <w:rPr>
                <w:rFonts w:hint="eastAsia" w:ascii="宋体" w:hAnsi="宋体" w:eastAsia="宋体" w:cs="宋体"/>
                <w:kern w:val="0"/>
                <w:sz w:val="21"/>
                <w:szCs w:val="21"/>
                <w:lang w:bidi="ar"/>
              </w:rPr>
              <w:t>批准设立的认证机构颁发的质量管理体系认证证书</w:t>
            </w:r>
            <w:r>
              <w:rPr>
                <w:rFonts w:hint="eastAsia" w:ascii="宋体" w:hAnsi="宋体" w:eastAsia="宋体" w:cs="宋体"/>
                <w:kern w:val="0"/>
                <w:sz w:val="21"/>
                <w:szCs w:val="21"/>
                <w:lang w:eastAsia="zh-CN" w:bidi="ar"/>
              </w:rPr>
              <w:t>，</w:t>
            </w:r>
            <w:r>
              <w:rPr>
                <w:rFonts w:hint="eastAsia" w:ascii="宋体" w:hAnsi="宋体" w:eastAsia="宋体" w:cs="宋体"/>
                <w:kern w:val="0"/>
                <w:sz w:val="21"/>
                <w:szCs w:val="21"/>
                <w:lang w:bidi="ar"/>
              </w:rPr>
              <w:t>得</w:t>
            </w:r>
            <w:r>
              <w:rPr>
                <w:rFonts w:hint="eastAsia" w:ascii="宋体" w:hAnsi="宋体" w:eastAsia="宋体" w:cs="宋体"/>
                <w:kern w:val="0"/>
                <w:sz w:val="21"/>
                <w:szCs w:val="21"/>
                <w:lang w:val="en-US" w:eastAsia="zh-CN" w:bidi="ar"/>
              </w:rPr>
              <w:t>2</w:t>
            </w:r>
            <w:r>
              <w:rPr>
                <w:rFonts w:hint="eastAsia" w:ascii="宋体" w:hAnsi="宋体" w:eastAsia="宋体" w:cs="宋体"/>
                <w:kern w:val="0"/>
                <w:sz w:val="21"/>
                <w:szCs w:val="21"/>
                <w:lang w:bidi="ar"/>
              </w:rPr>
              <w:t>分。 注：须提供以上有效期内的证书复印件并加盖公章，并同时提供以上证书在认监委网站（http://cx.cnca.cn/CertECloud/index/index/page）对该证书的信息查询截图作为评审依据，已失效或撤销的不得分。</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color w:val="auto"/>
                <w:kern w:val="0"/>
                <w:sz w:val="21"/>
                <w:szCs w:val="21"/>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6"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w:t>
            </w:r>
          </w:p>
        </w:tc>
        <w:tc>
          <w:tcPr>
            <w:tcW w:w="541" w:type="pct"/>
            <w:vMerge w:val="continue"/>
            <w:tcBorders>
              <w:left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bidi="ar"/>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val="en-US" w:eastAsia="zh-CN" w:bidi="ar"/>
              </w:rPr>
              <w:t>关键技术能力</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供应商具有与本项目需求相关的计算机软件著作权登记证书，每提供一项得1分，最高得</w:t>
            </w:r>
            <w:r>
              <w:rPr>
                <w:rFonts w:hint="eastAsia" w:ascii="宋体" w:hAnsi="宋体" w:cs="宋体"/>
                <w:color w:val="auto"/>
                <w:kern w:val="0"/>
                <w:sz w:val="21"/>
                <w:szCs w:val="21"/>
                <w:lang w:val="en-US" w:eastAsia="zh-CN" w:bidi="ar"/>
              </w:rPr>
              <w:t>5</w:t>
            </w:r>
            <w:r>
              <w:rPr>
                <w:rFonts w:hint="eastAsia" w:ascii="宋体" w:hAnsi="宋体" w:eastAsia="宋体" w:cs="宋体"/>
                <w:color w:val="auto"/>
                <w:kern w:val="0"/>
                <w:sz w:val="21"/>
                <w:szCs w:val="21"/>
                <w:lang w:val="en-US" w:eastAsia="zh-CN" w:bidi="ar"/>
              </w:rPr>
              <w:t>分.</w:t>
            </w:r>
          </w:p>
          <w:p>
            <w:pPr>
              <w:shd w:val="clear"/>
              <w:spacing w:line="288" w:lineRule="auto"/>
              <w:jc w:val="both"/>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注：须提供国家</w:t>
            </w:r>
            <w:r>
              <w:rPr>
                <w:rFonts w:hint="eastAsia" w:ascii="宋体" w:hAnsi="宋体" w:eastAsia="宋体" w:cs="宋体"/>
                <w:color w:val="auto"/>
                <w:kern w:val="0"/>
                <w:sz w:val="21"/>
                <w:szCs w:val="21"/>
                <w:lang w:val="en-US" w:eastAsia="zh-CN" w:bidi="ar"/>
              </w:rPr>
              <w:t>版权</w:t>
            </w:r>
            <w:r>
              <w:rPr>
                <w:rFonts w:hint="eastAsia" w:ascii="宋体" w:hAnsi="宋体" w:eastAsia="宋体" w:cs="宋体"/>
                <w:color w:val="auto"/>
                <w:kern w:val="0"/>
                <w:sz w:val="21"/>
                <w:szCs w:val="21"/>
                <w:lang w:bidi="ar"/>
              </w:rPr>
              <w:t>局颁发的带有</w:t>
            </w:r>
            <w:r>
              <w:rPr>
                <w:rFonts w:hint="eastAsia" w:ascii="宋体" w:hAnsi="宋体" w:eastAsia="宋体" w:cs="宋体"/>
                <w:color w:val="auto"/>
                <w:kern w:val="0"/>
                <w:sz w:val="21"/>
                <w:szCs w:val="21"/>
                <w:lang w:eastAsia="zh-CN" w:bidi="ar"/>
              </w:rPr>
              <w:t>供应商</w:t>
            </w:r>
            <w:r>
              <w:rPr>
                <w:rFonts w:hint="eastAsia" w:ascii="宋体" w:hAnsi="宋体" w:eastAsia="宋体" w:cs="宋体"/>
                <w:color w:val="auto"/>
                <w:kern w:val="0"/>
                <w:sz w:val="21"/>
                <w:szCs w:val="21"/>
                <w:lang w:bidi="ar"/>
              </w:rPr>
              <w:t>全称的上述计算机软件的知识产权证明文件或计算机软件的著作权证明文件复印件，不提供不得分。</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color w:val="auto"/>
                <w:kern w:val="0"/>
                <w:sz w:val="21"/>
                <w:szCs w:val="21"/>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6"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w:t>
            </w:r>
          </w:p>
        </w:tc>
        <w:tc>
          <w:tcPr>
            <w:tcW w:w="541" w:type="pct"/>
            <w:vMerge w:val="continue"/>
            <w:tcBorders>
              <w:left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bidi="ar"/>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 xml:space="preserve">项目负责人 </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top"/>
          </w:tcPr>
          <w:p>
            <w:pPr>
              <w:shd w:val="clear"/>
              <w:spacing w:line="288" w:lineRule="auto"/>
              <w:jc w:val="both"/>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项目负责人具备以下证书：  ①</w:t>
            </w:r>
            <w:r>
              <w:rPr>
                <w:rFonts w:hint="eastAsia" w:ascii="宋体" w:hAnsi="宋体" w:cs="宋体"/>
                <w:color w:val="auto"/>
                <w:kern w:val="0"/>
                <w:sz w:val="21"/>
                <w:szCs w:val="21"/>
                <w:lang w:eastAsia="zh-CN" w:bidi="ar"/>
              </w:rPr>
              <w:t>具备计算机相关专业本科及以上学历。</w:t>
            </w:r>
            <w:r>
              <w:rPr>
                <w:rFonts w:hint="eastAsia" w:ascii="宋体" w:hAnsi="宋体" w:eastAsia="宋体" w:cs="宋体"/>
                <w:color w:val="auto"/>
                <w:kern w:val="0"/>
                <w:sz w:val="21"/>
                <w:szCs w:val="21"/>
                <w:lang w:bidi="ar"/>
              </w:rPr>
              <w:t>，得2分；  ②具备中华人民共和国人力资源和社会保障部、工业和信息化部颁发的的信息系统项目管理</w:t>
            </w:r>
            <w:r>
              <w:rPr>
                <w:rFonts w:hint="eastAsia" w:ascii="宋体" w:hAnsi="宋体" w:cs="宋体"/>
                <w:color w:val="auto"/>
                <w:kern w:val="0"/>
                <w:sz w:val="21"/>
                <w:szCs w:val="21"/>
                <w:lang w:eastAsia="zh-CN" w:bidi="ar"/>
              </w:rPr>
              <w:t>工程</w:t>
            </w:r>
            <w:r>
              <w:rPr>
                <w:rFonts w:hint="eastAsia" w:ascii="宋体" w:hAnsi="宋体" w:eastAsia="宋体" w:cs="宋体"/>
                <w:color w:val="auto"/>
                <w:kern w:val="0"/>
                <w:sz w:val="21"/>
                <w:szCs w:val="21"/>
                <w:lang w:bidi="ar"/>
              </w:rPr>
              <w:t>师证书，得</w:t>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bidi="ar"/>
              </w:rPr>
              <w:t>分； ③</w:t>
            </w:r>
            <w:r>
              <w:rPr>
                <w:rFonts w:hint="eastAsia" w:ascii="宋体" w:hAnsi="宋体" w:eastAsia="宋体" w:cs="宋体"/>
                <w:kern w:val="0"/>
                <w:sz w:val="21"/>
                <w:szCs w:val="21"/>
                <w:lang w:val="en-US" w:eastAsia="zh-CN" w:bidi="ar"/>
              </w:rPr>
              <w:t>具有</w:t>
            </w:r>
            <w:r>
              <w:rPr>
                <w:rFonts w:hint="eastAsia" w:ascii="宋体" w:hAnsi="宋体" w:eastAsia="宋体" w:cs="宋体"/>
                <w:kern w:val="0"/>
                <w:sz w:val="21"/>
                <w:szCs w:val="21"/>
                <w:lang w:bidi="ar"/>
              </w:rPr>
              <w:t>医保信息化项目经理经验（《项目合同》或《项目验收报告》或项目建设单位出具的证明上明示为项目经理）的，得</w:t>
            </w:r>
            <w:r>
              <w:rPr>
                <w:rFonts w:hint="eastAsia" w:ascii="宋体" w:hAnsi="宋体" w:cs="宋体"/>
                <w:kern w:val="0"/>
                <w:sz w:val="21"/>
                <w:szCs w:val="21"/>
                <w:lang w:val="en-US" w:eastAsia="zh-CN" w:bidi="ar"/>
              </w:rPr>
              <w:t>3</w:t>
            </w:r>
            <w:r>
              <w:rPr>
                <w:rFonts w:hint="eastAsia" w:ascii="宋体" w:hAnsi="宋体" w:eastAsia="宋体" w:cs="宋体"/>
                <w:kern w:val="0"/>
                <w:sz w:val="21"/>
                <w:szCs w:val="21"/>
                <w:lang w:bidi="ar"/>
              </w:rPr>
              <w:t>分</w:t>
            </w:r>
            <w:r>
              <w:rPr>
                <w:rFonts w:hint="eastAsia" w:ascii="宋体" w:hAnsi="宋体" w:eastAsia="宋体" w:cs="宋体"/>
                <w:kern w:val="0"/>
                <w:sz w:val="21"/>
                <w:szCs w:val="21"/>
                <w:lang w:eastAsia="zh-CN" w:bidi="ar"/>
              </w:rPr>
              <w:t>。</w:t>
            </w:r>
            <w:r>
              <w:rPr>
                <w:rFonts w:hint="eastAsia" w:ascii="宋体" w:hAnsi="宋体" w:eastAsia="宋体" w:cs="宋体"/>
                <w:color w:val="auto"/>
                <w:kern w:val="0"/>
                <w:sz w:val="21"/>
                <w:szCs w:val="21"/>
                <w:lang w:bidi="ar"/>
              </w:rPr>
              <w:t>注：1、提供项目负责人的相关资格证书和毕业证书（学位证）复印件；2、提供项目负责人任职证明材料应符合以下两项之一：①本项目响应截止日之前3个月以内任意1个月的人员参保证明，须提供加盖社会保险基金管理中心印章的《投保单》或《社会保险参保人员证明》；②本项目响应截止日之前3个月以内任意1个月的单位代缴个人所得税证明，须提供加盖税务部门印章的单位代缴个人所得税税单复印件。</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color w:val="auto"/>
                <w:kern w:val="0"/>
                <w:sz w:val="21"/>
                <w:szCs w:val="21"/>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6"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w:t>
            </w:r>
          </w:p>
        </w:tc>
        <w:tc>
          <w:tcPr>
            <w:tcW w:w="541" w:type="pct"/>
            <w:vMerge w:val="continue"/>
            <w:tcBorders>
              <w:left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bidi="ar"/>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 xml:space="preserve">实施人员 </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top"/>
          </w:tcPr>
          <w:p>
            <w:pPr>
              <w:shd w:val="clear"/>
              <w:spacing w:line="288" w:lineRule="auto"/>
              <w:jc w:val="both"/>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供应商派驻本项目的实施人员（项目负责人除外）中具有：①软件设计师或数据恢复工程师或系统架构设计师资质的，</w:t>
            </w:r>
            <w:r>
              <w:rPr>
                <w:rFonts w:hint="eastAsia" w:ascii="宋体" w:hAnsi="宋体" w:eastAsia="宋体" w:cs="宋体"/>
                <w:color w:val="auto"/>
                <w:kern w:val="0"/>
                <w:sz w:val="21"/>
                <w:szCs w:val="21"/>
                <w:lang w:val="en-US" w:eastAsia="zh-CN" w:bidi="ar"/>
              </w:rPr>
              <w:t>1</w:t>
            </w:r>
            <w:r>
              <w:rPr>
                <w:rFonts w:hint="eastAsia" w:ascii="宋体" w:hAnsi="宋体" w:eastAsia="宋体" w:cs="宋体"/>
                <w:color w:val="auto"/>
                <w:kern w:val="0"/>
                <w:sz w:val="21"/>
                <w:szCs w:val="21"/>
                <w:lang w:bidi="ar"/>
              </w:rPr>
              <w:t>分/人，</w:t>
            </w:r>
            <w:r>
              <w:rPr>
                <w:rFonts w:hint="eastAsia" w:ascii="宋体" w:hAnsi="宋体" w:eastAsia="宋体" w:cs="宋体"/>
                <w:kern w:val="0"/>
                <w:sz w:val="21"/>
                <w:szCs w:val="21"/>
                <w:lang w:bidi="ar"/>
              </w:rPr>
              <w:t>本小项</w:t>
            </w:r>
            <w:r>
              <w:rPr>
                <w:rFonts w:hint="eastAsia" w:ascii="宋体" w:hAnsi="宋体" w:eastAsia="宋体" w:cs="宋体"/>
                <w:color w:val="auto"/>
                <w:kern w:val="0"/>
                <w:sz w:val="21"/>
                <w:szCs w:val="21"/>
                <w:lang w:bidi="ar"/>
              </w:rPr>
              <w:t>最高</w:t>
            </w:r>
            <w:r>
              <w:rPr>
                <w:rFonts w:hint="eastAsia" w:ascii="宋体" w:hAnsi="宋体" w:eastAsia="宋体" w:cs="宋体"/>
                <w:color w:val="auto"/>
                <w:kern w:val="0"/>
                <w:sz w:val="21"/>
                <w:szCs w:val="21"/>
                <w:lang w:val="en-US" w:eastAsia="zh-CN" w:bidi="ar"/>
              </w:rPr>
              <w:t>5</w:t>
            </w:r>
            <w:r>
              <w:rPr>
                <w:rFonts w:hint="eastAsia" w:ascii="宋体" w:hAnsi="宋体" w:eastAsia="宋体" w:cs="宋体"/>
                <w:color w:val="auto"/>
                <w:kern w:val="0"/>
                <w:sz w:val="21"/>
                <w:szCs w:val="21"/>
                <w:lang w:bidi="ar"/>
              </w:rPr>
              <w:t>分；</w:t>
            </w:r>
            <w:r>
              <w:rPr>
                <w:rFonts w:hint="default" w:ascii="Calibri" w:hAnsi="Calibri" w:eastAsia="宋体" w:cs="Calibri"/>
                <w:color w:val="auto"/>
                <w:kern w:val="0"/>
                <w:sz w:val="21"/>
                <w:szCs w:val="21"/>
                <w:lang w:bidi="ar"/>
              </w:rPr>
              <w:t>②</w:t>
            </w:r>
            <w:r>
              <w:rPr>
                <w:rFonts w:hint="eastAsia" w:ascii="宋体" w:hAnsi="宋体" w:eastAsia="宋体" w:cs="宋体"/>
                <w:kern w:val="0"/>
                <w:sz w:val="21"/>
                <w:szCs w:val="21"/>
                <w:lang w:bidi="ar"/>
              </w:rPr>
              <w:t>具体医保信息化（内容需含运营服务）项目经验（《项目合同》或《项目验收报告》或项目建设单位出具的证明上明示为项目成员），每一人得</w:t>
            </w:r>
            <w:r>
              <w:rPr>
                <w:rFonts w:hint="eastAsia" w:ascii="宋体" w:hAnsi="宋体" w:eastAsia="宋体" w:cs="宋体"/>
                <w:kern w:val="0"/>
                <w:sz w:val="21"/>
                <w:szCs w:val="21"/>
                <w:lang w:val="en-US" w:eastAsia="zh-CN" w:bidi="ar"/>
              </w:rPr>
              <w:t>1</w:t>
            </w:r>
            <w:r>
              <w:rPr>
                <w:rFonts w:hint="eastAsia" w:ascii="宋体" w:hAnsi="宋体" w:eastAsia="宋体" w:cs="宋体"/>
                <w:kern w:val="0"/>
                <w:sz w:val="21"/>
                <w:szCs w:val="21"/>
                <w:lang w:bidi="ar"/>
              </w:rPr>
              <w:t>分，本小项最高得</w:t>
            </w:r>
            <w:r>
              <w:rPr>
                <w:rFonts w:hint="eastAsia" w:ascii="宋体" w:hAnsi="宋体" w:eastAsia="宋体" w:cs="宋体"/>
                <w:kern w:val="0"/>
                <w:sz w:val="21"/>
                <w:szCs w:val="21"/>
                <w:lang w:val="en-US" w:eastAsia="zh-CN" w:bidi="ar"/>
              </w:rPr>
              <w:t>5</w:t>
            </w:r>
            <w:r>
              <w:rPr>
                <w:rFonts w:hint="eastAsia" w:ascii="宋体" w:hAnsi="宋体" w:eastAsia="宋体" w:cs="宋体"/>
                <w:kern w:val="0"/>
                <w:sz w:val="21"/>
                <w:szCs w:val="21"/>
                <w:lang w:bidi="ar"/>
              </w:rPr>
              <w:t>分。</w:t>
            </w:r>
            <w:r>
              <w:rPr>
                <w:rFonts w:hint="eastAsia" w:ascii="宋体" w:hAnsi="宋体" w:eastAsia="宋体" w:cs="宋体"/>
                <w:color w:val="auto"/>
                <w:kern w:val="0"/>
                <w:sz w:val="21"/>
                <w:szCs w:val="21"/>
                <w:lang w:bidi="ar"/>
              </w:rPr>
              <w:t>注：1、提供技术人员的技术资格证书或职称证书复印件；2、提供以上实施人员任职证明材料应符合以下两项之一：①本项目投标截止日之前3个月以内任意1个月的人员参保证明，须提供加盖社会保险基金管理中心印章的《投保单》或《社会保险参保人员证明》；②本项目投标截止日之前3个月以内任意1个月的单位代缴个人所得税证明，须提供加盖税务部门印章的单位代缴个人所得税税单复印件。一人多证只计一项。</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color w:val="auto"/>
                <w:kern w:val="0"/>
                <w:sz w:val="21"/>
                <w:szCs w:val="21"/>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6"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w:t>
            </w:r>
          </w:p>
        </w:tc>
        <w:tc>
          <w:tcPr>
            <w:tcW w:w="541" w:type="pct"/>
            <w:vMerge w:val="continue"/>
            <w:tcBorders>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bidi="ar"/>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 xml:space="preserve">同类项目业绩 </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top"/>
          </w:tcPr>
          <w:p>
            <w:pPr>
              <w:shd w:val="clear"/>
              <w:spacing w:line="288" w:lineRule="auto"/>
              <w:jc w:val="both"/>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供应商202</w:t>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bidi="ar"/>
              </w:rPr>
              <w:t>年1月1日至今独立承担的</w:t>
            </w:r>
            <w:r>
              <w:rPr>
                <w:rFonts w:hint="eastAsia" w:ascii="宋体" w:hAnsi="宋体" w:cs="宋体"/>
                <w:color w:val="auto"/>
                <w:kern w:val="0"/>
                <w:sz w:val="21"/>
                <w:szCs w:val="21"/>
                <w:lang w:val="en-US" w:eastAsia="zh-CN" w:bidi="ar"/>
              </w:rPr>
              <w:t>医保</w:t>
            </w:r>
            <w:r>
              <w:rPr>
                <w:rFonts w:hint="eastAsia" w:ascii="宋体" w:hAnsi="宋体" w:eastAsia="宋体" w:cs="宋体"/>
                <w:color w:val="auto"/>
                <w:kern w:val="0"/>
                <w:sz w:val="21"/>
                <w:szCs w:val="21"/>
                <w:lang w:bidi="ar"/>
              </w:rPr>
              <w:t>平台运营项目，提供1份同类业绩得</w:t>
            </w:r>
            <w:r>
              <w:rPr>
                <w:rFonts w:hint="eastAsia" w:ascii="宋体" w:hAnsi="宋体" w:cs="宋体"/>
                <w:color w:val="auto"/>
                <w:kern w:val="0"/>
                <w:sz w:val="21"/>
                <w:szCs w:val="21"/>
                <w:lang w:val="en-US" w:eastAsia="zh-CN" w:bidi="ar"/>
              </w:rPr>
              <w:t>2</w:t>
            </w:r>
            <w:r>
              <w:rPr>
                <w:rFonts w:hint="eastAsia" w:ascii="宋体" w:hAnsi="宋体" w:eastAsia="宋体" w:cs="宋体"/>
                <w:color w:val="auto"/>
                <w:kern w:val="0"/>
                <w:sz w:val="21"/>
                <w:szCs w:val="21"/>
                <w:lang w:bidi="ar"/>
              </w:rPr>
              <w:t>分，满分10分。 （注：供应商须提供合同复印件。）</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6"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7</w:t>
            </w:r>
          </w:p>
        </w:tc>
        <w:tc>
          <w:tcPr>
            <w:tcW w:w="541" w:type="pct"/>
            <w:vMerge w:val="restart"/>
            <w:tcBorders>
              <w:top w:val="single" w:color="000000" w:sz="4" w:space="0"/>
              <w:left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技术</w:t>
            </w:r>
            <w:r>
              <w:rPr>
                <w:rFonts w:hint="eastAsia" w:ascii="宋体" w:hAnsi="宋体" w:eastAsia="宋体" w:cs="宋体"/>
                <w:color w:val="auto"/>
                <w:kern w:val="0"/>
                <w:sz w:val="21"/>
                <w:szCs w:val="21"/>
                <w:lang w:val="en-US" w:eastAsia="zh-CN" w:bidi="ar"/>
              </w:rPr>
              <w:t>部分（55分）</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default" w:ascii="宋体" w:hAnsi="宋体" w:eastAsia="宋体" w:cs="宋体"/>
                <w:color w:val="auto"/>
                <w:kern w:val="0"/>
                <w:sz w:val="21"/>
                <w:szCs w:val="21"/>
                <w:lang w:val="en-US" w:bidi="ar"/>
              </w:rPr>
            </w:pPr>
            <w:r>
              <w:t>现状及需求</w:t>
            </w:r>
            <w:r>
              <w:rPr>
                <w:rFonts w:hint="eastAsia"/>
                <w:lang w:val="en-US" w:eastAsia="zh-CN"/>
              </w:rPr>
              <w:t>方案</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8" w:lineRule="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根据投标人</w:t>
            </w:r>
            <w:r>
              <w:t>现状及需求</w:t>
            </w:r>
            <w:r>
              <w:rPr>
                <w:rFonts w:hint="eastAsia"/>
                <w:lang w:val="en-US" w:eastAsia="zh-CN"/>
              </w:rPr>
              <w:t>分析内容</w:t>
            </w:r>
            <w:r>
              <w:rPr>
                <w:rFonts w:hint="eastAsia" w:ascii="宋体" w:hAnsi="宋体" w:eastAsia="宋体" w:cs="宋体"/>
                <w:color w:val="auto"/>
                <w:kern w:val="0"/>
                <w:sz w:val="21"/>
                <w:szCs w:val="21"/>
                <w:lang w:val="en-US" w:eastAsia="zh-CN" w:bidi="ar"/>
              </w:rPr>
              <w:t>进行评审，包括以下内容：①</w:t>
            </w:r>
            <w:r>
              <w:rPr>
                <w:rFonts w:hint="eastAsia" w:ascii="宋体" w:hAnsi="宋体" w:cs="宋体"/>
                <w:color w:val="auto"/>
                <w:kern w:val="0"/>
                <w:sz w:val="21"/>
                <w:szCs w:val="21"/>
                <w:lang w:val="en-US" w:eastAsia="zh-CN" w:bidi="ar"/>
              </w:rPr>
              <w:t>广东</w:t>
            </w:r>
            <w:r>
              <w:t>省医疗保障信息平台</w:t>
            </w:r>
            <w:r>
              <w:rPr>
                <w:rFonts w:hint="eastAsia"/>
                <w:lang w:val="en-US" w:eastAsia="zh-CN"/>
              </w:rPr>
              <w:t>总体建设架构</w:t>
            </w:r>
            <w:r>
              <w:rPr>
                <w:rFonts w:hint="eastAsia" w:ascii="宋体" w:hAnsi="宋体" w:cs="宋体"/>
                <w:color w:val="auto"/>
                <w:kern w:val="0"/>
                <w:sz w:val="21"/>
                <w:szCs w:val="21"/>
                <w:lang w:val="en-US" w:eastAsia="zh-CN" w:bidi="ar"/>
              </w:rPr>
              <w:t>的分析</w:t>
            </w:r>
            <w:r>
              <w:rPr>
                <w:rFonts w:hint="eastAsia" w:ascii="宋体" w:hAnsi="宋体" w:eastAsia="宋体" w:cs="宋体"/>
                <w:color w:val="auto"/>
                <w:kern w:val="0"/>
                <w:sz w:val="21"/>
                <w:szCs w:val="21"/>
                <w:lang w:val="en-US" w:eastAsia="zh-CN" w:bidi="ar"/>
              </w:rPr>
              <w:t>；②</w:t>
            </w:r>
            <w:r>
              <w:rPr>
                <w:rFonts w:hint="eastAsia" w:ascii="宋体" w:hAnsi="宋体" w:cs="宋体"/>
                <w:color w:val="auto"/>
                <w:kern w:val="0"/>
                <w:sz w:val="21"/>
                <w:szCs w:val="21"/>
                <w:lang w:val="en-US" w:eastAsia="zh-CN" w:bidi="ar"/>
              </w:rPr>
              <w:t>广东</w:t>
            </w:r>
            <w:r>
              <w:t>省医疗保障信息平台</w:t>
            </w:r>
            <w:r>
              <w:rPr>
                <w:rFonts w:hint="eastAsia" w:ascii="宋体" w:hAnsi="宋体" w:cs="宋体"/>
                <w:color w:val="auto"/>
                <w:kern w:val="0"/>
                <w:sz w:val="21"/>
                <w:szCs w:val="21"/>
                <w:lang w:val="en-US" w:eastAsia="zh-CN" w:bidi="ar"/>
              </w:rPr>
              <w:t>所含子系统的分析</w:t>
            </w:r>
            <w:r>
              <w:rPr>
                <w:rFonts w:hint="eastAsia" w:ascii="宋体" w:hAnsi="宋体" w:eastAsia="宋体" w:cs="宋体"/>
                <w:color w:val="auto"/>
                <w:kern w:val="0"/>
                <w:sz w:val="21"/>
                <w:szCs w:val="21"/>
                <w:lang w:val="en-US" w:eastAsia="zh-CN" w:bidi="ar"/>
              </w:rPr>
              <w:t>；③</w:t>
            </w:r>
            <w:bookmarkStart w:id="6" w:name="_Toc21311"/>
            <w:r>
              <w:rPr>
                <w:rFonts w:hint="eastAsia" w:ascii="宋体" w:hAnsi="宋体" w:cs="宋体"/>
                <w:color w:val="auto"/>
                <w:kern w:val="0"/>
                <w:sz w:val="21"/>
                <w:szCs w:val="21"/>
                <w:lang w:val="en-US" w:eastAsia="zh-CN" w:bidi="ar"/>
              </w:rPr>
              <w:t>医疗保障</w:t>
            </w:r>
            <w:r>
              <w:t>信息化现状</w:t>
            </w:r>
            <w:bookmarkEnd w:id="6"/>
            <w:r>
              <w:rPr>
                <w:rFonts w:hint="eastAsia" w:ascii="宋体" w:hAnsi="宋体" w:cs="宋体"/>
                <w:color w:val="auto"/>
                <w:kern w:val="0"/>
                <w:sz w:val="21"/>
                <w:szCs w:val="21"/>
                <w:lang w:val="en-US" w:eastAsia="zh-CN" w:bidi="ar"/>
              </w:rPr>
              <w:t>的分析</w:t>
            </w:r>
            <w:r>
              <w:rPr>
                <w:rFonts w:hint="eastAsia" w:ascii="宋体" w:hAnsi="宋体" w:eastAsia="宋体" w:cs="宋体"/>
                <w:color w:val="auto"/>
                <w:kern w:val="0"/>
                <w:sz w:val="21"/>
                <w:szCs w:val="21"/>
                <w:lang w:val="en-US" w:eastAsia="zh-CN" w:bidi="ar"/>
              </w:rPr>
              <w:t>；④</w:t>
            </w:r>
            <w:bookmarkStart w:id="7" w:name="_Toc83408199"/>
            <w:bookmarkStart w:id="8" w:name="_Toc23609"/>
            <w:bookmarkStart w:id="9" w:name="_Toc11503"/>
            <w:r>
              <w:rPr>
                <w:rFonts w:hint="eastAsia"/>
                <w:lang w:eastAsia="zh-CN"/>
              </w:rPr>
              <w:t>系统业务运营服务现状</w:t>
            </w:r>
            <w:bookmarkEnd w:id="7"/>
            <w:bookmarkEnd w:id="8"/>
            <w:bookmarkEnd w:id="9"/>
            <w:r>
              <w:rPr>
                <w:rFonts w:hint="eastAsia" w:ascii="宋体" w:hAnsi="宋体" w:cs="宋体"/>
                <w:color w:val="auto"/>
                <w:kern w:val="0"/>
                <w:sz w:val="21"/>
                <w:szCs w:val="21"/>
                <w:lang w:val="en-US" w:eastAsia="zh-CN" w:bidi="ar"/>
              </w:rPr>
              <w:t>的分析</w:t>
            </w:r>
            <w:r>
              <w:rPr>
                <w:rFonts w:hint="eastAsia" w:ascii="宋体" w:hAnsi="宋体" w:eastAsia="宋体" w:cs="宋体"/>
                <w:color w:val="auto"/>
                <w:kern w:val="0"/>
                <w:sz w:val="21"/>
                <w:szCs w:val="21"/>
                <w:lang w:val="en-US" w:eastAsia="zh-CN" w:bidi="ar"/>
              </w:rPr>
              <w:t>；⑤</w:t>
            </w:r>
            <w:bookmarkStart w:id="10" w:name="_Toc25297"/>
            <w:bookmarkStart w:id="11" w:name="_Toc83408198"/>
            <w:bookmarkStart w:id="12" w:name="_Toc24844"/>
            <w:bookmarkStart w:id="13" w:name="_Toc83408191"/>
            <w:bookmarkStart w:id="14" w:name="_Toc22959"/>
            <w:bookmarkStart w:id="15" w:name="_Toc6200"/>
            <w:r>
              <w:rPr>
                <w:rFonts w:hint="eastAsia"/>
                <w:lang w:eastAsia="zh-CN"/>
              </w:rPr>
              <w:t>运行维护管理现状</w:t>
            </w:r>
            <w:bookmarkEnd w:id="10"/>
            <w:bookmarkEnd w:id="11"/>
            <w:bookmarkEnd w:id="12"/>
            <w:r>
              <w:rPr>
                <w:rFonts w:hint="eastAsia"/>
                <w:lang w:val="en-US" w:eastAsia="zh-CN"/>
              </w:rPr>
              <w:t>分析；</w:t>
            </w:r>
            <w:r>
              <w:rPr>
                <w:rFonts w:hint="eastAsia" w:ascii="宋体" w:hAnsi="宋体" w:eastAsia="宋体" w:cs="宋体"/>
                <w:color w:val="auto"/>
                <w:kern w:val="0"/>
                <w:sz w:val="21"/>
                <w:szCs w:val="21"/>
                <w:lang w:val="en-US" w:eastAsia="zh-CN" w:bidi="ar"/>
              </w:rPr>
              <w:t>⑥</w:t>
            </w:r>
            <w:r>
              <w:rPr>
                <w:rFonts w:hint="eastAsia" w:ascii="宋体" w:hAnsi="宋体" w:cs="宋体"/>
                <w:color w:val="auto"/>
                <w:kern w:val="0"/>
                <w:sz w:val="21"/>
                <w:szCs w:val="21"/>
                <w:lang w:val="en-US" w:eastAsia="zh-CN" w:bidi="ar"/>
              </w:rPr>
              <w:t>系统使用人员</w:t>
            </w:r>
            <w:bookmarkEnd w:id="13"/>
            <w:r>
              <w:rPr>
                <w:rFonts w:hint="eastAsia"/>
                <w:lang w:val="en-US" w:eastAsia="zh-CN"/>
              </w:rPr>
              <w:t>分析</w:t>
            </w:r>
            <w:bookmarkEnd w:id="14"/>
            <w:bookmarkEnd w:id="15"/>
            <w:r>
              <w:rPr>
                <w:rFonts w:hint="eastAsia"/>
                <w:lang w:val="en-US" w:eastAsia="zh-CN"/>
              </w:rPr>
              <w:t>；</w:t>
            </w:r>
            <w:r>
              <w:rPr>
                <w:rFonts w:hint="eastAsia" w:ascii="宋体" w:hAnsi="宋体" w:eastAsia="宋体" w:cs="宋体"/>
                <w:color w:val="auto"/>
                <w:kern w:val="0"/>
                <w:sz w:val="21"/>
                <w:szCs w:val="21"/>
                <w:lang w:val="en-US" w:eastAsia="zh-CN" w:bidi="ar"/>
              </w:rPr>
              <w:t>⑦</w:t>
            </w:r>
            <w:r>
              <w:rPr>
                <w:rFonts w:hint="eastAsia" w:ascii="宋体" w:hAnsi="宋体" w:cs="宋体"/>
                <w:color w:val="auto"/>
                <w:kern w:val="0"/>
                <w:sz w:val="21"/>
                <w:szCs w:val="21"/>
                <w:lang w:val="en-US" w:eastAsia="zh-CN" w:bidi="ar"/>
              </w:rPr>
              <w:t>长护险业务需求分析；⑧项目建设意义和必要性分析</w:t>
            </w:r>
            <w:r>
              <w:rPr>
                <w:rFonts w:hint="eastAsia" w:ascii="宋体" w:hAnsi="宋体" w:eastAsia="宋体" w:cs="宋体"/>
                <w:color w:val="auto"/>
                <w:kern w:val="0"/>
                <w:sz w:val="21"/>
                <w:szCs w:val="21"/>
                <w:lang w:val="en-US" w:eastAsia="zh-CN" w:bidi="ar"/>
              </w:rPr>
              <w:t>。</w:t>
            </w:r>
          </w:p>
          <w:p>
            <w:pPr>
              <w:spacing w:line="288" w:lineRule="auto"/>
              <w:rPr>
                <w:rFonts w:hint="eastAsia" w:ascii="宋体" w:hAnsi="宋体" w:eastAsia="宋体" w:cs="宋体"/>
                <w:sz w:val="21"/>
                <w:szCs w:val="21"/>
                <w:lang w:val="en-US" w:eastAsia="zh-CN"/>
              </w:rPr>
            </w:pPr>
            <w:r>
              <w:rPr>
                <w:rFonts w:hint="eastAsia"/>
                <w:lang w:val="en-US" w:eastAsia="zh-CN"/>
              </w:rPr>
              <w:t>方案包含上述8项内容的，</w:t>
            </w:r>
            <w:r>
              <w:rPr>
                <w:rFonts w:hint="eastAsia" w:ascii="宋体" w:hAnsi="宋体" w:eastAsia="宋体" w:cs="宋体"/>
                <w:color w:val="auto"/>
                <w:kern w:val="0"/>
                <w:sz w:val="21"/>
                <w:szCs w:val="21"/>
                <w:lang w:val="en-US" w:eastAsia="zh-CN" w:bidi="ar"/>
              </w:rPr>
              <w:t>每提供一项得1分，最高得8分</w:t>
            </w:r>
            <w:r>
              <w:rPr>
                <w:rFonts w:hint="eastAsia"/>
                <w:lang w:val="en-US" w:eastAsia="zh-CN"/>
              </w:rPr>
              <w:t>。</w:t>
            </w:r>
            <w:r>
              <w:rPr>
                <w:rFonts w:hint="eastAsia" w:ascii="宋体" w:hAnsi="宋体" w:eastAsia="宋体" w:cs="宋体"/>
                <w:sz w:val="21"/>
                <w:szCs w:val="21"/>
                <w:lang w:val="en-US" w:eastAsia="zh-CN"/>
              </w:rPr>
              <w:t>本部分评分内容为客观分，评标委员会成员评分须一致</w:t>
            </w:r>
          </w:p>
          <w:p>
            <w:pPr>
              <w:pStyle w:val="2"/>
              <w:numPr>
                <w:ilvl w:val="0"/>
                <w:numId w:val="0"/>
              </w:numPr>
              <w:ind w:firstLine="0"/>
              <w:rPr>
                <w:rFonts w:hint="eastAsia"/>
                <w:highlight w:val="yellow"/>
                <w:lang w:val="en-US" w:eastAsia="zh-CN"/>
              </w:rPr>
            </w:pPr>
            <w:r>
              <w:rPr>
                <w:rFonts w:hint="eastAsia" w:ascii="宋体" w:hAnsi="宋体" w:cs="宋体"/>
                <w:color w:val="auto"/>
                <w:kern w:val="0"/>
                <w:sz w:val="21"/>
                <w:szCs w:val="21"/>
                <w:lang w:val="en-US" w:eastAsia="zh-CN" w:bidi="ar"/>
              </w:rPr>
              <w:t>2、</w:t>
            </w:r>
            <w:r>
              <w:rPr>
                <w:rFonts w:hint="eastAsia"/>
                <w:highlight w:val="yellow"/>
                <w:lang w:val="en-US" w:eastAsia="zh-CN"/>
              </w:rPr>
              <w:t>在上述基础上对方案的符合性进行评审(满分4分):</w:t>
            </w:r>
          </w:p>
          <w:p>
            <w:pPr>
              <w:pStyle w:val="2"/>
              <w:numPr>
                <w:ilvl w:val="0"/>
                <w:numId w:val="0"/>
              </w:numPr>
              <w:ind w:firstLine="0"/>
              <w:rPr>
                <w:rFonts w:hint="eastAsia"/>
                <w:highlight w:val="yellow"/>
                <w:lang w:val="en-US" w:eastAsia="zh-CN"/>
              </w:rPr>
            </w:pPr>
            <w:r>
              <w:rPr>
                <w:rFonts w:hint="eastAsia"/>
                <w:highlight w:val="yellow"/>
                <w:lang w:val="en-US" w:eastAsia="zh-CN"/>
              </w:rPr>
              <w:t>(1)方案制定详细全面，可操作性和规范性强</w:t>
            </w:r>
            <w:ins w:id="0" w:author="胡英文" w:date="2026-08-24T17:05:48Z">
              <w:r>
                <w:rPr>
                  <w:rFonts w:hint="eastAsia"/>
                  <w:highlight w:val="yellow"/>
                  <w:lang w:val="en-US" w:eastAsia="zh-CN"/>
                </w:rPr>
                <w:t>。</w:t>
              </w:r>
            </w:ins>
            <w:del w:id="1" w:author="胡英文" w:date="2026-08-24T17:05:43Z">
              <w:r>
                <w:rPr>
                  <w:rFonts w:hint="eastAsia"/>
                  <w:highlight w:val="yellow"/>
                  <w:lang w:val="en-US" w:eastAsia="zh-CN"/>
                </w:rPr>
                <w:delText>，完全满足且优于采购需求，</w:delText>
              </w:r>
            </w:del>
            <w:r>
              <w:rPr>
                <w:rFonts w:hint="eastAsia"/>
                <w:highlight w:val="yellow"/>
                <w:lang w:val="en-US" w:eastAsia="zh-CN"/>
              </w:rPr>
              <w:t>得4分;</w:t>
            </w:r>
          </w:p>
          <w:p>
            <w:pPr>
              <w:pStyle w:val="2"/>
              <w:numPr>
                <w:ilvl w:val="0"/>
                <w:numId w:val="0"/>
              </w:numPr>
              <w:ind w:firstLine="0"/>
              <w:rPr>
                <w:rFonts w:hint="eastAsia"/>
                <w:highlight w:val="yellow"/>
                <w:lang w:val="en-US" w:eastAsia="zh-CN"/>
              </w:rPr>
            </w:pPr>
            <w:r>
              <w:rPr>
                <w:rFonts w:hint="eastAsia"/>
                <w:highlight w:val="yellow"/>
                <w:lang w:val="en-US" w:eastAsia="zh-CN"/>
              </w:rPr>
              <w:t>(2)方案制定较详细，可操作性和规范性较强</w:t>
            </w:r>
            <w:ins w:id="2" w:author="胡英文" w:date="2026-08-24T17:05:54Z">
              <w:r>
                <w:rPr>
                  <w:rFonts w:hint="eastAsia"/>
                  <w:highlight w:val="yellow"/>
                  <w:lang w:val="en-US" w:eastAsia="zh-CN"/>
                </w:rPr>
                <w:t>。</w:t>
              </w:r>
            </w:ins>
            <w:del w:id="3" w:author="胡英文" w:date="2026-08-24T17:05:56Z">
              <w:r>
                <w:rPr>
                  <w:rFonts w:hint="eastAsia"/>
                  <w:highlight w:val="yellow"/>
                  <w:lang w:val="en-US" w:eastAsia="zh-CN"/>
                </w:rPr>
                <w:delText>，满足采购需求，</w:delText>
              </w:r>
            </w:del>
            <w:r>
              <w:rPr>
                <w:rFonts w:hint="eastAsia"/>
                <w:highlight w:val="yellow"/>
                <w:lang w:val="en-US" w:eastAsia="zh-CN"/>
              </w:rPr>
              <w:t>得3分;</w:t>
            </w:r>
          </w:p>
          <w:p>
            <w:pPr>
              <w:pStyle w:val="2"/>
              <w:numPr>
                <w:ilvl w:val="0"/>
                <w:numId w:val="0"/>
              </w:numPr>
              <w:ind w:firstLine="0"/>
              <w:rPr>
                <w:rFonts w:hint="eastAsia"/>
                <w:highlight w:val="yellow"/>
                <w:lang w:val="en-US" w:eastAsia="zh-CN"/>
              </w:rPr>
            </w:pPr>
            <w:r>
              <w:rPr>
                <w:rFonts w:hint="eastAsia"/>
                <w:highlight w:val="yellow"/>
                <w:lang w:val="en-US" w:eastAsia="zh-CN"/>
              </w:rPr>
              <w:t>(3)方案制定一般，可操作性和规范性一般</w:t>
            </w:r>
            <w:del w:id="4" w:author="胡英文" w:date="2026-08-24T17:07:43Z">
              <w:r>
                <w:rPr>
                  <w:rFonts w:hint="eastAsia"/>
                  <w:highlight w:val="yellow"/>
                  <w:lang w:val="en-US" w:eastAsia="zh-CN"/>
                </w:rPr>
                <w:delText>，部分满足采购需求，</w:delText>
              </w:r>
            </w:del>
            <w:ins w:id="5" w:author="胡英文" w:date="2026-08-24T17:07:43Z">
              <w:r>
                <w:rPr>
                  <w:rFonts w:hint="eastAsia"/>
                  <w:highlight w:val="yellow"/>
                  <w:lang w:val="en-US" w:eastAsia="zh-CN"/>
                </w:rPr>
                <w:t>。</w:t>
              </w:r>
            </w:ins>
            <w:r>
              <w:rPr>
                <w:rFonts w:hint="eastAsia"/>
                <w:highlight w:val="yellow"/>
                <w:lang w:val="en-US" w:eastAsia="zh-CN"/>
              </w:rPr>
              <w:t>得2分;</w:t>
            </w:r>
          </w:p>
          <w:p>
            <w:pPr>
              <w:shd w:val="clear"/>
              <w:spacing w:line="288" w:lineRule="auto"/>
              <w:jc w:val="left"/>
              <w:rPr>
                <w:rFonts w:hint="eastAsia" w:ascii="宋体" w:hAnsi="宋体" w:eastAsia="宋体" w:cs="宋体"/>
                <w:color w:val="auto"/>
                <w:kern w:val="0"/>
                <w:sz w:val="21"/>
                <w:szCs w:val="21"/>
                <w:lang w:bidi="ar"/>
              </w:rPr>
            </w:pPr>
            <w:r>
              <w:rPr>
                <w:rFonts w:hint="eastAsia"/>
                <w:highlight w:val="yellow"/>
                <w:lang w:val="en-US" w:eastAsia="zh-CN"/>
              </w:rPr>
              <w:t>(4)方案制定不详细，可操作性和规范性差</w:t>
            </w:r>
            <w:del w:id="6" w:author="胡英文" w:date="2026-08-24T17:07:48Z">
              <w:r>
                <w:rPr>
                  <w:rFonts w:hint="eastAsia"/>
                  <w:highlight w:val="yellow"/>
                  <w:lang w:val="en-US" w:eastAsia="zh-CN"/>
                </w:rPr>
                <w:delText>，无法满足采购需求，</w:delText>
              </w:r>
            </w:del>
            <w:ins w:id="7" w:author="胡英文" w:date="2026-08-24T17:07:48Z">
              <w:r>
                <w:rPr>
                  <w:rFonts w:hint="eastAsia"/>
                  <w:highlight w:val="yellow"/>
                  <w:lang w:val="en-US" w:eastAsia="zh-CN"/>
                </w:rPr>
                <w:t>。</w:t>
              </w:r>
            </w:ins>
            <w:r>
              <w:rPr>
                <w:rFonts w:hint="eastAsia"/>
                <w:highlight w:val="yellow"/>
                <w:lang w:val="en-US" w:eastAsia="zh-CN"/>
              </w:rPr>
              <w:t>得1分</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cs="宋体"/>
                <w:i w:val="0"/>
                <w:iCs w:val="0"/>
                <w:color w:val="auto"/>
                <w:kern w:val="0"/>
                <w:sz w:val="21"/>
                <w:szCs w:val="21"/>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2"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val="en-US" w:eastAsia="zh-CN" w:bidi="ar"/>
              </w:rPr>
              <w:t>8</w:t>
            </w:r>
          </w:p>
        </w:tc>
        <w:tc>
          <w:tcPr>
            <w:tcW w:w="541" w:type="pct"/>
            <w:vMerge w:val="continue"/>
            <w:tcBorders>
              <w:left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eastAsia" w:ascii="宋体" w:hAnsi="宋体" w:eastAsia="宋体" w:cs="宋体"/>
                <w:color w:val="auto"/>
                <w:kern w:val="0"/>
                <w:sz w:val="21"/>
                <w:szCs w:val="21"/>
                <w:lang w:val="en-US" w:eastAsia="zh-CN" w:bidi="ar"/>
              </w:rPr>
            </w:pPr>
            <w:bookmarkStart w:id="16" w:name="_Toc31370"/>
            <w:r>
              <w:t>系统运营服务方案</w:t>
            </w:r>
            <w:bookmarkEnd w:id="16"/>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spacing w:line="288" w:lineRule="auto"/>
              <w:ind w:firstLine="0"/>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根据投标人</w:t>
            </w:r>
            <w:r>
              <w:t>项目系统运营服务</w:t>
            </w:r>
            <w:r>
              <w:rPr>
                <w:rFonts w:hint="eastAsia"/>
                <w:lang w:val="en-US" w:eastAsia="zh-CN"/>
              </w:rPr>
              <w:t>方案</w:t>
            </w:r>
            <w:r>
              <w:rPr>
                <w:rFonts w:hint="eastAsia" w:ascii="宋体" w:hAnsi="宋体" w:eastAsia="宋体" w:cs="宋体"/>
                <w:color w:val="auto"/>
                <w:kern w:val="0"/>
                <w:sz w:val="21"/>
                <w:szCs w:val="21"/>
                <w:lang w:val="en-US" w:eastAsia="zh-CN" w:bidi="ar"/>
              </w:rPr>
              <w:t>进行进行评审，包括以下内容：①</w:t>
            </w:r>
            <w:r>
              <w:rPr>
                <w:rFonts w:hint="eastAsia"/>
              </w:rPr>
              <w:t>长期护理保险政策分析</w:t>
            </w:r>
            <w:r>
              <w:rPr>
                <w:rFonts w:hint="eastAsia"/>
                <w:lang w:eastAsia="zh-CN"/>
              </w:rPr>
              <w:t>；</w:t>
            </w:r>
            <w:r>
              <w:rPr>
                <w:rFonts w:hint="eastAsia"/>
                <w:lang w:val="en-US" w:eastAsia="zh-CN"/>
              </w:rPr>
              <w:t>②</w:t>
            </w:r>
            <w:r>
              <w:rPr>
                <w:rFonts w:hint="eastAsia"/>
              </w:rPr>
              <w:t>国家长护子系统本地测试验证服务</w:t>
            </w:r>
            <w:r>
              <w:rPr>
                <w:rFonts w:hint="eastAsia"/>
                <w:lang w:eastAsia="zh-CN"/>
              </w:rPr>
              <w:t>；</w:t>
            </w:r>
            <w:r>
              <w:rPr>
                <w:rFonts w:hint="eastAsia"/>
                <w:lang w:val="en-US" w:eastAsia="zh-CN"/>
              </w:rPr>
              <w:t>③</w:t>
            </w:r>
            <w:r>
              <w:rPr>
                <w:rFonts w:hint="eastAsia"/>
              </w:rPr>
              <w:t>长护子系统国家下发两定协同端功能本地测试验证</w:t>
            </w:r>
            <w:r>
              <w:rPr>
                <w:rFonts w:hint="eastAsia"/>
                <w:lang w:val="en-US" w:eastAsia="zh-CN"/>
              </w:rPr>
              <w:t>④</w:t>
            </w:r>
            <w:r>
              <w:rPr>
                <w:rFonts w:hint="eastAsia"/>
              </w:rPr>
              <w:t>业务技术支持</w:t>
            </w:r>
            <w:r>
              <w:rPr>
                <w:rFonts w:hint="eastAsia"/>
                <w:lang w:val="en-US" w:eastAsia="zh-CN"/>
              </w:rPr>
              <w:t>⑤</w:t>
            </w:r>
            <w:r>
              <w:rPr>
                <w:rFonts w:hint="eastAsia"/>
              </w:rPr>
              <w:t>业务经办操作指引</w:t>
            </w:r>
            <w:r>
              <w:rPr>
                <w:rFonts w:hint="eastAsia"/>
                <w:lang w:val="en-US" w:eastAsia="zh-CN"/>
              </w:rPr>
              <w:t>⑥</w:t>
            </w:r>
            <w:r>
              <w:rPr>
                <w:rFonts w:hint="eastAsia"/>
              </w:rPr>
              <w:t>系统问题处理分析</w:t>
            </w:r>
            <w:r>
              <w:rPr>
                <w:rFonts w:hint="eastAsia"/>
                <w:lang w:val="en-US" w:eastAsia="zh-CN"/>
              </w:rPr>
              <w:t>⑦</w:t>
            </w:r>
            <w:r>
              <w:rPr>
                <w:rFonts w:hint="eastAsia"/>
              </w:rPr>
              <w:t>日常数据处理</w:t>
            </w:r>
            <w:r>
              <w:rPr>
                <w:rFonts w:hint="eastAsia"/>
                <w:lang w:val="en-US" w:eastAsia="zh-CN"/>
              </w:rPr>
              <w:t>⑧</w:t>
            </w:r>
            <w:r>
              <w:rPr>
                <w:rFonts w:hint="eastAsia"/>
              </w:rPr>
              <w:t>与长护定点机构的数据交互处理</w:t>
            </w:r>
            <w:r>
              <w:rPr>
                <w:rFonts w:hint="eastAsia"/>
                <w:lang w:val="en-US" w:eastAsia="zh-CN"/>
              </w:rPr>
              <w:t>⑨</w:t>
            </w:r>
            <w:r>
              <w:rPr>
                <w:rFonts w:hint="eastAsia"/>
              </w:rPr>
              <w:t>批量数据处理</w:t>
            </w:r>
            <w:r>
              <w:rPr>
                <w:rFonts w:hint="eastAsia"/>
                <w:lang w:val="en-US" w:eastAsia="zh-CN"/>
              </w:rPr>
              <w:t>⑩</w:t>
            </w:r>
            <w:r>
              <w:rPr>
                <w:rFonts w:hint="eastAsia"/>
              </w:rPr>
              <w:t>临时报表统计⑪客服坐席运营服务⑫投诉和应急保障运营服务</w:t>
            </w:r>
            <w:r>
              <w:rPr>
                <w:rFonts w:hint="eastAsia"/>
                <w:lang w:eastAsia="zh-CN"/>
              </w:rPr>
              <w:t>。</w:t>
            </w:r>
          </w:p>
          <w:p>
            <w:pPr>
              <w:pStyle w:val="2"/>
              <w:shd w:val="clear"/>
              <w:spacing w:line="288" w:lineRule="auto"/>
              <w:ind w:firstLine="0"/>
              <w:jc w:val="both"/>
              <w:rPr>
                <w:rFonts w:hint="eastAsia"/>
                <w:lang w:val="en-US" w:eastAsia="zh-CN"/>
              </w:rPr>
            </w:pPr>
            <w:r>
              <w:rPr>
                <w:rFonts w:hint="eastAsia"/>
                <w:lang w:val="en-US" w:eastAsia="zh-CN"/>
              </w:rPr>
              <w:t>1、方案包含上述12项内容的，</w:t>
            </w:r>
            <w:r>
              <w:rPr>
                <w:rFonts w:hint="eastAsia" w:ascii="宋体" w:hAnsi="宋体" w:eastAsia="宋体" w:cs="宋体"/>
                <w:color w:val="auto"/>
                <w:kern w:val="0"/>
                <w:sz w:val="21"/>
                <w:szCs w:val="21"/>
                <w:lang w:val="en-US" w:eastAsia="zh-CN" w:bidi="ar"/>
              </w:rPr>
              <w:t>每提供一项得</w:t>
            </w:r>
            <w:r>
              <w:rPr>
                <w:rFonts w:hint="eastAsia" w:ascii="宋体" w:hAnsi="宋体" w:cs="宋体"/>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分，最高得</w:t>
            </w:r>
            <w:r>
              <w:rPr>
                <w:rFonts w:hint="eastAsia" w:ascii="宋体" w:hAnsi="宋体" w:cs="宋体"/>
                <w:color w:val="auto"/>
                <w:kern w:val="0"/>
                <w:sz w:val="21"/>
                <w:szCs w:val="21"/>
                <w:lang w:val="en-US" w:eastAsia="zh-CN" w:bidi="ar"/>
              </w:rPr>
              <w:t>12</w:t>
            </w:r>
            <w:r>
              <w:rPr>
                <w:rFonts w:hint="eastAsia" w:ascii="宋体" w:hAnsi="宋体" w:eastAsia="宋体" w:cs="宋体"/>
                <w:color w:val="auto"/>
                <w:kern w:val="0"/>
                <w:sz w:val="21"/>
                <w:szCs w:val="21"/>
                <w:lang w:val="en-US" w:eastAsia="zh-CN" w:bidi="ar"/>
              </w:rPr>
              <w:t>分</w:t>
            </w:r>
            <w:r>
              <w:rPr>
                <w:rFonts w:hint="eastAsia" w:ascii="宋体" w:hAnsi="宋体" w:cs="宋体"/>
                <w:color w:val="auto"/>
                <w:kern w:val="0"/>
                <w:sz w:val="21"/>
                <w:szCs w:val="21"/>
                <w:lang w:val="en-US" w:eastAsia="zh-CN" w:bidi="ar"/>
              </w:rPr>
              <w:t>。</w:t>
            </w:r>
            <w:r>
              <w:rPr>
                <w:rFonts w:hint="eastAsia" w:ascii="宋体" w:hAnsi="宋体" w:eastAsia="宋体" w:cs="宋体"/>
                <w:sz w:val="21"/>
                <w:szCs w:val="21"/>
                <w:lang w:val="en-US" w:eastAsia="zh-CN"/>
              </w:rPr>
              <w:t>本部分评分内容为客观分，评标委员会成员评分须一致。</w:t>
            </w:r>
          </w:p>
          <w:p>
            <w:pPr>
              <w:pStyle w:val="2"/>
              <w:ind w:firstLine="0"/>
              <w:rPr>
                <w:rFonts w:hint="eastAsia"/>
                <w:lang w:val="en-US" w:eastAsia="zh-CN"/>
              </w:rPr>
            </w:pPr>
            <w:r>
              <w:rPr>
                <w:rFonts w:hint="eastAsia"/>
                <w:lang w:val="en-US" w:eastAsia="zh-CN"/>
              </w:rPr>
              <w:t>2、在上述基础上对方案的符合性进行评审(满分</w:t>
            </w:r>
            <w:del w:id="8" w:author="胡英文" w:date="2026-08-24T17:08:21Z">
              <w:r>
                <w:rPr>
                  <w:rFonts w:hint="default"/>
                  <w:lang w:val="en-US" w:eastAsia="zh-CN"/>
                </w:rPr>
                <w:delText>3</w:delText>
              </w:r>
            </w:del>
            <w:ins w:id="9" w:author="胡英文" w:date="2026-08-24T17:08:21Z">
              <w:r>
                <w:rPr>
                  <w:rFonts w:hint="eastAsia"/>
                  <w:lang w:val="en-US" w:eastAsia="zh-CN"/>
                </w:rPr>
                <w:t>4</w:t>
              </w:r>
            </w:ins>
            <w:r>
              <w:rPr>
                <w:rFonts w:hint="eastAsia"/>
                <w:lang w:val="en-US" w:eastAsia="zh-CN"/>
              </w:rPr>
              <w:t>分):</w:t>
            </w:r>
          </w:p>
          <w:p>
            <w:pPr>
              <w:pStyle w:val="2"/>
              <w:ind w:firstLine="0"/>
              <w:rPr>
                <w:rFonts w:hint="eastAsia"/>
                <w:lang w:val="en-US" w:eastAsia="zh-CN"/>
              </w:rPr>
            </w:pPr>
            <w:r>
              <w:rPr>
                <w:rFonts w:hint="eastAsia"/>
                <w:lang w:val="en-US" w:eastAsia="zh-CN"/>
              </w:rPr>
              <w:t>(1)方案制定详细全面，可操作性和规范性强</w:t>
            </w:r>
            <w:del w:id="10" w:author="胡英文" w:date="2026-08-24T17:08:40Z">
              <w:r>
                <w:rPr>
                  <w:rFonts w:hint="default"/>
                  <w:lang w:val="en-US" w:eastAsia="zh-CN"/>
                </w:rPr>
                <w:delText>，完全满足且优于采购需求，</w:delText>
              </w:r>
            </w:del>
            <w:ins w:id="11" w:author="胡英文" w:date="2026-08-24T17:08:47Z">
              <w:r>
                <w:rPr>
                  <w:rFonts w:hint="eastAsia"/>
                  <w:lang w:val="en-US" w:eastAsia="zh-CN"/>
                </w:rPr>
                <w:t>。</w:t>
              </w:r>
            </w:ins>
            <w:r>
              <w:rPr>
                <w:rFonts w:hint="eastAsia"/>
                <w:lang w:val="en-US" w:eastAsia="zh-CN"/>
              </w:rPr>
              <w:t>得</w:t>
            </w:r>
            <w:del w:id="12" w:author="胡英文" w:date="2026-08-24T17:08:28Z">
              <w:r>
                <w:rPr>
                  <w:rFonts w:hint="default"/>
                  <w:lang w:val="en-US" w:eastAsia="zh-CN"/>
                </w:rPr>
                <w:delText>3</w:delText>
              </w:r>
            </w:del>
            <w:ins w:id="13" w:author="胡英文" w:date="2026-08-24T17:08:28Z">
              <w:r>
                <w:rPr>
                  <w:rFonts w:hint="eastAsia"/>
                  <w:lang w:val="en-US" w:eastAsia="zh-CN"/>
                </w:rPr>
                <w:t>4</w:t>
              </w:r>
            </w:ins>
            <w:r>
              <w:rPr>
                <w:rFonts w:hint="eastAsia"/>
                <w:lang w:val="en-US" w:eastAsia="zh-CN"/>
              </w:rPr>
              <w:t>分;</w:t>
            </w:r>
          </w:p>
          <w:p>
            <w:pPr>
              <w:pStyle w:val="2"/>
              <w:ind w:firstLine="0"/>
              <w:rPr>
                <w:rFonts w:hint="eastAsia"/>
                <w:lang w:val="en-US" w:eastAsia="zh-CN"/>
              </w:rPr>
            </w:pPr>
            <w:r>
              <w:rPr>
                <w:rFonts w:hint="eastAsia"/>
                <w:lang w:val="en-US" w:eastAsia="zh-CN"/>
              </w:rPr>
              <w:t>(2)方案制定较详细，可操作性和规范性较强</w:t>
            </w:r>
            <w:del w:id="14" w:author="胡英文" w:date="2026-08-24T17:08:52Z">
              <w:r>
                <w:rPr>
                  <w:rFonts w:hint="eastAsia"/>
                  <w:lang w:val="en-US" w:eastAsia="zh-CN"/>
                </w:rPr>
                <w:delText>，满足采购需求，</w:delText>
              </w:r>
            </w:del>
            <w:ins w:id="15" w:author="胡英文" w:date="2026-08-24T17:08:52Z">
              <w:r>
                <w:rPr>
                  <w:rFonts w:hint="eastAsia"/>
                  <w:lang w:val="en-US" w:eastAsia="zh-CN"/>
                </w:rPr>
                <w:t>。</w:t>
              </w:r>
            </w:ins>
            <w:r>
              <w:rPr>
                <w:rFonts w:hint="eastAsia"/>
                <w:lang w:val="en-US" w:eastAsia="zh-CN"/>
              </w:rPr>
              <w:t>得</w:t>
            </w:r>
            <w:del w:id="16" w:author="胡英文" w:date="2026-08-24T17:08:31Z">
              <w:r>
                <w:rPr>
                  <w:rFonts w:hint="default"/>
                  <w:lang w:val="en-US" w:eastAsia="zh-CN"/>
                </w:rPr>
                <w:delText>2</w:delText>
              </w:r>
            </w:del>
            <w:ins w:id="17" w:author="胡英文" w:date="2026-08-24T17:08:31Z">
              <w:r>
                <w:rPr>
                  <w:rFonts w:hint="eastAsia"/>
                  <w:lang w:val="en-US" w:eastAsia="zh-CN"/>
                </w:rPr>
                <w:t>3</w:t>
              </w:r>
            </w:ins>
            <w:r>
              <w:rPr>
                <w:rFonts w:hint="eastAsia"/>
                <w:lang w:val="en-US" w:eastAsia="zh-CN"/>
              </w:rPr>
              <w:t>分;</w:t>
            </w:r>
          </w:p>
          <w:p>
            <w:pPr>
              <w:pStyle w:val="2"/>
              <w:ind w:firstLine="0"/>
              <w:rPr>
                <w:rFonts w:hint="eastAsia"/>
                <w:lang w:val="en-US" w:eastAsia="zh-CN"/>
              </w:rPr>
            </w:pPr>
            <w:r>
              <w:rPr>
                <w:rFonts w:hint="eastAsia"/>
                <w:lang w:val="en-US" w:eastAsia="zh-CN"/>
              </w:rPr>
              <w:t>(3)方案制定一般，可操作性和规范性一般</w:t>
            </w:r>
            <w:del w:id="18" w:author="胡英文" w:date="2026-08-24T17:08:58Z">
              <w:r>
                <w:rPr>
                  <w:rFonts w:hint="eastAsia"/>
                  <w:lang w:val="en-US" w:eastAsia="zh-CN"/>
                </w:rPr>
                <w:delText>，部分满足采购需求，</w:delText>
              </w:r>
            </w:del>
            <w:ins w:id="19" w:author="胡英文" w:date="2026-08-24T17:08:58Z">
              <w:r>
                <w:rPr>
                  <w:rFonts w:hint="eastAsia"/>
                  <w:lang w:val="en-US" w:eastAsia="zh-CN"/>
                </w:rPr>
                <w:t>。</w:t>
              </w:r>
            </w:ins>
            <w:r>
              <w:rPr>
                <w:rFonts w:hint="eastAsia"/>
                <w:lang w:val="en-US" w:eastAsia="zh-CN"/>
              </w:rPr>
              <w:t>得</w:t>
            </w:r>
            <w:del w:id="20" w:author="胡英文" w:date="2026-08-24T17:08:33Z">
              <w:r>
                <w:rPr>
                  <w:rFonts w:hint="default"/>
                  <w:lang w:val="en-US" w:eastAsia="zh-CN"/>
                </w:rPr>
                <w:delText>1</w:delText>
              </w:r>
            </w:del>
            <w:ins w:id="21" w:author="胡英文" w:date="2026-08-24T17:08:33Z">
              <w:r>
                <w:rPr>
                  <w:rFonts w:hint="eastAsia"/>
                  <w:lang w:val="en-US" w:eastAsia="zh-CN"/>
                </w:rPr>
                <w:t>2</w:t>
              </w:r>
            </w:ins>
            <w:r>
              <w:rPr>
                <w:rFonts w:hint="eastAsia"/>
                <w:lang w:val="en-US" w:eastAsia="zh-CN"/>
              </w:rPr>
              <w:t>分;</w:t>
            </w:r>
          </w:p>
          <w:p>
            <w:pPr>
              <w:pStyle w:val="2"/>
              <w:ind w:firstLine="0"/>
              <w:rPr>
                <w:rFonts w:hint="eastAsia"/>
                <w:lang w:val="en-US" w:eastAsia="zh-CN"/>
              </w:rPr>
            </w:pPr>
            <w:r>
              <w:rPr>
                <w:rFonts w:hint="eastAsia"/>
                <w:lang w:val="en-US" w:eastAsia="zh-CN"/>
              </w:rPr>
              <w:t>(4)方案制定不详细，可操作性和规范性差</w:t>
            </w:r>
            <w:del w:id="22" w:author="胡英文" w:date="2026-08-24T17:09:03Z">
              <w:r>
                <w:rPr>
                  <w:rFonts w:hint="eastAsia"/>
                  <w:lang w:val="en-US" w:eastAsia="zh-CN"/>
                </w:rPr>
                <w:delText>，无法满足采购需求，</w:delText>
              </w:r>
            </w:del>
            <w:ins w:id="23" w:author="胡英文" w:date="2026-08-24T17:09:03Z">
              <w:r>
                <w:rPr>
                  <w:rFonts w:hint="eastAsia"/>
                  <w:lang w:val="en-US" w:eastAsia="zh-CN"/>
                </w:rPr>
                <w:t>。</w:t>
              </w:r>
            </w:ins>
            <w:r>
              <w:rPr>
                <w:rFonts w:hint="eastAsia"/>
                <w:lang w:val="en-US" w:eastAsia="zh-CN"/>
              </w:rPr>
              <w:t>得</w:t>
            </w:r>
            <w:del w:id="24" w:author="胡英文" w:date="2026-08-24T17:08:34Z">
              <w:r>
                <w:rPr>
                  <w:rFonts w:hint="default"/>
                  <w:lang w:val="en-US" w:eastAsia="zh-CN"/>
                </w:rPr>
                <w:delText>0</w:delText>
              </w:r>
            </w:del>
            <w:ins w:id="25" w:author="胡英文" w:date="2026-08-24T17:08:34Z">
              <w:r>
                <w:rPr>
                  <w:rFonts w:hint="eastAsia"/>
                  <w:lang w:val="en-US" w:eastAsia="zh-CN"/>
                </w:rPr>
                <w:t>1</w:t>
              </w:r>
            </w:ins>
            <w:r>
              <w:rPr>
                <w:rFonts w:hint="eastAsia"/>
                <w:lang w:val="en-US" w:eastAsia="zh-CN"/>
              </w:rPr>
              <w:t>分。</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ind w:firstLine="0" w:firstLineChars="0"/>
              <w:jc w:val="center"/>
              <w:textAlignment w:val="center"/>
              <w:rPr>
                <w:rFonts w:hint="default" w:ascii="宋体" w:hAnsi="宋体" w:eastAsia="宋体" w:cs="宋体"/>
                <w:i w:val="0"/>
                <w:iCs w:val="0"/>
                <w:color w:val="auto"/>
                <w:sz w:val="21"/>
                <w:szCs w:val="21"/>
                <w:u w:val="none"/>
                <w:lang w:val="en-US"/>
              </w:rPr>
            </w:pPr>
            <w:del w:id="26" w:author="胡英文" w:date="2026-08-24T17:08:24Z">
              <w:r>
                <w:rPr>
                  <w:rFonts w:hint="default" w:ascii="宋体" w:hAnsi="宋体" w:cs="宋体"/>
                  <w:i w:val="0"/>
                  <w:iCs w:val="0"/>
                  <w:color w:val="auto"/>
                  <w:kern w:val="0"/>
                  <w:sz w:val="21"/>
                  <w:szCs w:val="21"/>
                  <w:u w:val="none"/>
                  <w:lang w:val="en-US" w:eastAsia="zh-CN" w:bidi="ar"/>
                </w:rPr>
                <w:delText>15</w:delText>
              </w:r>
            </w:del>
            <w:ins w:id="27" w:author="胡英文" w:date="2026-08-24T17:08:24Z">
              <w:r>
                <w:rPr>
                  <w:rFonts w:hint="eastAsia" w:ascii="宋体" w:hAnsi="宋体" w:cs="宋体"/>
                  <w:i w:val="0"/>
                  <w:iCs w:val="0"/>
                  <w:color w:val="auto"/>
                  <w:kern w:val="0"/>
                  <w:sz w:val="21"/>
                  <w:szCs w:val="21"/>
                  <w:u w:val="none"/>
                  <w:lang w:val="en-US" w:eastAsia="zh-CN" w:bidi="ar"/>
                </w:rPr>
                <w:t>16</w:t>
              </w:r>
            </w:ins>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2"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9</w:t>
            </w:r>
          </w:p>
        </w:tc>
        <w:tc>
          <w:tcPr>
            <w:tcW w:w="541" w:type="pct"/>
            <w:vMerge w:val="continue"/>
            <w:tcBorders>
              <w:left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default" w:eastAsia="宋体"/>
                <w:highlight w:val="yellow"/>
                <w:lang w:val="en-US" w:eastAsia="zh-CN"/>
              </w:rPr>
            </w:pPr>
            <w:r>
              <w:t>政策适配</w:t>
            </w:r>
            <w:r>
              <w:rPr>
                <w:rFonts w:hint="default"/>
                <w:lang w:val="en-US" w:eastAsia="zh-CN"/>
              </w:rPr>
              <w:t>服务方案</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黑体"/>
                <w:kern w:val="0"/>
                <w:sz w:val="21"/>
                <w:szCs w:val="21"/>
                <w:lang w:val="en-US" w:eastAsia="zh-CN" w:bidi="ar"/>
              </w:rPr>
            </w:pPr>
            <w:r>
              <w:rPr>
                <w:rFonts w:hint="eastAsia" w:ascii="Times New Roman" w:hAnsi="Times New Roman" w:eastAsia="宋体" w:cs="黑体"/>
                <w:kern w:val="0"/>
                <w:sz w:val="21"/>
                <w:szCs w:val="21"/>
                <w:lang w:val="en-US" w:eastAsia="zh-CN" w:bidi="ar"/>
              </w:rPr>
              <w:t>根据投标人项目</w:t>
            </w:r>
            <w:r>
              <w:t>政策适配</w:t>
            </w:r>
            <w:r>
              <w:rPr>
                <w:rFonts w:hint="eastAsia"/>
                <w:lang w:val="en-US" w:eastAsia="zh-CN"/>
              </w:rPr>
              <w:t>服务方案</w:t>
            </w:r>
            <w:r>
              <w:rPr>
                <w:rFonts w:hint="eastAsia" w:ascii="Times New Roman" w:hAnsi="Times New Roman" w:eastAsia="宋体" w:cs="黑体"/>
                <w:kern w:val="0"/>
                <w:sz w:val="21"/>
                <w:szCs w:val="21"/>
                <w:lang w:val="en-US" w:eastAsia="zh-CN" w:bidi="ar"/>
              </w:rPr>
              <w:t>进行进行评审，包括以下内容：①参保业务配置；②征缴业务配置；③个人待遇业务配置；④机构清算业务配置；⑤</w:t>
            </w:r>
            <w:ins w:id="28" w:author="胡英文" w:date="2026-08-24T17:11:37Z">
              <w:r>
                <w:rPr>
                  <w:rFonts w:hint="eastAsia" w:ascii="Times New Roman" w:hAnsi="Times New Roman" w:eastAsia="宋体" w:cs="黑体"/>
                  <w:kern w:val="0"/>
                  <w:sz w:val="21"/>
                  <w:szCs w:val="21"/>
                  <w:lang w:val="en-US" w:eastAsia="zh-CN" w:bidi="ar"/>
                </w:rPr>
                <w:t>业财一体化配置；</w:t>
              </w:r>
            </w:ins>
            <w:del w:id="29" w:author="胡英文" w:date="2026-08-24T17:11:30Z">
              <w:r>
                <w:rPr>
                  <w:rFonts w:hint="eastAsia" w:ascii="Times New Roman" w:hAnsi="Times New Roman" w:eastAsia="宋体" w:cs="黑体"/>
                  <w:kern w:val="0"/>
                  <w:sz w:val="21"/>
                  <w:szCs w:val="21"/>
                  <w:lang w:val="en-US" w:eastAsia="zh-CN" w:bidi="ar"/>
                </w:rPr>
                <w:delText>评估量表配置</w:delText>
              </w:r>
            </w:del>
            <w:del w:id="30" w:author="胡英文" w:date="2026-08-24T17:11:32Z">
              <w:r>
                <w:rPr>
                  <w:rFonts w:hint="eastAsia" w:ascii="Times New Roman" w:hAnsi="Times New Roman" w:eastAsia="宋体" w:cs="黑体"/>
                  <w:kern w:val="0"/>
                  <w:sz w:val="21"/>
                  <w:szCs w:val="21"/>
                  <w:lang w:val="en-US" w:eastAsia="zh-CN" w:bidi="ar"/>
                </w:rPr>
                <w:delText>；</w:delText>
              </w:r>
            </w:del>
            <w:r>
              <w:rPr>
                <w:rFonts w:hint="eastAsia" w:ascii="Times New Roman" w:hAnsi="Times New Roman" w:eastAsia="宋体" w:cs="黑体"/>
                <w:kern w:val="0"/>
                <w:sz w:val="21"/>
                <w:szCs w:val="21"/>
                <w:lang w:val="en-US" w:eastAsia="zh-CN" w:bidi="ar"/>
              </w:rPr>
              <w:t>⑥</w:t>
            </w:r>
            <w:del w:id="31" w:author="胡英文" w:date="2026-08-24T17:11:36Z">
              <w:r>
                <w:rPr>
                  <w:rFonts w:hint="eastAsia" w:ascii="Times New Roman" w:hAnsi="Times New Roman" w:eastAsia="宋体" w:cs="黑体"/>
                  <w:kern w:val="0"/>
                  <w:sz w:val="21"/>
                  <w:szCs w:val="21"/>
                  <w:lang w:val="en-US" w:eastAsia="zh-CN" w:bidi="ar"/>
                </w:rPr>
                <w:delText>业财一体化配置；</w:delText>
              </w:r>
            </w:del>
            <w:del w:id="32" w:author="胡英文" w:date="2026-08-24T17:11:41Z">
              <w:r>
                <w:rPr>
                  <w:rFonts w:hint="eastAsia" w:ascii="Times New Roman" w:hAnsi="Times New Roman" w:eastAsia="宋体" w:cs="黑体"/>
                  <w:kern w:val="0"/>
                  <w:sz w:val="21"/>
                  <w:szCs w:val="21"/>
                  <w:lang w:val="en-US" w:eastAsia="zh-CN" w:bidi="ar"/>
                </w:rPr>
                <w:delText>⑦</w:delText>
              </w:r>
            </w:del>
            <w:r>
              <w:rPr>
                <w:rFonts w:hint="eastAsia" w:ascii="Times New Roman" w:hAnsi="Times New Roman" w:eastAsia="宋体" w:cs="黑体"/>
                <w:kern w:val="0"/>
                <w:sz w:val="21"/>
                <w:szCs w:val="21"/>
                <w:lang w:val="en-US" w:eastAsia="zh-CN" w:bidi="ar"/>
              </w:rPr>
              <w:t>“粤医保”江门市长期护理保险配置。</w:t>
            </w:r>
          </w:p>
          <w:p>
            <w:pPr>
              <w:rPr>
                <w:rFonts w:hint="eastAsia"/>
                <w:lang w:val="en-US" w:eastAsia="zh-CN"/>
              </w:rPr>
            </w:pPr>
            <w:r>
              <w:rPr>
                <w:rFonts w:hint="eastAsia"/>
                <w:lang w:val="en-US" w:eastAsia="zh-CN"/>
              </w:rPr>
              <w:t>1、方案包含上述</w:t>
            </w:r>
            <w:del w:id="33" w:author="胡英文" w:date="2026-08-24T17:11:46Z">
              <w:r>
                <w:rPr>
                  <w:rFonts w:hint="default"/>
                  <w:lang w:val="en-US" w:eastAsia="zh-CN"/>
                </w:rPr>
                <w:delText>7</w:delText>
              </w:r>
            </w:del>
            <w:ins w:id="34" w:author="胡英文" w:date="2026-08-24T17:11:47Z">
              <w:r>
                <w:rPr>
                  <w:rFonts w:hint="eastAsia"/>
                  <w:lang w:val="en-US" w:eastAsia="zh-CN"/>
                </w:rPr>
                <w:t>6</w:t>
              </w:r>
            </w:ins>
            <w:r>
              <w:rPr>
                <w:rFonts w:hint="eastAsia"/>
                <w:lang w:val="en-US" w:eastAsia="zh-CN"/>
              </w:rPr>
              <w:t>项内容的，</w:t>
            </w:r>
            <w:r>
              <w:rPr>
                <w:rFonts w:hint="eastAsia" w:ascii="Times New Roman" w:hAnsi="Times New Roman" w:eastAsia="宋体" w:cs="黑体"/>
                <w:kern w:val="0"/>
                <w:sz w:val="21"/>
                <w:szCs w:val="21"/>
                <w:lang w:val="en-US" w:eastAsia="zh-CN" w:bidi="ar"/>
              </w:rPr>
              <w:t>每提供一项得</w:t>
            </w:r>
            <w:r>
              <w:rPr>
                <w:rFonts w:hint="eastAsia" w:ascii="Times New Roman" w:hAnsi="Times New Roman" w:cs="黑体"/>
                <w:kern w:val="0"/>
                <w:sz w:val="21"/>
                <w:szCs w:val="21"/>
                <w:lang w:val="en-US" w:eastAsia="zh-CN" w:bidi="ar"/>
              </w:rPr>
              <w:t>1</w:t>
            </w:r>
            <w:r>
              <w:rPr>
                <w:rFonts w:hint="eastAsia" w:ascii="Times New Roman" w:hAnsi="Times New Roman" w:eastAsia="宋体" w:cs="黑体"/>
                <w:kern w:val="0"/>
                <w:sz w:val="21"/>
                <w:szCs w:val="21"/>
                <w:lang w:val="en-US" w:eastAsia="zh-CN" w:bidi="ar"/>
              </w:rPr>
              <w:t>分，最高得</w:t>
            </w:r>
            <w:del w:id="35" w:author="胡英文" w:date="2026-08-24T17:11:52Z">
              <w:r>
                <w:rPr>
                  <w:rFonts w:hint="default" w:ascii="Times New Roman" w:hAnsi="Times New Roman" w:cs="黑体"/>
                  <w:kern w:val="0"/>
                  <w:sz w:val="21"/>
                  <w:szCs w:val="21"/>
                  <w:lang w:val="en-US" w:eastAsia="zh-CN" w:bidi="ar"/>
                </w:rPr>
                <w:delText>7</w:delText>
              </w:r>
            </w:del>
            <w:ins w:id="36" w:author="胡英文" w:date="2026-08-24T17:11:52Z">
              <w:r>
                <w:rPr>
                  <w:rFonts w:hint="eastAsia" w:cs="黑体"/>
                  <w:kern w:val="0"/>
                  <w:sz w:val="21"/>
                  <w:szCs w:val="21"/>
                  <w:lang w:val="en-US" w:eastAsia="zh-CN" w:bidi="ar"/>
                </w:rPr>
                <w:t>6</w:t>
              </w:r>
            </w:ins>
            <w:r>
              <w:rPr>
                <w:rFonts w:hint="eastAsia" w:ascii="Times New Roman" w:hAnsi="Times New Roman" w:eastAsia="宋体" w:cs="黑体"/>
                <w:kern w:val="0"/>
                <w:sz w:val="21"/>
                <w:szCs w:val="21"/>
                <w:lang w:val="en-US" w:eastAsia="zh-CN" w:bidi="ar"/>
              </w:rPr>
              <w:t>分</w:t>
            </w:r>
            <w:r>
              <w:rPr>
                <w:rFonts w:hint="eastAsia" w:ascii="Times New Roman" w:hAnsi="Times New Roman" w:cs="黑体"/>
                <w:kern w:val="0"/>
                <w:sz w:val="21"/>
                <w:szCs w:val="21"/>
                <w:lang w:val="en-US" w:eastAsia="zh-CN" w:bidi="ar"/>
              </w:rPr>
              <w:t>。</w:t>
            </w:r>
            <w:r>
              <w:rPr>
                <w:rFonts w:hint="eastAsia" w:ascii="Times New Roman" w:hAnsi="Times New Roman" w:eastAsia="宋体" w:cs="黑体"/>
                <w:sz w:val="21"/>
                <w:szCs w:val="21"/>
                <w:lang w:val="en-US" w:eastAsia="zh-CN"/>
              </w:rPr>
              <w:t>本部分评分内容为客观分，评标委员会成员评分须一致。</w:t>
            </w:r>
          </w:p>
          <w:p>
            <w:pPr>
              <w:rPr>
                <w:rFonts w:hint="eastAsia"/>
                <w:lang w:val="en-US" w:eastAsia="zh-CN"/>
              </w:rPr>
            </w:pPr>
            <w:r>
              <w:rPr>
                <w:rFonts w:hint="eastAsia"/>
                <w:lang w:val="en-US" w:eastAsia="zh-CN"/>
              </w:rPr>
              <w:t>2、在上述基础上对方案的符合性进行评审(满分</w:t>
            </w:r>
            <w:del w:id="37" w:author="胡英文" w:date="2026-08-24T17:11:56Z">
              <w:r>
                <w:rPr>
                  <w:rFonts w:hint="default"/>
                  <w:lang w:val="en-US" w:eastAsia="zh-CN"/>
                </w:rPr>
                <w:delText>3</w:delText>
              </w:r>
            </w:del>
            <w:ins w:id="38" w:author="胡英文" w:date="2026-08-24T17:11:56Z">
              <w:r>
                <w:rPr>
                  <w:rFonts w:hint="eastAsia"/>
                  <w:lang w:val="en-US" w:eastAsia="zh-CN"/>
                </w:rPr>
                <w:t>4</w:t>
              </w:r>
            </w:ins>
            <w:r>
              <w:rPr>
                <w:rFonts w:hint="eastAsia"/>
                <w:lang w:val="en-US" w:eastAsia="zh-CN"/>
              </w:rPr>
              <w:t>分):</w:t>
            </w:r>
          </w:p>
          <w:p>
            <w:pPr>
              <w:rPr>
                <w:rFonts w:hint="eastAsia"/>
                <w:lang w:val="en-US" w:eastAsia="zh-CN"/>
              </w:rPr>
            </w:pPr>
            <w:r>
              <w:rPr>
                <w:rFonts w:hint="eastAsia"/>
                <w:lang w:val="en-US" w:eastAsia="zh-CN"/>
              </w:rPr>
              <w:t>(1)方案制定详细全面，可操作性和规范性强</w:t>
            </w:r>
            <w:del w:id="39" w:author="胡英文" w:date="2026-08-24T17:12:22Z">
              <w:r>
                <w:rPr>
                  <w:rFonts w:hint="eastAsia"/>
                  <w:lang w:val="en-US" w:eastAsia="zh-CN"/>
                </w:rPr>
                <w:delText>，完全满足且优于采购需求，</w:delText>
              </w:r>
            </w:del>
            <w:ins w:id="40" w:author="胡英文" w:date="2026-08-24T17:12:23Z">
              <w:r>
                <w:rPr>
                  <w:rFonts w:hint="eastAsia"/>
                  <w:lang w:val="en-US" w:eastAsia="zh-CN"/>
                </w:rPr>
                <w:t>。</w:t>
              </w:r>
            </w:ins>
            <w:r>
              <w:rPr>
                <w:rFonts w:hint="eastAsia"/>
                <w:lang w:val="en-US" w:eastAsia="zh-CN"/>
              </w:rPr>
              <w:t>得</w:t>
            </w:r>
            <w:del w:id="41" w:author="胡英文" w:date="2026-08-24T17:11:58Z">
              <w:r>
                <w:rPr>
                  <w:rFonts w:hint="default"/>
                  <w:lang w:val="en-US" w:eastAsia="zh-CN"/>
                </w:rPr>
                <w:delText>3</w:delText>
              </w:r>
            </w:del>
            <w:ins w:id="42" w:author="胡英文" w:date="2026-08-24T17:11:58Z">
              <w:r>
                <w:rPr>
                  <w:rFonts w:hint="eastAsia"/>
                  <w:lang w:val="en-US" w:eastAsia="zh-CN"/>
                </w:rPr>
                <w:t>4</w:t>
              </w:r>
            </w:ins>
            <w:r>
              <w:rPr>
                <w:rFonts w:hint="eastAsia"/>
                <w:lang w:val="en-US" w:eastAsia="zh-CN"/>
              </w:rPr>
              <w:t>分;</w:t>
            </w:r>
          </w:p>
          <w:p>
            <w:pPr>
              <w:rPr>
                <w:rFonts w:hint="eastAsia"/>
                <w:lang w:val="en-US" w:eastAsia="zh-CN"/>
              </w:rPr>
            </w:pPr>
            <w:r>
              <w:rPr>
                <w:rFonts w:hint="eastAsia"/>
                <w:lang w:val="en-US" w:eastAsia="zh-CN"/>
              </w:rPr>
              <w:t>(2)方案制定较详细，可操作性和规范性较强</w:t>
            </w:r>
            <w:del w:id="43" w:author="胡英文" w:date="2026-08-24T17:12:30Z">
              <w:r>
                <w:rPr>
                  <w:rFonts w:hint="eastAsia"/>
                  <w:lang w:val="en-US" w:eastAsia="zh-CN"/>
                </w:rPr>
                <w:delText>，满足采购需求，</w:delText>
              </w:r>
            </w:del>
            <w:ins w:id="44" w:author="胡英文" w:date="2026-08-24T17:12:30Z">
              <w:r>
                <w:rPr>
                  <w:rFonts w:hint="eastAsia"/>
                  <w:lang w:val="en-US" w:eastAsia="zh-CN"/>
                </w:rPr>
                <w:t>。</w:t>
              </w:r>
            </w:ins>
            <w:r>
              <w:rPr>
                <w:rFonts w:hint="eastAsia"/>
                <w:lang w:val="en-US" w:eastAsia="zh-CN"/>
              </w:rPr>
              <w:t>得</w:t>
            </w:r>
            <w:del w:id="45" w:author="胡英文" w:date="2026-08-24T17:12:01Z">
              <w:r>
                <w:rPr>
                  <w:rFonts w:hint="default"/>
                  <w:lang w:val="en-US" w:eastAsia="zh-CN"/>
                </w:rPr>
                <w:delText>2</w:delText>
              </w:r>
            </w:del>
            <w:ins w:id="46" w:author="胡英文" w:date="2026-08-24T17:12:01Z">
              <w:r>
                <w:rPr>
                  <w:rFonts w:hint="eastAsia"/>
                  <w:lang w:val="en-US" w:eastAsia="zh-CN"/>
                </w:rPr>
                <w:t>3</w:t>
              </w:r>
            </w:ins>
            <w:r>
              <w:rPr>
                <w:rFonts w:hint="eastAsia"/>
                <w:lang w:val="en-US" w:eastAsia="zh-CN"/>
              </w:rPr>
              <w:t>分;</w:t>
            </w:r>
          </w:p>
          <w:p>
            <w:pPr>
              <w:rPr>
                <w:rFonts w:hint="eastAsia"/>
                <w:lang w:val="en-US" w:eastAsia="zh-CN"/>
              </w:rPr>
            </w:pPr>
            <w:r>
              <w:rPr>
                <w:rFonts w:hint="eastAsia"/>
                <w:lang w:val="en-US" w:eastAsia="zh-CN"/>
              </w:rPr>
              <w:t>(3)方案制定一般，可操作性和规范性一般</w:t>
            </w:r>
            <w:ins w:id="47" w:author="胡英文" w:date="2026-08-24T17:12:37Z">
              <w:r>
                <w:rPr>
                  <w:rFonts w:hint="eastAsia"/>
                  <w:lang w:val="en-US" w:eastAsia="zh-CN"/>
                </w:rPr>
                <w:t>。</w:t>
              </w:r>
            </w:ins>
            <w:del w:id="48" w:author="胡英文" w:date="2026-08-24T17:12:36Z">
              <w:r>
                <w:rPr>
                  <w:rFonts w:hint="eastAsia"/>
                  <w:lang w:val="en-US" w:eastAsia="zh-CN"/>
                </w:rPr>
                <w:delText>，部分满足采购需求，</w:delText>
              </w:r>
            </w:del>
            <w:r>
              <w:rPr>
                <w:rFonts w:hint="eastAsia"/>
                <w:lang w:val="en-US" w:eastAsia="zh-CN"/>
              </w:rPr>
              <w:t>得</w:t>
            </w:r>
            <w:del w:id="49" w:author="胡英文" w:date="2026-08-24T17:12:03Z">
              <w:r>
                <w:rPr>
                  <w:rFonts w:hint="default"/>
                  <w:lang w:val="en-US" w:eastAsia="zh-CN"/>
                </w:rPr>
                <w:delText>1</w:delText>
              </w:r>
            </w:del>
            <w:ins w:id="50" w:author="胡英文" w:date="2026-08-24T17:12:03Z">
              <w:r>
                <w:rPr>
                  <w:rFonts w:hint="eastAsia"/>
                  <w:lang w:val="en-US" w:eastAsia="zh-CN"/>
                </w:rPr>
                <w:t>2</w:t>
              </w:r>
            </w:ins>
            <w:r>
              <w:rPr>
                <w:rFonts w:hint="eastAsia"/>
                <w:lang w:val="en-US" w:eastAsia="zh-CN"/>
              </w:rPr>
              <w:t>分;</w:t>
            </w:r>
          </w:p>
          <w:p>
            <w:pPr>
              <w:rPr>
                <w:rFonts w:hint="eastAsia"/>
                <w:highlight w:val="yellow"/>
                <w:lang w:val="en-US" w:eastAsia="zh-CN"/>
              </w:rPr>
            </w:pPr>
            <w:r>
              <w:rPr>
                <w:rFonts w:hint="eastAsia"/>
                <w:lang w:val="en-US" w:eastAsia="zh-CN"/>
              </w:rPr>
              <w:t>(4)方案制定不详细，可操作性和规范性差</w:t>
            </w:r>
            <w:del w:id="51" w:author="胡英文" w:date="2026-08-24T17:12:47Z">
              <w:r>
                <w:rPr>
                  <w:rFonts w:hint="eastAsia"/>
                  <w:lang w:val="en-US" w:eastAsia="zh-CN"/>
                </w:rPr>
                <w:delText>，无法满足采购需求，</w:delText>
              </w:r>
            </w:del>
            <w:ins w:id="52" w:author="胡英文" w:date="2026-08-24T17:12:47Z">
              <w:r>
                <w:rPr>
                  <w:rFonts w:hint="eastAsia"/>
                  <w:lang w:val="en-US" w:eastAsia="zh-CN"/>
                </w:rPr>
                <w:t>。</w:t>
              </w:r>
            </w:ins>
            <w:r>
              <w:rPr>
                <w:rFonts w:hint="eastAsia"/>
                <w:lang w:val="en-US" w:eastAsia="zh-CN"/>
              </w:rPr>
              <w:t>得</w:t>
            </w:r>
            <w:del w:id="53" w:author="胡英文" w:date="2026-08-24T17:12:11Z">
              <w:r>
                <w:rPr>
                  <w:rFonts w:hint="eastAsia"/>
                  <w:lang w:val="en-US" w:eastAsia="zh-CN"/>
                </w:rPr>
                <w:delText>0</w:delText>
              </w:r>
            </w:del>
            <w:ins w:id="54" w:author="胡英文" w:date="2026-08-24T17:12:08Z">
              <w:r>
                <w:rPr>
                  <w:rFonts w:hint="eastAsia"/>
                  <w:lang w:val="en-US" w:eastAsia="zh-CN"/>
                </w:rPr>
                <w:t>1</w:t>
              </w:r>
            </w:ins>
            <w:r>
              <w:rPr>
                <w:rFonts w:hint="eastAsia"/>
                <w:lang w:val="en-US" w:eastAsia="zh-CN"/>
              </w:rPr>
              <w:t>分。</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ind w:firstLine="0" w:firstLineChars="0"/>
              <w:jc w:val="center"/>
              <w:textAlignment w:val="center"/>
              <w:rPr>
                <w:rFonts w:hint="default" w:ascii="宋体" w:hAnsi="宋体" w:eastAsia="宋体" w:cs="宋体"/>
                <w:i w:val="0"/>
                <w:iCs w:val="0"/>
                <w:color w:val="auto"/>
                <w:kern w:val="0"/>
                <w:sz w:val="21"/>
                <w:szCs w:val="21"/>
                <w:highlight w:val="yellow"/>
                <w:u w:val="none"/>
                <w:lang w:val="en-US" w:eastAsia="zh-CN" w:bidi="ar"/>
              </w:rPr>
            </w:pPr>
            <w:r>
              <w:rPr>
                <w:rFonts w:hint="default" w:ascii="Times New Roman" w:hAnsi="Times New Roman" w:cstheme="minorBidi"/>
                <w:i w:val="0"/>
                <w:iCs w:val="0"/>
                <w:kern w:val="2"/>
                <w:sz w:val="21"/>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w:t>
            </w:r>
          </w:p>
        </w:tc>
        <w:tc>
          <w:tcPr>
            <w:tcW w:w="541" w:type="pct"/>
            <w:vMerge w:val="continue"/>
            <w:tcBorders>
              <w:left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项目组织实施</w:t>
            </w:r>
            <w:r>
              <w:rPr>
                <w:rFonts w:hint="eastAsia" w:ascii="宋体" w:hAnsi="宋体" w:cs="宋体"/>
                <w:color w:val="auto"/>
                <w:kern w:val="0"/>
                <w:sz w:val="21"/>
                <w:szCs w:val="21"/>
                <w:lang w:eastAsia="zh-CN" w:bidi="ar"/>
              </w:rPr>
              <w:t>方案</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bottom"/>
          </w:tcPr>
          <w:p>
            <w:pPr>
              <w:shd w:val="clear"/>
              <w:spacing w:line="288" w:lineRule="auto"/>
              <w:jc w:val="left"/>
              <w:rPr>
                <w:rFonts w:hint="eastAsia"/>
                <w:lang w:eastAsia="zh-CN"/>
              </w:rPr>
            </w:pPr>
            <w:r>
              <w:rPr>
                <w:rFonts w:hint="eastAsia" w:ascii="宋体" w:hAnsi="宋体" w:eastAsia="宋体" w:cs="宋体"/>
                <w:color w:val="auto"/>
                <w:kern w:val="0"/>
                <w:sz w:val="21"/>
                <w:szCs w:val="21"/>
                <w:lang w:val="en-US" w:eastAsia="zh-CN" w:bidi="ar"/>
              </w:rPr>
              <w:t>根据投标人</w:t>
            </w:r>
            <w:r>
              <w:rPr>
                <w:rFonts w:hint="eastAsia" w:ascii="宋体" w:hAnsi="宋体" w:eastAsia="宋体" w:cs="宋体"/>
                <w:color w:val="auto"/>
                <w:kern w:val="0"/>
                <w:sz w:val="21"/>
                <w:szCs w:val="21"/>
                <w:lang w:bidi="ar"/>
              </w:rPr>
              <w:t>项目组织实施</w:t>
            </w:r>
            <w:r>
              <w:rPr>
                <w:rFonts w:hint="eastAsia"/>
                <w:lang w:val="en-US" w:eastAsia="zh-CN"/>
              </w:rPr>
              <w:t>方案</w:t>
            </w:r>
            <w:r>
              <w:rPr>
                <w:rFonts w:hint="eastAsia" w:ascii="宋体" w:hAnsi="宋体" w:eastAsia="宋体" w:cs="宋体"/>
                <w:color w:val="auto"/>
                <w:kern w:val="0"/>
                <w:sz w:val="21"/>
                <w:szCs w:val="21"/>
                <w:lang w:val="en-US" w:eastAsia="zh-CN" w:bidi="ar"/>
              </w:rPr>
              <w:t>进行评审，包括以下内容：①</w:t>
            </w:r>
            <w:bookmarkStart w:id="17" w:name="_Toc721"/>
            <w:bookmarkStart w:id="18" w:name="_Toc492887388"/>
            <w:bookmarkStart w:id="19" w:name="_Toc482029830"/>
            <w:bookmarkStart w:id="20" w:name="_Toc30555"/>
            <w:bookmarkStart w:id="21" w:name="_Toc27620"/>
            <w:bookmarkStart w:id="22" w:name="_Toc16842"/>
            <w:bookmarkStart w:id="23" w:name="_Toc26499"/>
            <w:bookmarkStart w:id="24" w:name="_Toc14214"/>
            <w:bookmarkStart w:id="25" w:name="_Toc677"/>
            <w:bookmarkStart w:id="26" w:name="_Toc12700"/>
            <w:bookmarkStart w:id="27" w:name="_Toc27363"/>
            <w:bookmarkStart w:id="28" w:name="_Toc4185"/>
            <w:bookmarkStart w:id="29" w:name="_Toc8676"/>
            <w:bookmarkStart w:id="30" w:name="_Toc31922"/>
            <w:bookmarkStart w:id="31" w:name="_Toc25142"/>
            <w:bookmarkStart w:id="32" w:name="_Toc498352407"/>
            <w:bookmarkStart w:id="33" w:name="_Toc25108"/>
            <w:bookmarkStart w:id="34" w:name="_Toc5836"/>
            <w:bookmarkStart w:id="35" w:name="_Toc9657"/>
            <w:bookmarkStart w:id="36" w:name="_Toc4121"/>
            <w:bookmarkStart w:id="37" w:name="_Toc11456"/>
            <w:bookmarkStart w:id="38" w:name="_Toc12033"/>
            <w:bookmarkStart w:id="39" w:name="_Toc20073"/>
            <w:r>
              <w:t>组织结构及角色</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Fonts w:hint="eastAsia"/>
                <w:lang w:eastAsia="zh-CN"/>
              </w:rPr>
              <w:t>；</w:t>
            </w:r>
            <w:r>
              <w:rPr>
                <w:rFonts w:hint="eastAsia"/>
                <w:lang w:val="en-US" w:eastAsia="zh-CN"/>
              </w:rPr>
              <w:t>②</w:t>
            </w:r>
            <w:bookmarkStart w:id="40" w:name="_Toc11399"/>
            <w:bookmarkStart w:id="41" w:name="_Toc143877448"/>
            <w:r>
              <w:t>项目过程中的人力资源管理</w:t>
            </w:r>
            <w:bookmarkEnd w:id="40"/>
            <w:bookmarkEnd w:id="41"/>
            <w:r>
              <w:rPr>
                <w:rFonts w:hint="eastAsia"/>
                <w:lang w:eastAsia="zh-CN"/>
              </w:rPr>
              <w:t>；</w:t>
            </w:r>
            <w:r>
              <w:rPr>
                <w:rFonts w:hint="eastAsia"/>
                <w:lang w:val="en-US" w:eastAsia="zh-CN"/>
              </w:rPr>
              <w:t>③</w:t>
            </w:r>
            <w:bookmarkStart w:id="42" w:name="_Toc2233"/>
            <w:r>
              <w:t>项目进度管理</w:t>
            </w:r>
            <w:bookmarkEnd w:id="42"/>
            <w:r>
              <w:rPr>
                <w:rFonts w:hint="eastAsia"/>
                <w:lang w:eastAsia="zh-CN"/>
              </w:rPr>
              <w:t>；</w:t>
            </w:r>
            <w:r>
              <w:rPr>
                <w:rFonts w:hint="eastAsia"/>
                <w:lang w:val="en-US" w:eastAsia="zh-CN"/>
              </w:rPr>
              <w:t>④</w:t>
            </w:r>
            <w:bookmarkStart w:id="43" w:name="_Toc20133"/>
            <w:r>
              <w:t>项目沟通管理</w:t>
            </w:r>
            <w:bookmarkEnd w:id="43"/>
            <w:r>
              <w:rPr>
                <w:rFonts w:hint="eastAsia"/>
                <w:lang w:eastAsia="zh-CN"/>
              </w:rPr>
              <w:t>；</w:t>
            </w:r>
            <w:r>
              <w:rPr>
                <w:rFonts w:hint="eastAsia"/>
                <w:lang w:val="en-US" w:eastAsia="zh-CN"/>
              </w:rPr>
              <w:t>⑤</w:t>
            </w:r>
            <w:bookmarkStart w:id="44" w:name="_Toc905"/>
            <w:bookmarkStart w:id="45" w:name="_Toc28908"/>
            <w:bookmarkStart w:id="46" w:name="_Toc21543"/>
            <w:bookmarkStart w:id="47" w:name="_Toc23257"/>
            <w:bookmarkStart w:id="48" w:name="_Toc23326"/>
            <w:r>
              <w:rPr>
                <w:rFonts w:hint="eastAsia"/>
                <w:lang w:val="en-GB" w:eastAsia="zh-CN"/>
              </w:rPr>
              <w:t>项目风险控制</w:t>
            </w:r>
            <w:bookmarkEnd w:id="44"/>
            <w:bookmarkEnd w:id="45"/>
            <w:bookmarkEnd w:id="46"/>
            <w:bookmarkEnd w:id="47"/>
            <w:bookmarkEnd w:id="48"/>
            <w:r>
              <w:rPr>
                <w:rFonts w:hint="eastAsia"/>
                <w:lang w:eastAsia="zh-CN"/>
              </w:rPr>
              <w:t>。</w:t>
            </w:r>
          </w:p>
          <w:p>
            <w:pPr>
              <w:numPr>
                <w:ilvl w:val="0"/>
                <w:numId w:val="9"/>
              </w:numPr>
              <w:shd w:val="clear"/>
              <w:spacing w:line="288" w:lineRule="auto"/>
              <w:jc w:val="left"/>
              <w:rPr>
                <w:rFonts w:hint="eastAsia" w:ascii="宋体" w:hAnsi="宋体" w:eastAsia="宋体" w:cs="宋体"/>
                <w:sz w:val="21"/>
                <w:szCs w:val="21"/>
                <w:lang w:val="en-US" w:eastAsia="zh-CN"/>
              </w:rPr>
            </w:pPr>
            <w:r>
              <w:rPr>
                <w:rFonts w:hint="eastAsia"/>
                <w:lang w:val="en-US" w:eastAsia="zh-CN"/>
              </w:rPr>
              <w:t>方案包含上述5项内容的，</w:t>
            </w:r>
            <w:r>
              <w:rPr>
                <w:rFonts w:hint="eastAsia" w:ascii="宋体" w:hAnsi="宋体" w:eastAsia="宋体" w:cs="宋体"/>
                <w:color w:val="auto"/>
                <w:kern w:val="0"/>
                <w:sz w:val="21"/>
                <w:szCs w:val="21"/>
                <w:lang w:val="en-US" w:eastAsia="zh-CN" w:bidi="ar"/>
              </w:rPr>
              <w:t>每提供一项得</w:t>
            </w:r>
            <w:r>
              <w:rPr>
                <w:rFonts w:hint="eastAsia" w:ascii="宋体" w:hAnsi="宋体" w:cs="宋体"/>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分，最高得</w:t>
            </w:r>
            <w:r>
              <w:rPr>
                <w:rFonts w:hint="eastAsia" w:ascii="宋体" w:hAnsi="宋体" w:cs="宋体"/>
                <w:color w:val="auto"/>
                <w:kern w:val="0"/>
                <w:sz w:val="21"/>
                <w:szCs w:val="21"/>
                <w:lang w:val="en-US" w:eastAsia="zh-CN" w:bidi="ar"/>
              </w:rPr>
              <w:t>5</w:t>
            </w:r>
            <w:r>
              <w:rPr>
                <w:rFonts w:hint="eastAsia" w:ascii="宋体" w:hAnsi="宋体" w:eastAsia="宋体" w:cs="宋体"/>
                <w:color w:val="auto"/>
                <w:kern w:val="0"/>
                <w:sz w:val="21"/>
                <w:szCs w:val="21"/>
                <w:lang w:val="en-US" w:eastAsia="zh-CN" w:bidi="ar"/>
              </w:rPr>
              <w:t>分</w:t>
            </w:r>
            <w:r>
              <w:rPr>
                <w:rFonts w:hint="eastAsia" w:ascii="宋体" w:hAnsi="宋体" w:cs="宋体"/>
                <w:color w:val="auto"/>
                <w:kern w:val="0"/>
                <w:sz w:val="21"/>
                <w:szCs w:val="21"/>
                <w:lang w:val="en-US" w:eastAsia="zh-CN" w:bidi="ar"/>
              </w:rPr>
              <w:t>。</w:t>
            </w:r>
            <w:r>
              <w:rPr>
                <w:rFonts w:hint="eastAsia" w:ascii="宋体" w:hAnsi="宋体" w:eastAsia="宋体" w:cs="宋体"/>
                <w:sz w:val="21"/>
                <w:szCs w:val="21"/>
                <w:lang w:val="en-US" w:eastAsia="zh-CN"/>
              </w:rPr>
              <w:t>本部分评分内容为客观分，评标委员会成员评分须一致。</w:t>
            </w:r>
          </w:p>
          <w:p>
            <w:pPr>
              <w:rPr>
                <w:rFonts w:hint="eastAsia"/>
                <w:lang w:val="en-US" w:eastAsia="zh-CN"/>
              </w:rPr>
            </w:pPr>
            <w:r>
              <w:rPr>
                <w:rFonts w:hint="eastAsia" w:ascii="宋体" w:hAnsi="宋体" w:cs="宋体"/>
                <w:color w:val="auto"/>
                <w:kern w:val="0"/>
                <w:sz w:val="21"/>
                <w:szCs w:val="21"/>
                <w:lang w:val="en-US" w:eastAsia="zh-CN" w:bidi="ar"/>
              </w:rPr>
              <w:t>2、</w:t>
            </w:r>
            <w:r>
              <w:rPr>
                <w:rFonts w:hint="eastAsia"/>
                <w:lang w:val="en-US" w:eastAsia="zh-CN"/>
              </w:rPr>
              <w:t>在上述基础上对方案的符合性进行评审(满分</w:t>
            </w:r>
            <w:del w:id="55" w:author="胡英文" w:date="2026-08-24T17:12:58Z">
              <w:r>
                <w:rPr>
                  <w:rFonts w:hint="default"/>
                  <w:lang w:val="en-US" w:eastAsia="zh-CN"/>
                </w:rPr>
                <w:delText>5</w:delText>
              </w:r>
            </w:del>
            <w:ins w:id="56" w:author="胡英文" w:date="2026-08-24T17:12:58Z">
              <w:r>
                <w:rPr>
                  <w:rFonts w:hint="eastAsia"/>
                  <w:lang w:val="en-US" w:eastAsia="zh-CN"/>
                </w:rPr>
                <w:t>4</w:t>
              </w:r>
            </w:ins>
            <w:r>
              <w:rPr>
                <w:rFonts w:hint="eastAsia"/>
                <w:lang w:val="en-US" w:eastAsia="zh-CN"/>
              </w:rPr>
              <w:t>分):</w:t>
            </w:r>
          </w:p>
          <w:p>
            <w:pPr>
              <w:rPr>
                <w:rFonts w:hint="eastAsia"/>
                <w:lang w:val="en-US" w:eastAsia="zh-CN"/>
              </w:rPr>
            </w:pPr>
            <w:r>
              <w:rPr>
                <w:rFonts w:hint="eastAsia"/>
                <w:lang w:val="en-US" w:eastAsia="zh-CN"/>
              </w:rPr>
              <w:t>(1)方案制定详细全面，可操作性和规范性强</w:t>
            </w:r>
            <w:del w:id="57" w:author="胡英文" w:date="2026-08-24T17:13:14Z">
              <w:r>
                <w:rPr>
                  <w:rFonts w:hint="default"/>
                  <w:lang w:val="en-US" w:eastAsia="zh-CN"/>
                </w:rPr>
                <w:delText>，完全满足且优于采购需求，</w:delText>
              </w:r>
            </w:del>
            <w:ins w:id="58" w:author="胡英文" w:date="2026-08-24T17:13:18Z">
              <w:r>
                <w:rPr>
                  <w:rFonts w:hint="eastAsia"/>
                  <w:lang w:val="en-US" w:eastAsia="zh-CN"/>
                </w:rPr>
                <w:t>。</w:t>
              </w:r>
            </w:ins>
            <w:r>
              <w:rPr>
                <w:rFonts w:hint="eastAsia"/>
                <w:lang w:val="en-US" w:eastAsia="zh-CN"/>
              </w:rPr>
              <w:t>得</w:t>
            </w:r>
            <w:del w:id="59" w:author="胡英文" w:date="2026-08-24T17:13:02Z">
              <w:r>
                <w:rPr>
                  <w:rFonts w:hint="default"/>
                  <w:lang w:val="en-US" w:eastAsia="zh-CN"/>
                </w:rPr>
                <w:delText>5</w:delText>
              </w:r>
            </w:del>
            <w:ins w:id="60" w:author="胡英文" w:date="2026-08-24T17:13:02Z">
              <w:r>
                <w:rPr>
                  <w:rFonts w:hint="eastAsia"/>
                  <w:lang w:val="en-US" w:eastAsia="zh-CN"/>
                </w:rPr>
                <w:t>4</w:t>
              </w:r>
            </w:ins>
            <w:r>
              <w:rPr>
                <w:rFonts w:hint="eastAsia"/>
                <w:lang w:val="en-US" w:eastAsia="zh-CN"/>
              </w:rPr>
              <w:t>分;</w:t>
            </w:r>
          </w:p>
          <w:p>
            <w:pPr>
              <w:rPr>
                <w:rFonts w:hint="eastAsia"/>
                <w:lang w:val="en-US" w:eastAsia="zh-CN"/>
              </w:rPr>
            </w:pPr>
            <w:r>
              <w:rPr>
                <w:rFonts w:hint="eastAsia"/>
                <w:lang w:val="en-US" w:eastAsia="zh-CN"/>
              </w:rPr>
              <w:t>(2)方案制定较详细，可操作性和规范性较强</w:t>
            </w:r>
            <w:del w:id="61" w:author="胡英文" w:date="2026-08-24T17:13:25Z">
              <w:r>
                <w:rPr>
                  <w:rFonts w:hint="eastAsia"/>
                  <w:lang w:val="en-US" w:eastAsia="zh-CN"/>
                </w:rPr>
                <w:delText>，满足采购需求，</w:delText>
              </w:r>
            </w:del>
            <w:ins w:id="62" w:author="胡英文" w:date="2026-08-24T17:13:25Z">
              <w:r>
                <w:rPr>
                  <w:rFonts w:hint="eastAsia"/>
                  <w:lang w:val="en-US" w:eastAsia="zh-CN"/>
                </w:rPr>
                <w:t>。</w:t>
              </w:r>
            </w:ins>
            <w:r>
              <w:rPr>
                <w:rFonts w:hint="eastAsia"/>
                <w:lang w:val="en-US" w:eastAsia="zh-CN"/>
              </w:rPr>
              <w:t>得</w:t>
            </w:r>
            <w:del w:id="63" w:author="胡英文" w:date="2026-08-24T17:13:05Z">
              <w:r>
                <w:rPr>
                  <w:rFonts w:hint="default"/>
                  <w:lang w:val="en-US" w:eastAsia="zh-CN"/>
                </w:rPr>
                <w:delText>4</w:delText>
              </w:r>
            </w:del>
            <w:ins w:id="64" w:author="胡英文" w:date="2026-08-24T17:13:05Z">
              <w:r>
                <w:rPr>
                  <w:rFonts w:hint="eastAsia"/>
                  <w:lang w:val="en-US" w:eastAsia="zh-CN"/>
                </w:rPr>
                <w:t>3</w:t>
              </w:r>
            </w:ins>
            <w:r>
              <w:rPr>
                <w:rFonts w:hint="eastAsia"/>
                <w:lang w:val="en-US" w:eastAsia="zh-CN"/>
              </w:rPr>
              <w:t>分;</w:t>
            </w:r>
          </w:p>
          <w:p>
            <w:pPr>
              <w:rPr>
                <w:rFonts w:hint="eastAsia"/>
                <w:lang w:val="en-US" w:eastAsia="zh-CN"/>
              </w:rPr>
            </w:pPr>
            <w:r>
              <w:rPr>
                <w:rFonts w:hint="eastAsia"/>
                <w:lang w:val="en-US" w:eastAsia="zh-CN"/>
              </w:rPr>
              <w:t>(3)方案制定一般，可操作性和规范性一般</w:t>
            </w:r>
            <w:del w:id="65" w:author="胡英文" w:date="2026-08-24T17:13:33Z">
              <w:r>
                <w:rPr>
                  <w:rFonts w:hint="eastAsia"/>
                  <w:lang w:val="en-US" w:eastAsia="zh-CN"/>
                </w:rPr>
                <w:delText>，部分满足采购需求，</w:delText>
              </w:r>
            </w:del>
            <w:ins w:id="66" w:author="胡英文" w:date="2026-08-24T17:13:33Z">
              <w:r>
                <w:rPr>
                  <w:rFonts w:hint="eastAsia"/>
                  <w:lang w:val="en-US" w:eastAsia="zh-CN"/>
                </w:rPr>
                <w:t>。</w:t>
              </w:r>
            </w:ins>
            <w:r>
              <w:rPr>
                <w:rFonts w:hint="eastAsia"/>
                <w:lang w:val="en-US" w:eastAsia="zh-CN"/>
              </w:rPr>
              <w:t>得</w:t>
            </w:r>
            <w:del w:id="67" w:author="胡英文" w:date="2026-08-24T17:13:08Z">
              <w:r>
                <w:rPr>
                  <w:rFonts w:hint="default"/>
                  <w:lang w:val="en-US" w:eastAsia="zh-CN"/>
                </w:rPr>
                <w:delText>3</w:delText>
              </w:r>
            </w:del>
            <w:ins w:id="68" w:author="胡英文" w:date="2026-08-24T17:13:08Z">
              <w:r>
                <w:rPr>
                  <w:rFonts w:hint="eastAsia"/>
                  <w:lang w:val="en-US" w:eastAsia="zh-CN"/>
                </w:rPr>
                <w:t>2</w:t>
              </w:r>
            </w:ins>
            <w:r>
              <w:rPr>
                <w:rFonts w:hint="eastAsia"/>
                <w:lang w:val="en-US" w:eastAsia="zh-CN"/>
              </w:rPr>
              <w:t>分;</w:t>
            </w:r>
          </w:p>
          <w:p>
            <w:pPr>
              <w:shd w:val="clear"/>
              <w:spacing w:line="240" w:lineRule="auto"/>
              <w:jc w:val="left"/>
              <w:rPr>
                <w:rFonts w:hint="eastAsia" w:ascii="宋体" w:hAnsi="宋体" w:eastAsia="宋体" w:cs="宋体"/>
                <w:color w:val="auto"/>
                <w:kern w:val="0"/>
                <w:sz w:val="21"/>
                <w:szCs w:val="21"/>
                <w:lang w:val="en-US" w:eastAsia="zh-CN" w:bidi="ar"/>
              </w:rPr>
            </w:pPr>
            <w:r>
              <w:rPr>
                <w:rFonts w:hint="default"/>
                <w:lang w:val="en-US" w:eastAsia="zh-CN"/>
              </w:rPr>
              <w:t>(4)方案制定不详细，可操作性和规范性差</w:t>
            </w:r>
            <w:del w:id="69" w:author="胡英文" w:date="2026-08-24T17:13:40Z">
              <w:r>
                <w:rPr>
                  <w:rFonts w:hint="default"/>
                  <w:lang w:val="en-US" w:eastAsia="zh-CN"/>
                </w:rPr>
                <w:delText>，无法满足采购需求，</w:delText>
              </w:r>
            </w:del>
            <w:ins w:id="70" w:author="胡英文" w:date="2026-08-24T17:13:40Z">
              <w:r>
                <w:rPr>
                  <w:rFonts w:hint="eastAsia"/>
                  <w:lang w:val="en-US" w:eastAsia="zh-CN"/>
                </w:rPr>
                <w:t>。</w:t>
              </w:r>
            </w:ins>
            <w:bookmarkStart w:id="49" w:name="_GoBack"/>
            <w:bookmarkEnd w:id="49"/>
            <w:r>
              <w:rPr>
                <w:rFonts w:hint="default"/>
                <w:lang w:val="en-US" w:eastAsia="zh-CN"/>
              </w:rPr>
              <w:t>得1分</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i w:val="0"/>
                <w:iCs w:val="0"/>
                <w:color w:val="auto"/>
                <w:kern w:val="2"/>
                <w:sz w:val="21"/>
                <w:szCs w:val="21"/>
                <w:u w:val="none"/>
                <w:lang w:val="en-US" w:eastAsia="zh-CN" w:bidi="ar-SA"/>
              </w:rPr>
            </w:pPr>
            <w:del w:id="71" w:author="胡英文" w:date="2026-08-24T17:12:55Z">
              <w:r>
                <w:rPr>
                  <w:rFonts w:hint="default" w:ascii="宋体" w:hAnsi="宋体" w:eastAsia="宋体" w:cs="宋体"/>
                  <w:i w:val="0"/>
                  <w:iCs w:val="0"/>
                  <w:color w:val="auto"/>
                  <w:kern w:val="0"/>
                  <w:sz w:val="21"/>
                  <w:szCs w:val="21"/>
                  <w:u w:val="none"/>
                  <w:lang w:val="en-US" w:eastAsia="zh-CN" w:bidi="ar"/>
                </w:rPr>
                <w:delText>10</w:delText>
              </w:r>
            </w:del>
            <w:ins w:id="72" w:author="胡英文" w:date="2026-08-24T17:12:55Z">
              <w:r>
                <w:rPr>
                  <w:rFonts w:hint="eastAsia" w:ascii="宋体" w:hAnsi="宋体" w:cs="宋体"/>
                  <w:i w:val="0"/>
                  <w:iCs w:val="0"/>
                  <w:color w:val="auto"/>
                  <w:kern w:val="0"/>
                  <w:sz w:val="21"/>
                  <w:szCs w:val="21"/>
                  <w:u w:val="none"/>
                  <w:lang w:val="en-US" w:eastAsia="zh-CN" w:bidi="ar"/>
                </w:rPr>
                <w:t>9</w:t>
              </w:r>
            </w:ins>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w:t>
            </w:r>
          </w:p>
        </w:tc>
        <w:tc>
          <w:tcPr>
            <w:tcW w:w="541" w:type="pct"/>
            <w:vMerge w:val="continue"/>
            <w:tcBorders>
              <w:left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应急处置方案</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288" w:lineRule="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根据投标人</w:t>
            </w:r>
            <w:r>
              <w:rPr>
                <w:rFonts w:hint="eastAsia" w:ascii="宋体" w:hAnsi="宋体" w:eastAsia="宋体" w:cs="宋体"/>
                <w:color w:val="auto"/>
                <w:kern w:val="0"/>
                <w:sz w:val="21"/>
                <w:szCs w:val="21"/>
                <w:lang w:bidi="ar"/>
              </w:rPr>
              <w:t>应急处置方案</w:t>
            </w:r>
            <w:r>
              <w:rPr>
                <w:rFonts w:hint="eastAsia" w:ascii="宋体" w:hAnsi="宋体" w:eastAsia="宋体" w:cs="宋体"/>
                <w:color w:val="auto"/>
                <w:kern w:val="0"/>
                <w:sz w:val="21"/>
                <w:szCs w:val="21"/>
                <w:lang w:val="en-US" w:eastAsia="zh-CN" w:bidi="ar"/>
              </w:rPr>
              <w:t>进行进行评审，包括以下内容：①应急事件理解</w:t>
            </w:r>
            <w:r>
              <w:rPr>
                <w:rFonts w:hint="eastAsia" w:ascii="宋体" w:hAnsi="宋体" w:eastAsia="宋体" w:cs="宋体"/>
                <w:color w:val="auto"/>
                <w:kern w:val="0"/>
                <w:sz w:val="21"/>
                <w:szCs w:val="21"/>
                <w:lang w:eastAsia="zh-CN" w:bidi="ar"/>
              </w:rPr>
              <w:t>；</w:t>
            </w:r>
            <w:r>
              <w:rPr>
                <w:rFonts w:hint="eastAsia" w:ascii="宋体" w:hAnsi="宋体" w:eastAsia="宋体" w:cs="宋体"/>
                <w:color w:val="auto"/>
                <w:kern w:val="0"/>
                <w:sz w:val="21"/>
                <w:szCs w:val="21"/>
                <w:lang w:val="en-US" w:eastAsia="zh-CN" w:bidi="ar"/>
              </w:rPr>
              <w:t>②</w:t>
            </w:r>
            <w:r>
              <w:rPr>
                <w:rFonts w:hint="eastAsia" w:ascii="宋体" w:hAnsi="宋体" w:eastAsia="宋体" w:cs="宋体"/>
                <w:color w:val="auto"/>
                <w:kern w:val="0"/>
                <w:sz w:val="21"/>
                <w:szCs w:val="21"/>
                <w:lang w:eastAsia="zh-CN" w:bidi="ar"/>
              </w:rPr>
              <w:t>应急响应内容；</w:t>
            </w:r>
            <w:r>
              <w:rPr>
                <w:rFonts w:hint="eastAsia" w:ascii="宋体" w:hAnsi="宋体" w:eastAsia="宋体" w:cs="宋体"/>
                <w:color w:val="auto"/>
                <w:kern w:val="0"/>
                <w:sz w:val="21"/>
                <w:szCs w:val="21"/>
                <w:lang w:val="en-US" w:eastAsia="zh-CN" w:bidi="ar"/>
              </w:rPr>
              <w:t>③</w:t>
            </w:r>
            <w:r>
              <w:rPr>
                <w:rFonts w:hint="eastAsia" w:ascii="宋体" w:hAnsi="宋体" w:eastAsia="宋体" w:cs="宋体"/>
                <w:color w:val="auto"/>
                <w:kern w:val="0"/>
                <w:sz w:val="21"/>
                <w:szCs w:val="21"/>
                <w:lang w:eastAsia="zh-CN" w:bidi="ar"/>
              </w:rPr>
              <w:t>应急机制；</w:t>
            </w:r>
            <w:r>
              <w:rPr>
                <w:rFonts w:hint="eastAsia" w:ascii="宋体" w:hAnsi="宋体" w:eastAsia="宋体" w:cs="宋体"/>
                <w:color w:val="auto"/>
                <w:kern w:val="0"/>
                <w:sz w:val="21"/>
                <w:szCs w:val="21"/>
                <w:lang w:val="en-US" w:eastAsia="zh-CN" w:bidi="ar"/>
              </w:rPr>
              <w:t>④</w:t>
            </w:r>
            <w:r>
              <w:rPr>
                <w:rFonts w:hint="eastAsia" w:ascii="宋体" w:hAnsi="宋体" w:eastAsia="宋体" w:cs="宋体"/>
                <w:color w:val="auto"/>
                <w:kern w:val="0"/>
                <w:sz w:val="21"/>
                <w:szCs w:val="21"/>
                <w:lang w:eastAsia="zh-CN" w:bidi="ar"/>
              </w:rPr>
              <w:t>应急</w:t>
            </w:r>
            <w:r>
              <w:rPr>
                <w:rFonts w:hint="eastAsia" w:ascii="宋体" w:hAnsi="宋体" w:eastAsia="宋体" w:cs="宋体"/>
                <w:color w:val="auto"/>
                <w:kern w:val="0"/>
                <w:sz w:val="21"/>
                <w:szCs w:val="21"/>
                <w:lang w:val="en-US" w:eastAsia="zh-CN" w:bidi="ar"/>
              </w:rPr>
              <w:t>方案</w:t>
            </w:r>
            <w:r>
              <w:rPr>
                <w:rFonts w:hint="eastAsia" w:ascii="宋体" w:hAnsi="宋体" w:cs="宋体"/>
                <w:color w:val="auto"/>
                <w:kern w:val="0"/>
                <w:sz w:val="21"/>
                <w:szCs w:val="21"/>
                <w:lang w:val="en-US" w:eastAsia="zh-CN" w:bidi="ar"/>
              </w:rPr>
              <w:t>。</w:t>
            </w:r>
          </w:p>
          <w:p>
            <w:pPr>
              <w:shd w:val="clear"/>
              <w:spacing w:line="288" w:lineRule="auto"/>
              <w:jc w:val="both"/>
              <w:rPr>
                <w:rFonts w:hint="eastAsia" w:ascii="宋体" w:hAnsi="宋体" w:eastAsia="宋体" w:cs="宋体"/>
                <w:color w:val="auto"/>
                <w:kern w:val="0"/>
                <w:sz w:val="21"/>
                <w:szCs w:val="21"/>
                <w:lang w:val="en-US" w:eastAsia="zh-CN" w:bidi="ar"/>
              </w:rPr>
            </w:pPr>
            <w:r>
              <w:rPr>
                <w:rFonts w:hint="eastAsia"/>
                <w:lang w:val="en-US" w:eastAsia="zh-CN"/>
              </w:rPr>
              <w:t>方案包含上述4项内容的，</w:t>
            </w:r>
            <w:r>
              <w:rPr>
                <w:rFonts w:hint="eastAsia" w:ascii="宋体" w:hAnsi="宋体" w:eastAsia="宋体" w:cs="宋体"/>
                <w:color w:val="auto"/>
                <w:kern w:val="0"/>
                <w:sz w:val="21"/>
                <w:szCs w:val="21"/>
                <w:lang w:val="en-US" w:eastAsia="zh-CN" w:bidi="ar"/>
              </w:rPr>
              <w:t>每提供一项得1分，最高得</w:t>
            </w: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val="en-US" w:eastAsia="zh-CN" w:bidi="ar"/>
              </w:rPr>
              <w:t>分</w:t>
            </w:r>
            <w:r>
              <w:rPr>
                <w:rFonts w:hint="eastAsia" w:ascii="宋体" w:hAnsi="宋体" w:cs="宋体"/>
                <w:color w:val="auto"/>
                <w:kern w:val="0"/>
                <w:sz w:val="21"/>
                <w:szCs w:val="21"/>
                <w:lang w:val="en-US" w:eastAsia="zh-CN" w:bidi="ar"/>
              </w:rPr>
              <w:t>，</w:t>
            </w:r>
            <w:r>
              <w:rPr>
                <w:rFonts w:hint="eastAsia" w:ascii="宋体" w:hAnsi="宋体" w:eastAsia="宋体" w:cs="宋体"/>
                <w:sz w:val="21"/>
                <w:szCs w:val="21"/>
                <w:lang w:val="en-US" w:eastAsia="zh-CN"/>
              </w:rPr>
              <w:t>本部分评分内容为客观分，评标委员会成员评分须一致。</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w:t>
            </w:r>
          </w:p>
        </w:tc>
        <w:tc>
          <w:tcPr>
            <w:tcW w:w="541" w:type="pct"/>
            <w:vMerge w:val="continue"/>
            <w:tcBorders>
              <w:left w:val="single" w:color="000000" w:sz="4" w:space="0"/>
              <w:bottom w:val="single" w:color="000000" w:sz="4" w:space="0"/>
              <w:right w:val="single" w:color="000000" w:sz="4" w:space="0"/>
            </w:tcBorders>
            <w:shd w:val="clear" w:color="auto" w:fill="auto"/>
            <w:vAlign w:val="center"/>
          </w:tcPr>
          <w:p>
            <w:pPr>
              <w:shd w:val="clear"/>
              <w:spacing w:line="288" w:lineRule="auto"/>
              <w:jc w:val="both"/>
              <w:rPr>
                <w:rFonts w:hint="eastAsia" w:ascii="宋体" w:hAnsi="宋体" w:eastAsia="宋体" w:cs="宋体"/>
                <w:color w:val="auto"/>
                <w:kern w:val="0"/>
                <w:sz w:val="21"/>
                <w:szCs w:val="21"/>
                <w:lang w:val="en-US" w:eastAsia="zh-CN" w:bidi="ar"/>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88" w:lineRule="auto"/>
              <w:jc w:val="center"/>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eastAsia="zh-CN" w:bidi="ar"/>
              </w:rPr>
              <w:t>售后服务方案</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bottom"/>
          </w:tcPr>
          <w:p>
            <w:pPr>
              <w:pStyle w:val="2"/>
              <w:numPr>
                <w:ilvl w:val="0"/>
                <w:numId w:val="0"/>
              </w:numPr>
              <w:spacing w:line="288" w:lineRule="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根据投标人</w:t>
            </w:r>
            <w:r>
              <w:rPr>
                <w:rFonts w:hint="eastAsia" w:ascii="宋体" w:hAnsi="宋体" w:cs="宋体"/>
                <w:color w:val="auto"/>
                <w:kern w:val="0"/>
                <w:sz w:val="21"/>
                <w:szCs w:val="21"/>
                <w:lang w:eastAsia="zh-CN" w:bidi="ar"/>
              </w:rPr>
              <w:t>售后服务方案</w:t>
            </w:r>
            <w:r>
              <w:rPr>
                <w:rFonts w:hint="eastAsia" w:ascii="宋体" w:hAnsi="宋体" w:eastAsia="宋体" w:cs="宋体"/>
                <w:color w:val="auto"/>
                <w:kern w:val="0"/>
                <w:sz w:val="21"/>
                <w:szCs w:val="21"/>
                <w:lang w:val="en-US" w:eastAsia="zh-CN" w:bidi="ar"/>
              </w:rPr>
              <w:t>进行进行评审，包括以下内容：①</w:t>
            </w:r>
            <w:r>
              <w:rPr>
                <w:rFonts w:hint="eastAsia" w:ascii="宋体" w:hAnsi="宋体" w:cs="宋体"/>
                <w:color w:val="auto"/>
                <w:kern w:val="0"/>
                <w:sz w:val="21"/>
                <w:szCs w:val="21"/>
                <w:lang w:eastAsia="zh-CN" w:bidi="ar"/>
              </w:rPr>
              <w:t>售后</w:t>
            </w:r>
            <w:r>
              <w:rPr>
                <w:rFonts w:hint="eastAsia"/>
                <w:lang w:eastAsia="zh-CN"/>
              </w:rPr>
              <w:t>服务范围</w:t>
            </w:r>
            <w:r>
              <w:rPr>
                <w:rFonts w:hint="eastAsia" w:ascii="宋体" w:hAnsi="宋体" w:eastAsia="宋体" w:cs="宋体"/>
                <w:color w:val="auto"/>
                <w:kern w:val="0"/>
                <w:sz w:val="21"/>
                <w:szCs w:val="21"/>
                <w:lang w:val="en-US" w:eastAsia="zh-CN" w:bidi="ar"/>
              </w:rPr>
              <w:t>；</w:t>
            </w:r>
            <w:r>
              <w:rPr>
                <w:rFonts w:hint="eastAsia"/>
                <w:lang w:val="en-US" w:eastAsia="zh-CN"/>
              </w:rPr>
              <w:t>②</w:t>
            </w:r>
            <w:r>
              <w:rPr>
                <w:rFonts w:hint="eastAsia" w:ascii="宋体" w:hAnsi="宋体" w:cs="宋体"/>
                <w:color w:val="auto"/>
                <w:kern w:val="0"/>
                <w:sz w:val="21"/>
                <w:szCs w:val="21"/>
                <w:lang w:eastAsia="zh-CN" w:bidi="ar"/>
              </w:rPr>
              <w:t>售后</w:t>
            </w:r>
            <w:r>
              <w:rPr>
                <w:rFonts w:hint="eastAsia"/>
                <w:lang w:eastAsia="zh-CN"/>
              </w:rPr>
              <w:t>服务方式</w:t>
            </w:r>
            <w:r>
              <w:rPr>
                <w:rFonts w:hint="eastAsia" w:ascii="宋体" w:hAnsi="宋体" w:eastAsia="宋体" w:cs="宋体"/>
                <w:color w:val="auto"/>
                <w:kern w:val="0"/>
                <w:sz w:val="21"/>
                <w:szCs w:val="21"/>
                <w:lang w:val="en-US" w:eastAsia="zh-CN" w:bidi="ar"/>
              </w:rPr>
              <w:t>；</w:t>
            </w:r>
            <w:r>
              <w:rPr>
                <w:rFonts w:hint="eastAsia"/>
                <w:lang w:val="en-US" w:eastAsia="zh-CN"/>
              </w:rPr>
              <w:t>③</w:t>
            </w:r>
            <w:r>
              <w:rPr>
                <w:rFonts w:hint="eastAsia" w:ascii="宋体" w:hAnsi="宋体" w:cs="宋体"/>
                <w:color w:val="auto"/>
                <w:kern w:val="0"/>
                <w:sz w:val="21"/>
                <w:szCs w:val="21"/>
                <w:lang w:eastAsia="zh-CN" w:bidi="ar"/>
              </w:rPr>
              <w:t>售后</w:t>
            </w:r>
            <w:r>
              <w:rPr>
                <w:rFonts w:hint="eastAsia"/>
                <w:lang w:eastAsia="zh-CN"/>
              </w:rPr>
              <w:t>服务级别</w:t>
            </w:r>
            <w:r>
              <w:rPr>
                <w:rFonts w:hint="eastAsia" w:ascii="宋体" w:hAnsi="宋体" w:eastAsia="宋体" w:cs="宋体"/>
                <w:color w:val="auto"/>
                <w:kern w:val="0"/>
                <w:sz w:val="21"/>
                <w:szCs w:val="21"/>
                <w:lang w:val="en-US" w:eastAsia="zh-CN" w:bidi="ar"/>
              </w:rPr>
              <w:t>；</w:t>
            </w:r>
            <w:r>
              <w:rPr>
                <w:rFonts w:hint="eastAsia"/>
                <w:lang w:val="en-US" w:eastAsia="zh-CN"/>
              </w:rPr>
              <w:t>④</w:t>
            </w:r>
            <w:r>
              <w:rPr>
                <w:rFonts w:hint="eastAsia" w:ascii="宋体" w:hAnsi="宋体" w:cs="宋体"/>
                <w:color w:val="auto"/>
                <w:kern w:val="0"/>
                <w:sz w:val="21"/>
                <w:szCs w:val="21"/>
                <w:lang w:eastAsia="zh-CN" w:bidi="ar"/>
              </w:rPr>
              <w:t>售后</w:t>
            </w:r>
            <w:r>
              <w:rPr>
                <w:rFonts w:hint="eastAsia"/>
                <w:lang w:eastAsia="zh-CN"/>
              </w:rPr>
              <w:t>服务周期管理（</w:t>
            </w:r>
            <w:r>
              <w:rPr>
                <w:rFonts w:hint="eastAsia"/>
                <w:lang w:val="en-US" w:eastAsia="zh-CN"/>
              </w:rPr>
              <w:t>投标人必须提供承诺函，承诺提供一年免费运营</w:t>
            </w:r>
            <w:r>
              <w:rPr>
                <w:rFonts w:hint="eastAsia"/>
                <w:lang w:eastAsia="zh-CN"/>
              </w:rPr>
              <w:t>）。</w:t>
            </w:r>
          </w:p>
          <w:p>
            <w:pPr>
              <w:pStyle w:val="2"/>
              <w:numPr>
                <w:ilvl w:val="0"/>
                <w:numId w:val="0"/>
              </w:numPr>
              <w:shd w:val="clear"/>
              <w:spacing w:line="288" w:lineRule="auto"/>
              <w:jc w:val="both"/>
              <w:rPr>
                <w:rFonts w:hint="eastAsia" w:ascii="宋体" w:hAnsi="宋体" w:eastAsia="宋体" w:cs="宋体"/>
                <w:color w:val="auto"/>
                <w:kern w:val="0"/>
                <w:sz w:val="21"/>
                <w:szCs w:val="21"/>
                <w:lang w:val="en-US" w:eastAsia="zh-CN" w:bidi="ar"/>
              </w:rPr>
            </w:pPr>
            <w:r>
              <w:rPr>
                <w:rFonts w:hint="eastAsia"/>
                <w:lang w:val="en-US" w:eastAsia="zh-CN"/>
              </w:rPr>
              <w:t>方案包含上述4项内容的，</w:t>
            </w:r>
            <w:r>
              <w:rPr>
                <w:rFonts w:hint="eastAsia" w:ascii="宋体" w:hAnsi="宋体" w:eastAsia="宋体" w:cs="宋体"/>
                <w:color w:val="auto"/>
                <w:kern w:val="0"/>
                <w:sz w:val="21"/>
                <w:szCs w:val="21"/>
                <w:lang w:val="en-US" w:eastAsia="zh-CN" w:bidi="ar"/>
              </w:rPr>
              <w:t>每提供一项得</w:t>
            </w:r>
            <w:r>
              <w:rPr>
                <w:rFonts w:hint="eastAsia" w:ascii="宋体" w:hAnsi="宋体" w:cs="宋体"/>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分，最高得</w:t>
            </w: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val="en-US" w:eastAsia="zh-CN" w:bidi="ar"/>
              </w:rPr>
              <w:t>分</w:t>
            </w:r>
            <w:r>
              <w:rPr>
                <w:rFonts w:hint="eastAsia"/>
                <w:lang w:val="en-US" w:eastAsia="zh-CN"/>
              </w:rPr>
              <w:t>。</w:t>
            </w:r>
            <w:r>
              <w:rPr>
                <w:rFonts w:hint="eastAsia" w:ascii="宋体" w:hAnsi="宋体" w:eastAsia="宋体" w:cs="宋体"/>
                <w:sz w:val="21"/>
                <w:szCs w:val="21"/>
                <w:lang w:val="en-US" w:eastAsia="zh-CN"/>
              </w:rPr>
              <w:t>本部分评分内容为客观分，评标委员会成员评分须一致。</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8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36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合计</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100</w:t>
            </w:r>
          </w:p>
        </w:tc>
      </w:tr>
    </w:tbl>
    <w:p>
      <w:pPr>
        <w:shd w:val="clear"/>
        <w:rPr>
          <w:rFonts w:hint="default"/>
          <w:color w:val="auto"/>
          <w:lang w:val="en-US" w:eastAsia="zh-CN"/>
        </w:rPr>
      </w:pPr>
    </w:p>
    <w:p>
      <w:pPr>
        <w:pStyle w:val="30"/>
        <w:rPr>
          <w:rFonts w:hint="eastAsia"/>
          <w:lang w:eastAsia="zh-CN"/>
        </w:rPr>
      </w:pPr>
    </w:p>
    <w:bookmarkEnd w:id="1"/>
    <w:p>
      <w:pPr>
        <w:rPr>
          <w:rFonts w:hint="default" w:eastAsia="宋体"/>
          <w:lang w:val="en-US" w:eastAsia="zh-CN"/>
        </w:rPr>
      </w:pPr>
    </w:p>
    <w:p>
      <w:pPr>
        <w:pStyle w:val="19"/>
        <w:rPr>
          <w:rFonts w:hint="default"/>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4D"/>
    <w:family w:val="auto"/>
    <w:pitch w:val="default"/>
    <w:sig w:usb0="00000000" w:usb1="00000000" w:usb2="00000009" w:usb3="00000000" w:csb0="400001FF" w:csb1="FFFF0000"/>
  </w:font>
  <w:font w:name="宋体">
    <w:altName w:val="方正书宋_GBK"/>
    <w:panose1 w:val="02010600030101010101"/>
    <w:charset w:val="34"/>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Tahoma">
    <w:altName w:val="DejaVu Sans"/>
    <w:panose1 w:val="020B0604030504040204"/>
    <w:charset w:val="00"/>
    <w:family w:val="swiss"/>
    <w:pitch w:val="default"/>
    <w:sig w:usb0="00000000" w:usb1="00000000"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Calibri Light">
    <w:altName w:val="DejaVu Sans"/>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文泉驿微米黑">
    <w:panose1 w:val="020B0606030804020204"/>
    <w:charset w:val="86"/>
    <w:family w:val="auto"/>
    <w:pitch w:val="default"/>
    <w:sig w:usb0="E10002EF" w:usb1="6BDFFCFB" w:usb2="00800036" w:usb3="00000000" w:csb0="603E019F" w:csb1="DFD7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36EC28"/>
    <w:multiLevelType w:val="singleLevel"/>
    <w:tmpl w:val="8836EC28"/>
    <w:lvl w:ilvl="0" w:tentative="0">
      <w:start w:val="1"/>
      <w:numFmt w:val="decimal"/>
      <w:lvlText w:val="%1)"/>
      <w:lvlJc w:val="left"/>
      <w:pPr>
        <w:ind w:left="425" w:hanging="425"/>
      </w:pPr>
      <w:rPr>
        <w:rFonts w:hint="default"/>
      </w:rPr>
    </w:lvl>
  </w:abstractNum>
  <w:abstractNum w:abstractNumId="1">
    <w:nsid w:val="9534D49E"/>
    <w:multiLevelType w:val="singleLevel"/>
    <w:tmpl w:val="9534D49E"/>
    <w:lvl w:ilvl="0" w:tentative="0">
      <w:start w:val="1"/>
      <w:numFmt w:val="decimal"/>
      <w:lvlText w:val="%1)"/>
      <w:lvlJc w:val="left"/>
      <w:pPr>
        <w:ind w:left="425" w:hanging="425"/>
      </w:pPr>
      <w:rPr>
        <w:rFonts w:hint="default"/>
      </w:rPr>
    </w:lvl>
  </w:abstractNum>
  <w:abstractNum w:abstractNumId="2">
    <w:nsid w:val="BC1A5918"/>
    <w:multiLevelType w:val="singleLevel"/>
    <w:tmpl w:val="BC1A5918"/>
    <w:lvl w:ilvl="0" w:tentative="0">
      <w:start w:val="1"/>
      <w:numFmt w:val="decimal"/>
      <w:suff w:val="nothing"/>
      <w:lvlText w:val="%1．"/>
      <w:lvlJc w:val="left"/>
      <w:pPr>
        <w:ind w:left="0" w:firstLine="400"/>
      </w:pPr>
      <w:rPr>
        <w:rFonts w:hint="default"/>
      </w:rPr>
    </w:lvl>
  </w:abstractNum>
  <w:abstractNum w:abstractNumId="3">
    <w:nsid w:val="DC4648C8"/>
    <w:multiLevelType w:val="singleLevel"/>
    <w:tmpl w:val="DC4648C8"/>
    <w:lvl w:ilvl="0" w:tentative="0">
      <w:start w:val="1"/>
      <w:numFmt w:val="decimal"/>
      <w:suff w:val="nothing"/>
      <w:lvlText w:val="%1、"/>
      <w:lvlJc w:val="left"/>
    </w:lvl>
  </w:abstractNum>
  <w:abstractNum w:abstractNumId="4">
    <w:nsid w:val="E240A09F"/>
    <w:multiLevelType w:val="multilevel"/>
    <w:tmpl w:val="E240A09F"/>
    <w:lvl w:ilvl="0" w:tentative="0">
      <w:start w:val="1"/>
      <w:numFmt w:val="chineseCountingThousand"/>
      <w:pStyle w:val="37"/>
      <w:lvlText w:val="第%1章"/>
      <w:lvlJc w:val="left"/>
      <w:pPr>
        <w:tabs>
          <w:tab w:val="left" w:pos="432"/>
        </w:tabs>
        <w:ind w:left="432" w:hanging="432"/>
      </w:pPr>
      <w:rPr>
        <w:rFonts w:hint="eastAsia" w:eastAsia="黑体"/>
        <w:b/>
        <w:i w:val="0"/>
        <w:sz w:val="32"/>
        <w:szCs w:val="32"/>
        <w:lang w:val="en-US"/>
      </w:rPr>
    </w:lvl>
    <w:lvl w:ilvl="1" w:tentative="0">
      <w:start w:val="1"/>
      <w:numFmt w:val="decimal"/>
      <w:isLgl/>
      <w:lvlText w:val="%1.%2"/>
      <w:lvlJc w:val="left"/>
      <w:pPr>
        <w:tabs>
          <w:tab w:val="left" w:pos="576"/>
        </w:tabs>
        <w:ind w:left="576" w:hanging="576"/>
      </w:pPr>
      <w:rPr>
        <w:rFonts w:hint="eastAsia" w:ascii="Times New Roman" w:hAnsi="Times New Roman" w:eastAsia="黑体" w:cs="Times New Roman"/>
        <w:b/>
        <w:i w:val="0"/>
        <w:sz w:val="30"/>
        <w:szCs w:val="30"/>
      </w:rPr>
    </w:lvl>
    <w:lvl w:ilvl="2" w:tentative="0">
      <w:start w:val="1"/>
      <w:numFmt w:val="decimal"/>
      <w:isLgl/>
      <w:lvlText w:val="%1.%2.%3"/>
      <w:lvlJc w:val="left"/>
      <w:pPr>
        <w:tabs>
          <w:tab w:val="left" w:pos="720"/>
        </w:tabs>
        <w:ind w:left="720" w:hanging="720"/>
      </w:pPr>
      <w:rPr>
        <w:rFonts w:hint="eastAsia" w:ascii="Times New Roman" w:hAnsi="Times New Roman" w:cs="Times New Roman"/>
        <w:sz w:val="28"/>
        <w:szCs w:val="28"/>
      </w:rPr>
    </w:lvl>
    <w:lvl w:ilvl="3" w:tentative="0">
      <w:start w:val="1"/>
      <w:numFmt w:val="decimal"/>
      <w:isLgl/>
      <w:lvlText w:val="%1.%2.%3.%4"/>
      <w:lvlJc w:val="left"/>
      <w:pPr>
        <w:tabs>
          <w:tab w:val="left" w:pos="864"/>
        </w:tabs>
        <w:ind w:left="864" w:hanging="864"/>
      </w:pPr>
      <w:rPr>
        <w:rFonts w:hint="eastAsia" w:ascii="Times New Roman" w:hAnsi="Times New Roman" w:cs="Times New Roman"/>
        <w:sz w:val="24"/>
        <w:szCs w:val="24"/>
      </w:rPr>
    </w:lvl>
    <w:lvl w:ilvl="4" w:tentative="0">
      <w:start w:val="1"/>
      <w:numFmt w:val="decimal"/>
      <w:isLgl/>
      <w:lvlText w:val="%1.%2.%3.%4.%5"/>
      <w:lvlJc w:val="left"/>
      <w:pPr>
        <w:tabs>
          <w:tab w:val="left" w:pos="1008"/>
        </w:tabs>
        <w:ind w:left="1008" w:hanging="1008"/>
      </w:pPr>
      <w:rPr>
        <w:rFonts w:hint="eastAsia" w:ascii="Times New Roman" w:hAnsi="Times New Roman" w:cs="Times New Roman"/>
      </w:rPr>
    </w:lvl>
    <w:lvl w:ilvl="5" w:tentative="0">
      <w:start w:val="1"/>
      <w:numFmt w:val="decimal"/>
      <w:isLgl/>
      <w:lvlText w:val="%1.%2.%3.%4.%5.%6"/>
      <w:lvlJc w:val="left"/>
      <w:pPr>
        <w:tabs>
          <w:tab w:val="left" w:pos="1152"/>
        </w:tabs>
        <w:ind w:left="1152" w:hanging="1152"/>
      </w:pPr>
      <w:rPr>
        <w:rFonts w:hint="eastAsia" w:ascii="Times New Roman" w:hAnsi="Times New Roman" w:cs="Times New Roman"/>
      </w:rPr>
    </w:lvl>
    <w:lvl w:ilvl="6" w:tentative="0">
      <w:start w:val="1"/>
      <w:numFmt w:val="decimal"/>
      <w:isLgl/>
      <w:lvlText w:val="%1.%2.%3.%4.%5.%6.%7"/>
      <w:lvlJc w:val="left"/>
      <w:pPr>
        <w:tabs>
          <w:tab w:val="left" w:pos="1296"/>
        </w:tabs>
        <w:ind w:left="1296" w:hanging="1296"/>
      </w:pPr>
      <w:rPr>
        <w:rFonts w:hint="eastAsia"/>
      </w:rPr>
    </w:lvl>
    <w:lvl w:ilvl="7" w:tentative="0">
      <w:start w:val="1"/>
      <w:numFmt w:val="decimal"/>
      <w:isLgl/>
      <w:lvlText w:val="%1.%2.%3.%4.%5.%6.%7.%8"/>
      <w:lvlJc w:val="left"/>
      <w:pPr>
        <w:tabs>
          <w:tab w:val="left" w:pos="1440"/>
        </w:tabs>
        <w:ind w:left="1440" w:hanging="1440"/>
      </w:pPr>
      <w:rPr>
        <w:rFonts w:hint="eastAsia"/>
      </w:rPr>
    </w:lvl>
    <w:lvl w:ilvl="8" w:tentative="0">
      <w:start w:val="1"/>
      <w:numFmt w:val="decimal"/>
      <w:isLgl/>
      <w:lvlText w:val="%1.%2.%3.%4.%5.%6.%7.%8.%9"/>
      <w:lvlJc w:val="left"/>
      <w:pPr>
        <w:tabs>
          <w:tab w:val="left" w:pos="1584"/>
        </w:tabs>
        <w:ind w:left="1584" w:hanging="1584"/>
      </w:pPr>
      <w:rPr>
        <w:rFonts w:hint="eastAsia"/>
      </w:rPr>
    </w:lvl>
  </w:abstractNum>
  <w:abstractNum w:abstractNumId="5">
    <w:nsid w:val="F5554800"/>
    <w:multiLevelType w:val="multilevel"/>
    <w:tmpl w:val="F5554800"/>
    <w:lvl w:ilvl="0" w:tentative="0">
      <w:start w:val="1"/>
      <w:numFmt w:val="chineseCounting"/>
      <w:lvlText w:val="第%1章 "/>
      <w:lvlJc w:val="left"/>
      <w:pPr>
        <w:ind w:left="0" w:firstLine="0"/>
      </w:pPr>
      <w:rPr>
        <w:rFonts w:hint="eastAsia" w:ascii="宋体" w:hAnsi="宋体" w:eastAsia="宋体" w:cs="宋体"/>
        <w:b/>
        <w:sz w:val="32"/>
      </w:rPr>
    </w:lvl>
    <w:lvl w:ilvl="1" w:tentative="0">
      <w:start w:val="1"/>
      <w:numFmt w:val="decimal"/>
      <w:isLgl/>
      <w:lvlText w:val="%1.%2"/>
      <w:lvlJc w:val="left"/>
      <w:pPr>
        <w:ind w:left="0" w:firstLine="0"/>
      </w:pPr>
      <w:rPr>
        <w:rFonts w:hint="eastAsia" w:ascii="宋体" w:hAnsi="宋体" w:eastAsia="宋体" w:cs="宋体"/>
        <w:b/>
        <w:sz w:val="28"/>
      </w:rPr>
    </w:lvl>
    <w:lvl w:ilvl="2" w:tentative="0">
      <w:start w:val="1"/>
      <w:numFmt w:val="decimal"/>
      <w:isLgl/>
      <w:lvlText w:val="%1.%2.%3 "/>
      <w:lvlJc w:val="left"/>
      <w:pPr>
        <w:ind w:left="0" w:firstLine="0"/>
      </w:pPr>
      <w:rPr>
        <w:rFonts w:hint="eastAsia" w:ascii="宋体" w:hAnsi="宋体" w:eastAsia="宋体" w:cs="宋体"/>
        <w:sz w:val="24"/>
      </w:rPr>
    </w:lvl>
    <w:lvl w:ilvl="3" w:tentative="0">
      <w:start w:val="1"/>
      <w:numFmt w:val="decimal"/>
      <w:isLgl/>
      <w:lvlText w:val="%1.%2.%3.%4 "/>
      <w:lvlJc w:val="left"/>
      <w:pPr>
        <w:ind w:left="0" w:firstLine="0"/>
      </w:pPr>
      <w:rPr>
        <w:rFonts w:hint="eastAsia" w:ascii="宋体" w:hAnsi="宋体" w:eastAsia="宋体" w:cs="宋体"/>
        <w:sz w:val="24"/>
      </w:rPr>
    </w:lvl>
    <w:lvl w:ilvl="4" w:tentative="0">
      <w:start w:val="1"/>
      <w:numFmt w:val="decimal"/>
      <w:pStyle w:val="35"/>
      <w:isLgl/>
      <w:lvlText w:val="%1.%2.%3.%4.%5 "/>
      <w:lvlJc w:val="left"/>
      <w:pPr>
        <w:ind w:left="0" w:firstLine="0"/>
      </w:pPr>
      <w:rPr>
        <w:rFonts w:hint="eastAsia" w:ascii="宋体" w:hAnsi="宋体" w:eastAsia="宋体" w:cs="宋体"/>
      </w:rPr>
    </w:lvl>
    <w:lvl w:ilvl="5" w:tentative="0">
      <w:start w:val="1"/>
      <w:numFmt w:val="decimal"/>
      <w:isLgl/>
      <w:lvlText w:val="%1.%2.%3.%4.%5.%6"/>
      <w:lvlJc w:val="left"/>
      <w:pPr>
        <w:ind w:left="3260" w:hanging="3260"/>
      </w:pPr>
      <w:rPr>
        <w:rFonts w:hint="eastAsia" w:ascii="宋体" w:hAnsi="宋体" w:eastAsia="宋体" w:cs="宋体"/>
      </w:rPr>
    </w:lvl>
    <w:lvl w:ilvl="6" w:tentative="0">
      <w:start w:val="1"/>
      <w:numFmt w:val="decimal"/>
      <w:isLgl/>
      <w:lvlText w:val="%1.%2.%3.%4.%5.%6.%7"/>
      <w:lvlJc w:val="left"/>
      <w:pPr>
        <w:ind w:left="3827" w:hanging="3827"/>
      </w:pPr>
      <w:rPr>
        <w:rFonts w:hint="eastAsia" w:ascii="宋体" w:hAnsi="宋体" w:eastAsia="宋体" w:cs="宋体"/>
      </w:rPr>
    </w:lvl>
    <w:lvl w:ilvl="7" w:tentative="0">
      <w:start w:val="1"/>
      <w:numFmt w:val="decimal"/>
      <w:isLgl/>
      <w:lvlText w:val="%1.%2.%3.%4.%5.%6.%7.%8"/>
      <w:lvlJc w:val="left"/>
      <w:pPr>
        <w:ind w:left="4394" w:hanging="4394"/>
      </w:pPr>
      <w:rPr>
        <w:rFonts w:hint="eastAsia" w:ascii="宋体" w:hAnsi="宋体" w:eastAsia="宋体" w:cs="宋体"/>
      </w:rPr>
    </w:lvl>
    <w:lvl w:ilvl="8" w:tentative="0">
      <w:start w:val="1"/>
      <w:numFmt w:val="decimal"/>
      <w:isLgl/>
      <w:lvlText w:val="%1.%2.%3.%4.%5.%6.%7.%8.%9"/>
      <w:lvlJc w:val="left"/>
      <w:pPr>
        <w:ind w:left="5102" w:hanging="1700"/>
      </w:pPr>
      <w:rPr>
        <w:rFonts w:hint="eastAsia"/>
      </w:rPr>
    </w:lvl>
  </w:abstractNum>
  <w:abstractNum w:abstractNumId="6">
    <w:nsid w:val="2DACDC3F"/>
    <w:multiLevelType w:val="singleLevel"/>
    <w:tmpl w:val="2DACDC3F"/>
    <w:lvl w:ilvl="0" w:tentative="0">
      <w:start w:val="1"/>
      <w:numFmt w:val="decimal"/>
      <w:suff w:val="nothing"/>
      <w:lvlText w:val="%1．"/>
      <w:lvlJc w:val="left"/>
      <w:pPr>
        <w:ind w:left="0" w:firstLine="400"/>
      </w:pPr>
      <w:rPr>
        <w:rFonts w:hint="default"/>
      </w:rPr>
    </w:lvl>
  </w:abstractNum>
  <w:abstractNum w:abstractNumId="7">
    <w:nsid w:val="4A7D5900"/>
    <w:multiLevelType w:val="multilevel"/>
    <w:tmpl w:val="4A7D5900"/>
    <w:lvl w:ilvl="0" w:tentative="0">
      <w:start w:val="1"/>
      <w:numFmt w:val="chineseCountingThousand"/>
      <w:suff w:val="space"/>
      <w:lvlText w:val="第%1章 "/>
      <w:lvlJc w:val="left"/>
      <w:pPr>
        <w:ind w:left="0" w:firstLine="0"/>
      </w:pPr>
      <w:rPr>
        <w:rFonts w:hint="eastAsia"/>
        <w:lang w:val="en-US"/>
      </w:rPr>
    </w:lvl>
    <w:lvl w:ilvl="1" w:tentative="0">
      <w:start w:val="1"/>
      <w:numFmt w:val="decimal"/>
      <w:isLgl/>
      <w:suff w:val="space"/>
      <w:lvlText w:val="%1.%2 "/>
      <w:lvlJc w:val="left"/>
      <w:pPr>
        <w:ind w:left="-113" w:firstLine="113"/>
      </w:pPr>
      <w:rPr>
        <w:rFonts w:hint="eastAsia"/>
        <w:b w:val="0"/>
        <w:bCs w:val="0"/>
      </w:rPr>
    </w:lvl>
    <w:lvl w:ilvl="2" w:tentative="0">
      <w:start w:val="1"/>
      <w:numFmt w:val="decimal"/>
      <w:pStyle w:val="43"/>
      <w:isLgl/>
      <w:suff w:val="space"/>
      <w:lvlText w:val="%1.%2.%3"/>
      <w:lvlJc w:val="left"/>
      <w:pPr>
        <w:ind w:left="-227" w:firstLine="227"/>
      </w:pPr>
    </w:lvl>
    <w:lvl w:ilvl="3" w:tentative="0">
      <w:start w:val="1"/>
      <w:numFmt w:val="decimal"/>
      <w:isLgl/>
      <w:suff w:val="space"/>
      <w:lvlText w:val="%1.%2.%3.%4"/>
      <w:lvlJc w:val="left"/>
      <w:pPr>
        <w:ind w:left="0" w:firstLine="340"/>
      </w:pPr>
      <w:rPr>
        <w:rFonts w:hint="default" w:ascii="黑体" w:hAnsi="黑体" w:eastAsia="黑体" w:cs="黑体"/>
      </w:rPr>
    </w:lvl>
    <w:lvl w:ilvl="4" w:tentative="0">
      <w:start w:val="1"/>
      <w:numFmt w:val="decimal"/>
      <w:isLgl/>
      <w:suff w:val="nothing"/>
      <w:lvlText w:val="%1.%2.%3.%4.%5"/>
      <w:lvlJc w:val="left"/>
      <w:pPr>
        <w:ind w:left="-174" w:firstLine="454"/>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8">
    <w:nsid w:val="4C35B45C"/>
    <w:multiLevelType w:val="multilevel"/>
    <w:tmpl w:val="4C35B45C"/>
    <w:lvl w:ilvl="0" w:tentative="0">
      <w:start w:val="1"/>
      <w:numFmt w:val="chineseCounting"/>
      <w:pStyle w:val="3"/>
      <w:lvlText w:val="第%1章."/>
      <w:lvlJc w:val="left"/>
      <w:pPr>
        <w:ind w:left="432" w:hanging="432"/>
      </w:pPr>
      <w:rPr>
        <w:rFonts w:hint="eastAsia" w:ascii="宋体" w:hAnsi="宋体" w:eastAsia="宋体" w:cs="宋体"/>
      </w:rPr>
    </w:lvl>
    <w:lvl w:ilvl="1" w:tentative="0">
      <w:start w:val="1"/>
      <w:numFmt w:val="decimal"/>
      <w:pStyle w:val="4"/>
      <w:isLgl/>
      <w:lvlText w:val="%1.%2."/>
      <w:lvlJc w:val="left"/>
      <w:pPr>
        <w:ind w:left="575" w:hanging="575"/>
      </w:pPr>
      <w:rPr>
        <w:rFonts w:hint="eastAsia" w:ascii="宋体" w:hAnsi="宋体" w:eastAsia="宋体" w:cs="宋体"/>
      </w:rPr>
    </w:lvl>
    <w:lvl w:ilvl="2" w:tentative="0">
      <w:start w:val="1"/>
      <w:numFmt w:val="decimal"/>
      <w:pStyle w:val="6"/>
      <w:isLgl/>
      <w:lvlText w:val="%1.%2.%3."/>
      <w:lvlJc w:val="left"/>
      <w:pPr>
        <w:ind w:left="720" w:hanging="720"/>
      </w:pPr>
      <w:rPr>
        <w:rFonts w:hint="eastAsia" w:ascii="宋体" w:hAnsi="宋体" w:eastAsia="宋体" w:cs="宋体"/>
      </w:rPr>
    </w:lvl>
    <w:lvl w:ilvl="3" w:tentative="0">
      <w:start w:val="1"/>
      <w:numFmt w:val="decimal"/>
      <w:pStyle w:val="7"/>
      <w:isLgl/>
      <w:lvlText w:val="%1.%2.%3.%4."/>
      <w:lvlJc w:val="left"/>
      <w:pPr>
        <w:ind w:left="864" w:hanging="864"/>
      </w:pPr>
      <w:rPr>
        <w:rFonts w:hint="eastAsia" w:ascii="宋体" w:hAnsi="宋体" w:eastAsia="宋体" w:cs="宋体"/>
      </w:rPr>
    </w:lvl>
    <w:lvl w:ilvl="4" w:tentative="0">
      <w:start w:val="1"/>
      <w:numFmt w:val="decimal"/>
      <w:pStyle w:val="8"/>
      <w:lvlText w:val="%1.%2.%3.%4.%5."/>
      <w:lvlJc w:val="left"/>
      <w:pPr>
        <w:ind w:left="1008" w:hanging="1008"/>
      </w:pPr>
      <w:rPr>
        <w:rFonts w:hint="eastAsia" w:ascii="宋体" w:hAnsi="宋体" w:eastAsia="宋体" w:cs="宋体"/>
      </w:rPr>
    </w:lvl>
    <w:lvl w:ilvl="5" w:tentative="0">
      <w:start w:val="1"/>
      <w:numFmt w:val="decimal"/>
      <w:pStyle w:val="9"/>
      <w:lvlText w:val="%1.%2.%3.%4.%5.%6."/>
      <w:lvlJc w:val="left"/>
      <w:pPr>
        <w:ind w:left="1151" w:hanging="1151"/>
      </w:pPr>
      <w:rPr>
        <w:rFonts w:hint="eastAsia"/>
      </w:rPr>
    </w:lvl>
    <w:lvl w:ilvl="6" w:tentative="0">
      <w:start w:val="1"/>
      <w:numFmt w:val="decimal"/>
      <w:pStyle w:val="10"/>
      <w:lvlText w:val="%1.%2.%3.%4.%5.%6.%7."/>
      <w:lvlJc w:val="left"/>
      <w:pPr>
        <w:ind w:left="1296" w:hanging="1296"/>
      </w:pPr>
      <w:rPr>
        <w:rFonts w:hint="eastAsia"/>
      </w:rPr>
    </w:lvl>
    <w:lvl w:ilvl="7" w:tentative="0">
      <w:start w:val="1"/>
      <w:numFmt w:val="decimal"/>
      <w:pStyle w:val="11"/>
      <w:lvlText w:val="%1.%2.%3.%4.%5.%6.%7.%8."/>
      <w:lvlJc w:val="left"/>
      <w:pPr>
        <w:ind w:left="1440" w:hanging="1440"/>
      </w:pPr>
      <w:rPr>
        <w:rFonts w:hint="eastAsia"/>
      </w:rPr>
    </w:lvl>
    <w:lvl w:ilvl="8" w:tentative="0">
      <w:start w:val="1"/>
      <w:numFmt w:val="decimal"/>
      <w:pStyle w:val="12"/>
      <w:lvlText w:val="%1.%2.%3.%4.%5.%6.%7.%8.%9."/>
      <w:lvlJc w:val="left"/>
      <w:pPr>
        <w:ind w:left="1583" w:hanging="1583"/>
      </w:pPr>
      <w:rPr>
        <w:rFonts w:hint="eastAsia"/>
      </w:rPr>
    </w:lvl>
  </w:abstractNum>
  <w:num w:numId="1">
    <w:abstractNumId w:val="8"/>
  </w:num>
  <w:num w:numId="2">
    <w:abstractNumId w:val="5"/>
  </w:num>
  <w:num w:numId="3">
    <w:abstractNumId w:val="4"/>
  </w:num>
  <w:num w:numId="4">
    <w:abstractNumId w:val="7"/>
  </w:num>
  <w:num w:numId="5">
    <w:abstractNumId w:val="2"/>
  </w:num>
  <w:num w:numId="6">
    <w:abstractNumId w:val="6"/>
  </w:num>
  <w:num w:numId="7">
    <w:abstractNumId w:val="1"/>
  </w:num>
  <w:num w:numId="8">
    <w:abstractNumId w:val="0"/>
  </w:num>
  <w:num w:numId="9">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胡英文">
    <w15:presenceInfo w15:providerId="None" w15:userId="胡英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kNzIwYWUyMGRmZDU3MjAwNTFiMjQ5NTkyYzEyMWEifQ=="/>
    <w:docVar w:name="KGWebUrl" w:val="http://19.121.241.45/seeyon/officeservlet"/>
    <w:docVar w:name="KSO_WPS_MARK_KEY" w:val="ffe2a412-50ae-4545-8eb3-48b5b83ab533"/>
  </w:docVars>
  <w:rsids>
    <w:rsidRoot w:val="65C86D6C"/>
    <w:rsid w:val="000C721F"/>
    <w:rsid w:val="0020626F"/>
    <w:rsid w:val="00516A80"/>
    <w:rsid w:val="00652F81"/>
    <w:rsid w:val="007B714E"/>
    <w:rsid w:val="00926834"/>
    <w:rsid w:val="009F01D6"/>
    <w:rsid w:val="00A640A3"/>
    <w:rsid w:val="00AF6805"/>
    <w:rsid w:val="00C9461F"/>
    <w:rsid w:val="00FD56FD"/>
    <w:rsid w:val="00FE658F"/>
    <w:rsid w:val="02426107"/>
    <w:rsid w:val="04A06955"/>
    <w:rsid w:val="05504949"/>
    <w:rsid w:val="07666493"/>
    <w:rsid w:val="0AC80BD4"/>
    <w:rsid w:val="0AF338CE"/>
    <w:rsid w:val="0BB42C2E"/>
    <w:rsid w:val="0DC21F49"/>
    <w:rsid w:val="0E4637F0"/>
    <w:rsid w:val="0EF37BB8"/>
    <w:rsid w:val="0FA27B83"/>
    <w:rsid w:val="10092EE0"/>
    <w:rsid w:val="12221410"/>
    <w:rsid w:val="15532D2F"/>
    <w:rsid w:val="164A3B45"/>
    <w:rsid w:val="164F2C71"/>
    <w:rsid w:val="17797B1C"/>
    <w:rsid w:val="18C0505C"/>
    <w:rsid w:val="198F74B4"/>
    <w:rsid w:val="1A6B46D4"/>
    <w:rsid w:val="1BE72BEA"/>
    <w:rsid w:val="1DFEC461"/>
    <w:rsid w:val="1E6B16AC"/>
    <w:rsid w:val="1EA46250"/>
    <w:rsid w:val="1FF73B47"/>
    <w:rsid w:val="226F5184"/>
    <w:rsid w:val="246944EC"/>
    <w:rsid w:val="251C4BB2"/>
    <w:rsid w:val="25EE1820"/>
    <w:rsid w:val="26A372E9"/>
    <w:rsid w:val="28A84B9A"/>
    <w:rsid w:val="28CA20F3"/>
    <w:rsid w:val="2B5403E8"/>
    <w:rsid w:val="2DD251FA"/>
    <w:rsid w:val="2E7F1A64"/>
    <w:rsid w:val="2ED63CB5"/>
    <w:rsid w:val="2FEED22C"/>
    <w:rsid w:val="312F4677"/>
    <w:rsid w:val="3238145A"/>
    <w:rsid w:val="3397B78C"/>
    <w:rsid w:val="36700C71"/>
    <w:rsid w:val="36D20E04"/>
    <w:rsid w:val="37154A2B"/>
    <w:rsid w:val="39ED5265"/>
    <w:rsid w:val="3B5C7D22"/>
    <w:rsid w:val="3BA0A10A"/>
    <w:rsid w:val="3BEF1CED"/>
    <w:rsid w:val="3C6A3BFD"/>
    <w:rsid w:val="3CE473BB"/>
    <w:rsid w:val="3D260DB6"/>
    <w:rsid w:val="3D5336C2"/>
    <w:rsid w:val="3D97745A"/>
    <w:rsid w:val="3DC41242"/>
    <w:rsid w:val="3DFF227A"/>
    <w:rsid w:val="3F7F498B"/>
    <w:rsid w:val="450570E7"/>
    <w:rsid w:val="46947023"/>
    <w:rsid w:val="471C156D"/>
    <w:rsid w:val="474625B4"/>
    <w:rsid w:val="4A73321B"/>
    <w:rsid w:val="4ACF2951"/>
    <w:rsid w:val="4BBF3157"/>
    <w:rsid w:val="4BD033D3"/>
    <w:rsid w:val="4EC217CD"/>
    <w:rsid w:val="4F77564A"/>
    <w:rsid w:val="52075B56"/>
    <w:rsid w:val="533575CC"/>
    <w:rsid w:val="533D614D"/>
    <w:rsid w:val="5354298B"/>
    <w:rsid w:val="5446671A"/>
    <w:rsid w:val="54533B0E"/>
    <w:rsid w:val="561A232C"/>
    <w:rsid w:val="56C04946"/>
    <w:rsid w:val="59481887"/>
    <w:rsid w:val="59A77ECE"/>
    <w:rsid w:val="5AC46DF9"/>
    <w:rsid w:val="5AC71492"/>
    <w:rsid w:val="5B07016D"/>
    <w:rsid w:val="5BC74DD6"/>
    <w:rsid w:val="5DFFA54B"/>
    <w:rsid w:val="5E1804D6"/>
    <w:rsid w:val="5EDF2A57"/>
    <w:rsid w:val="5FFF95CF"/>
    <w:rsid w:val="63BB2221"/>
    <w:rsid w:val="6421323C"/>
    <w:rsid w:val="64D942F1"/>
    <w:rsid w:val="64DF4A2F"/>
    <w:rsid w:val="65254E41"/>
    <w:rsid w:val="65461C46"/>
    <w:rsid w:val="65BE5918"/>
    <w:rsid w:val="65C86D6C"/>
    <w:rsid w:val="65F56778"/>
    <w:rsid w:val="6604703A"/>
    <w:rsid w:val="66296B7E"/>
    <w:rsid w:val="66B82E47"/>
    <w:rsid w:val="679C152D"/>
    <w:rsid w:val="684A6BBD"/>
    <w:rsid w:val="687A3CF1"/>
    <w:rsid w:val="69313675"/>
    <w:rsid w:val="6933485B"/>
    <w:rsid w:val="6A5665CF"/>
    <w:rsid w:val="6B930053"/>
    <w:rsid w:val="6E7154F1"/>
    <w:rsid w:val="6FDB2B2F"/>
    <w:rsid w:val="729252D2"/>
    <w:rsid w:val="72D343C2"/>
    <w:rsid w:val="73694EF5"/>
    <w:rsid w:val="73CD6F4E"/>
    <w:rsid w:val="73FFEC97"/>
    <w:rsid w:val="749554F3"/>
    <w:rsid w:val="75663ADD"/>
    <w:rsid w:val="77BF9F9C"/>
    <w:rsid w:val="77F71AAF"/>
    <w:rsid w:val="7804795D"/>
    <w:rsid w:val="7A6A3C5C"/>
    <w:rsid w:val="7BC7539F"/>
    <w:rsid w:val="7D62D3AF"/>
    <w:rsid w:val="7DFFA7EE"/>
    <w:rsid w:val="7F7F12DA"/>
    <w:rsid w:val="7FAF7C0E"/>
    <w:rsid w:val="7FE74340"/>
    <w:rsid w:val="7FFF0AA2"/>
    <w:rsid w:val="7FFF4191"/>
    <w:rsid w:val="A6DF907C"/>
    <w:rsid w:val="AB7E3682"/>
    <w:rsid w:val="B77379AC"/>
    <w:rsid w:val="DF7A960D"/>
    <w:rsid w:val="DFBF51DF"/>
    <w:rsid w:val="EF9D97B0"/>
    <w:rsid w:val="FBDE5435"/>
    <w:rsid w:val="FDEEBB65"/>
    <w:rsid w:val="FEECBF8B"/>
    <w:rsid w:val="FF7C540C"/>
    <w:rsid w:val="FFA2963E"/>
    <w:rsid w:val="FFBD3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heme="minorBidi"/>
      <w:kern w:val="2"/>
      <w:sz w:val="21"/>
      <w:szCs w:val="24"/>
      <w:lang w:val="en-US" w:eastAsia="zh-CN" w:bidi="ar-SA"/>
    </w:rPr>
  </w:style>
  <w:style w:type="paragraph" w:styleId="3">
    <w:name w:val="heading 1"/>
    <w:basedOn w:val="1"/>
    <w:next w:val="1"/>
    <w:link w:val="34"/>
    <w:qFormat/>
    <w:uiPriority w:val="0"/>
    <w:pPr>
      <w:keepNext/>
      <w:keepLines/>
      <w:numPr>
        <w:ilvl w:val="0"/>
        <w:numId w:val="1"/>
      </w:numPr>
      <w:spacing w:before="340" w:after="330" w:line="578" w:lineRule="auto"/>
      <w:outlineLvl w:val="0"/>
    </w:pPr>
    <w:rPr>
      <w:rFonts w:ascii="Calibri" w:hAnsi="Calibri" w:cs="Times New Roman"/>
      <w:b/>
      <w:bCs/>
      <w:kern w:val="44"/>
      <w:sz w:val="44"/>
      <w:szCs w:val="44"/>
    </w:rPr>
  </w:style>
  <w:style w:type="paragraph" w:styleId="4">
    <w:name w:val="heading 2"/>
    <w:basedOn w:val="1"/>
    <w:next w:val="5"/>
    <w:link w:val="36"/>
    <w:unhideWhenUsed/>
    <w:qFormat/>
    <w:uiPriority w:val="0"/>
    <w:pPr>
      <w:keepNext/>
      <w:keepLines/>
      <w:numPr>
        <w:ilvl w:val="1"/>
        <w:numId w:val="1"/>
      </w:numPr>
      <w:tabs>
        <w:tab w:val="left" w:pos="576"/>
      </w:tabs>
      <w:spacing w:after="120"/>
      <w:jc w:val="left"/>
      <w:outlineLvl w:val="1"/>
    </w:pPr>
    <w:rPr>
      <w:sz w:val="30"/>
      <w:szCs w:val="32"/>
    </w:rPr>
  </w:style>
  <w:style w:type="paragraph" w:styleId="6">
    <w:name w:val="heading 3"/>
    <w:basedOn w:val="1"/>
    <w:next w:val="1"/>
    <w:unhideWhenUsed/>
    <w:qFormat/>
    <w:uiPriority w:val="0"/>
    <w:pPr>
      <w:keepNext/>
      <w:keepLines/>
      <w:numPr>
        <w:ilvl w:val="2"/>
        <w:numId w:val="1"/>
      </w:numPr>
      <w:tabs>
        <w:tab w:val="left" w:pos="720"/>
      </w:tabs>
      <w:spacing w:before="260" w:after="260" w:line="413" w:lineRule="auto"/>
      <w:outlineLvl w:val="2"/>
    </w:pPr>
    <w:rPr>
      <w:b/>
      <w:sz w:val="32"/>
    </w:rPr>
  </w:style>
  <w:style w:type="paragraph" w:styleId="7">
    <w:name w:val="heading 4"/>
    <w:basedOn w:val="1"/>
    <w:next w:val="1"/>
    <w:unhideWhenUsed/>
    <w:qFormat/>
    <w:uiPriority w:val="0"/>
    <w:pPr>
      <w:keepNext/>
      <w:keepLines/>
      <w:numPr>
        <w:ilvl w:val="3"/>
        <w:numId w:val="1"/>
      </w:numPr>
      <w:tabs>
        <w:tab w:val="left" w:pos="864"/>
      </w:tabs>
      <w:spacing w:before="280" w:after="290" w:line="372" w:lineRule="auto"/>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tabs>
        <w:tab w:val="left" w:pos="1008"/>
      </w:tabs>
      <w:spacing w:before="280" w:after="290" w:line="372" w:lineRule="auto"/>
      <w:outlineLvl w:val="4"/>
    </w:pPr>
    <w:rPr>
      <w:b/>
      <w:sz w:val="28"/>
    </w:rPr>
  </w:style>
  <w:style w:type="paragraph" w:styleId="9">
    <w:name w:val="heading 6"/>
    <w:basedOn w:val="1"/>
    <w:next w:val="1"/>
    <w:semiHidden/>
    <w:unhideWhenUsed/>
    <w:qFormat/>
    <w:uiPriority w:val="0"/>
    <w:pPr>
      <w:keepNext/>
      <w:keepLines/>
      <w:numPr>
        <w:ilvl w:val="5"/>
        <w:numId w:val="1"/>
      </w:numPr>
      <w:tabs>
        <w:tab w:val="left" w:pos="1152"/>
      </w:tabs>
      <w:spacing w:before="240" w:after="64" w:line="317" w:lineRule="auto"/>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tabs>
        <w:tab w:val="left" w:pos="1296"/>
      </w:tabs>
      <w:spacing w:before="240" w:after="64" w:line="317" w:lineRule="auto"/>
      <w:outlineLvl w:val="6"/>
    </w:pPr>
    <w:rPr>
      <w:b/>
      <w:sz w:val="24"/>
    </w:rPr>
  </w:style>
  <w:style w:type="paragraph" w:styleId="11">
    <w:name w:val="heading 8"/>
    <w:basedOn w:val="1"/>
    <w:next w:val="1"/>
    <w:semiHidden/>
    <w:unhideWhenUsed/>
    <w:qFormat/>
    <w:uiPriority w:val="0"/>
    <w:pPr>
      <w:keepNext/>
      <w:keepLines/>
      <w:numPr>
        <w:ilvl w:val="7"/>
        <w:numId w:val="1"/>
      </w:numPr>
      <w:tabs>
        <w:tab w:val="left" w:pos="1440"/>
      </w:tabs>
      <w:spacing w:before="240" w:after="64" w:line="317" w:lineRule="auto"/>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tabs>
        <w:tab w:val="left" w:pos="1584"/>
      </w:tabs>
      <w:spacing w:before="240" w:after="64" w:line="317" w:lineRule="auto"/>
      <w:outlineLvl w:val="8"/>
    </w:pPr>
    <w:rPr>
      <w:rFonts w:ascii="Arial" w:hAnsi="Arial" w:eastAsia="黑体"/>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正文 首行缩进"/>
    <w:basedOn w:val="1"/>
    <w:qFormat/>
    <w:uiPriority w:val="0"/>
    <w:pPr>
      <w:adjustRightInd w:val="0"/>
      <w:spacing w:line="240" w:lineRule="auto"/>
      <w:ind w:firstLine="437"/>
    </w:pPr>
    <w:rPr>
      <w:rFonts w:hint="eastAsia" w:cs="黑体"/>
      <w:kern w:val="0"/>
      <w:szCs w:val="21"/>
    </w:rPr>
  </w:style>
  <w:style w:type="paragraph" w:styleId="5">
    <w:name w:val="Normal Indent"/>
    <w:basedOn w:val="1"/>
    <w:qFormat/>
    <w:uiPriority w:val="0"/>
    <w:pPr>
      <w:ind w:left="720"/>
    </w:pPr>
  </w:style>
  <w:style w:type="paragraph" w:styleId="13">
    <w:name w:val="annotation text"/>
    <w:basedOn w:val="1"/>
    <w:link w:val="41"/>
    <w:qFormat/>
    <w:uiPriority w:val="0"/>
    <w:pPr>
      <w:jc w:val="left"/>
    </w:pPr>
  </w:style>
  <w:style w:type="paragraph" w:styleId="14">
    <w:name w:val="Body Text"/>
    <w:basedOn w:val="1"/>
    <w:qFormat/>
    <w:uiPriority w:val="0"/>
    <w:pPr>
      <w:spacing w:after="120"/>
    </w:pPr>
    <w:rPr>
      <w:rFonts w:ascii="宋体" w:hAnsi="宋体"/>
      <w:sz w:val="24"/>
      <w:szCs w:val="22"/>
    </w:rPr>
  </w:style>
  <w:style w:type="paragraph" w:styleId="15">
    <w:name w:val="Body Text Indent"/>
    <w:basedOn w:val="1"/>
    <w:qFormat/>
    <w:uiPriority w:val="0"/>
    <w:pPr>
      <w:spacing w:after="120"/>
      <w:ind w:left="420" w:leftChars="200"/>
    </w:pPr>
    <w:rPr>
      <w:rFonts w:ascii="宋体" w:hAnsi="宋体"/>
      <w:sz w:val="24"/>
      <w:szCs w:val="22"/>
    </w:rPr>
  </w:style>
  <w:style w:type="paragraph" w:styleId="16">
    <w:name w:val="footer"/>
    <w:basedOn w:val="1"/>
    <w:link w:val="40"/>
    <w:qFormat/>
    <w:uiPriority w:val="0"/>
    <w:pPr>
      <w:tabs>
        <w:tab w:val="center" w:pos="4153"/>
        <w:tab w:val="right" w:pos="8306"/>
      </w:tabs>
      <w:snapToGrid w:val="0"/>
      <w:spacing w:line="240" w:lineRule="auto"/>
      <w:jc w:val="left"/>
    </w:pPr>
    <w:rPr>
      <w:sz w:val="18"/>
      <w:szCs w:val="18"/>
    </w:rPr>
  </w:style>
  <w:style w:type="paragraph" w:styleId="17">
    <w:name w:val="header"/>
    <w:basedOn w:val="1"/>
    <w:link w:val="39"/>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8">
    <w:name w:val="Subtitle"/>
    <w:basedOn w:val="1"/>
    <w:qFormat/>
    <w:uiPriority w:val="0"/>
    <w:pPr>
      <w:spacing w:before="240" w:after="60" w:line="312" w:lineRule="auto"/>
      <w:jc w:val="center"/>
      <w:outlineLvl w:val="1"/>
    </w:pPr>
    <w:rPr>
      <w:rFonts w:ascii="Arial" w:hAnsi="Arial"/>
      <w:b/>
      <w:kern w:val="28"/>
      <w:sz w:val="32"/>
    </w:rPr>
  </w:style>
  <w:style w:type="paragraph" w:styleId="19">
    <w:name w:val="toc 2"/>
    <w:basedOn w:val="1"/>
    <w:next w:val="1"/>
    <w:qFormat/>
    <w:uiPriority w:val="39"/>
    <w:pPr>
      <w:ind w:left="240"/>
      <w:jc w:val="left"/>
    </w:pPr>
    <w:rPr>
      <w:rFonts w:ascii="Calibri" w:hAnsi="Calibri" w:cs="Calibri"/>
      <w:smallCaps/>
      <w:sz w:val="20"/>
      <w:szCs w:val="20"/>
    </w:r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2">
    <w:name w:val="annotation subject"/>
    <w:basedOn w:val="13"/>
    <w:next w:val="13"/>
    <w:link w:val="42"/>
    <w:qFormat/>
    <w:uiPriority w:val="0"/>
    <w:rPr>
      <w:b/>
      <w:bCs/>
    </w:rPr>
  </w:style>
  <w:style w:type="paragraph" w:styleId="23">
    <w:name w:val="Body Text First Indent"/>
    <w:basedOn w:val="14"/>
    <w:qFormat/>
    <w:uiPriority w:val="0"/>
    <w:pPr>
      <w:spacing w:after="120" w:afterLines="0" w:line="360" w:lineRule="auto"/>
      <w:ind w:firstLine="425"/>
      <w:textAlignment w:val="baseline"/>
    </w:pPr>
    <w:rPr>
      <w:rFonts w:eastAsia="宋体"/>
      <w:kern w:val="2"/>
      <w:sz w:val="21"/>
      <w:szCs w:val="24"/>
      <w:lang w:val="en-US" w:eastAsia="zh-CN" w:bidi="ar-SA"/>
    </w:rPr>
  </w:style>
  <w:style w:type="paragraph" w:styleId="24">
    <w:name w:val="Body Text First Indent 2"/>
    <w:basedOn w:val="15"/>
    <w:qFormat/>
    <w:uiPriority w:val="0"/>
    <w:pPr>
      <w:snapToGrid w:val="0"/>
      <w:ind w:firstLine="420" w:firstLineChars="200"/>
    </w:pPr>
    <w:rPr>
      <w:rFonts w:ascii="Tahoma" w:hAnsi="Tahoma"/>
      <w:sz w:val="28"/>
      <w:szCs w:val="24"/>
    </w:rPr>
  </w:style>
  <w:style w:type="character" w:styleId="27">
    <w:name w:val="page number"/>
    <w:qFormat/>
    <w:uiPriority w:val="0"/>
  </w:style>
  <w:style w:type="character" w:styleId="28">
    <w:name w:val="Emphasis"/>
    <w:basedOn w:val="26"/>
    <w:qFormat/>
    <w:uiPriority w:val="20"/>
    <w:rPr>
      <w:i/>
      <w:iCs/>
    </w:rPr>
  </w:style>
  <w:style w:type="character" w:styleId="29">
    <w:name w:val="annotation reference"/>
    <w:basedOn w:val="26"/>
    <w:qFormat/>
    <w:uiPriority w:val="0"/>
    <w:rPr>
      <w:sz w:val="21"/>
      <w:szCs w:val="21"/>
    </w:rPr>
  </w:style>
  <w:style w:type="paragraph" w:customStyle="1" w:styleId="30">
    <w:name w:val="Default"/>
    <w:basedOn w:val="31"/>
    <w:next w:val="1"/>
    <w:qFormat/>
    <w:uiPriority w:val="0"/>
    <w:pPr>
      <w:widowControl w:val="0"/>
      <w:autoSpaceDE w:val="0"/>
      <w:autoSpaceDN w:val="0"/>
      <w:adjustRightInd w:val="0"/>
    </w:pPr>
    <w:rPr>
      <w:rFonts w:ascii="方正仿宋简体" w:hAnsi="方正仿宋简体" w:eastAsia="方正仿宋简体"/>
      <w:color w:val="000000"/>
      <w:sz w:val="24"/>
      <w:szCs w:val="22"/>
      <w:lang w:val="en-US" w:eastAsia="zh-CN" w:bidi="ar-SA"/>
    </w:rPr>
  </w:style>
  <w:style w:type="paragraph" w:customStyle="1" w:styleId="31">
    <w:name w:val="正文 New"/>
    <w:next w:val="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标题 2 New"/>
    <w:basedOn w:val="31"/>
    <w:next w:val="31"/>
    <w:qFormat/>
    <w:uiPriority w:val="0"/>
    <w:pPr>
      <w:keepNext/>
      <w:keepLines/>
      <w:spacing w:before="260" w:after="260" w:line="416" w:lineRule="auto"/>
      <w:outlineLvl w:val="1"/>
    </w:pPr>
    <w:rPr>
      <w:rFonts w:ascii="Calibri Light" w:hAnsi="Calibri Light" w:eastAsia="宋体" w:cs="Times New Roman"/>
      <w:b/>
      <w:bCs/>
      <w:szCs w:val="32"/>
    </w:rPr>
  </w:style>
  <w:style w:type="paragraph" w:customStyle="1" w:styleId="33">
    <w:name w:val="正文-方案"/>
    <w:basedOn w:val="1"/>
    <w:qFormat/>
    <w:uiPriority w:val="0"/>
    <w:pPr>
      <w:contextualSpacing w:val="0"/>
    </w:pPr>
    <w:rPr>
      <w:szCs w:val="24"/>
    </w:rPr>
  </w:style>
  <w:style w:type="character" w:customStyle="1" w:styleId="34">
    <w:name w:val="标题 1 字符"/>
    <w:link w:val="3"/>
    <w:qFormat/>
    <w:uiPriority w:val="0"/>
    <w:rPr>
      <w:rFonts w:ascii="Calibri" w:hAnsi="Calibri" w:eastAsia="宋体"/>
      <w:b/>
      <w:bCs/>
      <w:kern w:val="44"/>
      <w:sz w:val="44"/>
      <w:szCs w:val="44"/>
    </w:rPr>
  </w:style>
  <w:style w:type="paragraph" w:customStyle="1" w:styleId="35">
    <w:name w:val="样式7"/>
    <w:basedOn w:val="1"/>
    <w:qFormat/>
    <w:uiPriority w:val="0"/>
    <w:pPr>
      <w:numPr>
        <w:ilvl w:val="4"/>
        <w:numId w:val="2"/>
      </w:numPr>
    </w:pPr>
  </w:style>
  <w:style w:type="character" w:customStyle="1" w:styleId="36">
    <w:name w:val="标题 2 字符"/>
    <w:link w:val="4"/>
    <w:qFormat/>
    <w:uiPriority w:val="0"/>
    <w:rPr>
      <w:rFonts w:ascii="Times New Roman" w:hAnsi="Times New Roman" w:eastAsia="宋体"/>
      <w:bCs/>
      <w:kern w:val="2"/>
      <w:sz w:val="30"/>
      <w:szCs w:val="32"/>
    </w:rPr>
  </w:style>
  <w:style w:type="paragraph" w:customStyle="1" w:styleId="37">
    <w:name w:val="样式 标题 7 + 宋体"/>
    <w:basedOn w:val="1"/>
    <w:qFormat/>
    <w:uiPriority w:val="0"/>
    <w:pPr>
      <w:numPr>
        <w:ilvl w:val="0"/>
        <w:numId w:val="3"/>
      </w:numPr>
    </w:pPr>
  </w:style>
  <w:style w:type="paragraph" w:customStyle="1" w:styleId="38">
    <w:name w:val="样式 正文首行缩进 2 + 首行缩进:  2 字符"/>
    <w:basedOn w:val="24"/>
    <w:qFormat/>
    <w:uiPriority w:val="0"/>
    <w:pPr>
      <w:snapToGrid/>
      <w:spacing w:line="240" w:lineRule="auto"/>
      <w:ind w:left="0" w:firstLine="357" w:firstLineChars="170"/>
    </w:pPr>
    <w:rPr>
      <w:rFonts w:ascii="Times New Roman" w:hAnsi="Times New Roman"/>
      <w:sz w:val="21"/>
      <w:szCs w:val="20"/>
    </w:rPr>
  </w:style>
  <w:style w:type="character" w:customStyle="1" w:styleId="39">
    <w:name w:val="页眉 字符"/>
    <w:basedOn w:val="26"/>
    <w:link w:val="17"/>
    <w:qFormat/>
    <w:uiPriority w:val="0"/>
    <w:rPr>
      <w:rFonts w:ascii="Times New Roman" w:hAnsi="Times New Roman" w:eastAsia="宋体"/>
      <w:kern w:val="2"/>
      <w:sz w:val="18"/>
      <w:szCs w:val="18"/>
    </w:rPr>
  </w:style>
  <w:style w:type="character" w:customStyle="1" w:styleId="40">
    <w:name w:val="页脚 字符"/>
    <w:basedOn w:val="26"/>
    <w:link w:val="16"/>
    <w:qFormat/>
    <w:uiPriority w:val="0"/>
    <w:rPr>
      <w:rFonts w:ascii="Times New Roman" w:hAnsi="Times New Roman" w:eastAsia="宋体"/>
      <w:kern w:val="2"/>
      <w:sz w:val="18"/>
      <w:szCs w:val="18"/>
    </w:rPr>
  </w:style>
  <w:style w:type="character" w:customStyle="1" w:styleId="41">
    <w:name w:val="批注文字 字符"/>
    <w:basedOn w:val="26"/>
    <w:link w:val="13"/>
    <w:qFormat/>
    <w:uiPriority w:val="0"/>
    <w:rPr>
      <w:rFonts w:ascii="Times New Roman" w:hAnsi="Times New Roman" w:eastAsia="宋体"/>
      <w:kern w:val="2"/>
      <w:sz w:val="21"/>
      <w:szCs w:val="24"/>
    </w:rPr>
  </w:style>
  <w:style w:type="character" w:customStyle="1" w:styleId="42">
    <w:name w:val="批注主题 字符"/>
    <w:basedOn w:val="41"/>
    <w:link w:val="22"/>
    <w:qFormat/>
    <w:uiPriority w:val="0"/>
    <w:rPr>
      <w:rFonts w:ascii="Times New Roman" w:hAnsi="Times New Roman" w:eastAsia="宋体"/>
      <w:b/>
      <w:bCs/>
      <w:kern w:val="2"/>
      <w:sz w:val="21"/>
      <w:szCs w:val="24"/>
    </w:rPr>
  </w:style>
  <w:style w:type="paragraph" w:customStyle="1" w:styleId="43">
    <w:name w:val="3级标题"/>
    <w:basedOn w:val="1"/>
    <w:qFormat/>
    <w:uiPriority w:val="0"/>
    <w:pPr>
      <w:keepLines/>
      <w:numPr>
        <w:ilvl w:val="2"/>
        <w:numId w:val="4"/>
      </w:numPr>
      <w:spacing w:line="360" w:lineRule="auto"/>
      <w:ind w:firstLineChars="0"/>
      <w:contextualSpacing/>
      <w:jc w:val="left"/>
      <w:outlineLvl w:val="2"/>
    </w:pPr>
    <w:rPr>
      <w:rFonts w:ascii="黑体" w:hAnsi="黑体" w:eastAsia="黑体"/>
      <w:szCs w:val="36"/>
      <w:lang w:bidi="en-US"/>
    </w:rPr>
  </w:style>
  <w:style w:type="paragraph" w:customStyle="1" w:styleId="44">
    <w:name w:val="正文缩进2格"/>
    <w:basedOn w:val="1"/>
    <w:qFormat/>
    <w:uiPriority w:val="0"/>
    <w:pPr>
      <w:widowControl w:val="0"/>
      <w:adjustRightInd/>
      <w:snapToGrid/>
      <w:spacing w:after="0" w:line="600" w:lineRule="exact"/>
      <w:ind w:firstLine="639" w:firstLineChars="206"/>
      <w:jc w:val="both"/>
    </w:pPr>
    <w:rPr>
      <w:rFonts w:ascii="仿宋_GB2312" w:hAnsi="宋体" w:eastAsia="仿宋_GB2312"/>
      <w:kern w:val="2"/>
      <w:sz w:val="31"/>
    </w:rPr>
  </w:style>
  <w:style w:type="paragraph" w:styleId="45">
    <w:name w:val="List Paragraph"/>
    <w:basedOn w:val="1"/>
    <w:qFormat/>
    <w:uiPriority w:val="99"/>
    <w:pPr>
      <w:spacing w:before="121"/>
      <w:ind w:left="290" w:hanging="173"/>
    </w:pPr>
  </w:style>
  <w:style w:type="paragraph" w:customStyle="1" w:styleId="46">
    <w:name w:val="正文-首行缩进"/>
    <w:basedOn w:val="1"/>
    <w:qFormat/>
    <w:uiPriority w:val="0"/>
    <w:pPr>
      <w:spacing w:line="360" w:lineRule="auto"/>
      <w:ind w:firstLine="480" w:firstLineChars="200"/>
    </w:pPr>
    <w:rPr>
      <w:rFonts w:ascii="宋体" w:hAnsi="宋体"/>
      <w:sz w:val="24"/>
      <w:szCs w:val="21"/>
    </w:rPr>
  </w:style>
  <w:style w:type="character" w:customStyle="1" w:styleId="47">
    <w:name w:val="font31"/>
    <w:basedOn w:val="26"/>
    <w:qFormat/>
    <w:uiPriority w:val="0"/>
    <w:rPr>
      <w:rFonts w:hint="eastAsia" w:ascii="微软雅黑" w:hAnsi="微软雅黑" w:eastAsia="微软雅黑" w:cs="微软雅黑"/>
      <w:color w:val="000000"/>
      <w:sz w:val="22"/>
      <w:szCs w:val="22"/>
      <w:u w:val="none"/>
    </w:rPr>
  </w:style>
  <w:style w:type="paragraph" w:customStyle="1" w:styleId="4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4008</Words>
  <Characters>4058</Characters>
  <Lines>37</Lines>
  <Paragraphs>10</Paragraphs>
  <TotalTime>3</TotalTime>
  <ScaleCrop>false</ScaleCrop>
  <LinksUpToDate>false</LinksUpToDate>
  <CharactersWithSpaces>4060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2023-03-22T08:41:00Z</dcterms:created>
  <dc:creator>YW</dc:creator>
  <cp:lastModifiedBy>uos</cp:lastModifiedBy>
  <dcterms:modified xsi:type="dcterms:W3CDTF">2026-08-24T17:14:33Z</dcterms:modified>
  <dc:title>项目概述</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93914C94BFCD48F8B41E106727EB4A37</vt:lpwstr>
  </property>
  <property fmtid="{D5CDD505-2E9C-101B-9397-08002B2CF9AE}" pid="4" name="KSOTemplateDocerSaveRecord">
    <vt:lpwstr>eyJoZGlkIjoiN2YzNjBkOTgyNWQ1YTMxYzM3MzMwNWFiODNmOWIzYWMiLCJ1c2VySWQiOiI5MjY3NDM1MjgifQ==</vt:lpwstr>
  </property>
</Properties>
</file>