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D6BB5">
      <w:pPr>
        <w:pStyle w:val="18"/>
        <w:ind w:left="0" w:leftChars="0" w:firstLine="0" w:firstLineChars="0"/>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bookmarkStart w:id="0" w:name="_Hlk125896507"/>
    </w:p>
    <w:p w14:paraId="62960DB8">
      <w:pPr>
        <w:ind w:firstLine="0" w:firstLineChars="0"/>
        <w:jc w:val="center"/>
        <w:rPr>
          <w:rFonts w:hint="default" w:ascii="Times New Roman" w:hAnsi="Times New Roman" w:eastAsia="黑体" w:cs="Times New Roman"/>
          <w:b/>
          <w:color w:val="000000" w:themeColor="text1"/>
          <w:sz w:val="36"/>
          <w14:textFill>
            <w14:solidFill>
              <w14:schemeClr w14:val="tx1"/>
            </w14:solidFill>
          </w14:textFill>
        </w:rPr>
      </w:pPr>
    </w:p>
    <w:bookmarkEnd w:id="0"/>
    <w:p w14:paraId="0B7547FB">
      <w:pPr>
        <w:spacing w:line="360" w:lineRule="auto"/>
        <w:ind w:firstLine="0" w:firstLineChars="0"/>
        <w:jc w:val="center"/>
        <w:rPr>
          <w:rFonts w:hint="eastAsia" w:ascii="方正仿宋_GB2312" w:hAnsi="方正仿宋_GB2312" w:eastAsia="方正仿宋_GB2312" w:cs="方正仿宋_GB2312"/>
          <w:bCs/>
          <w:color w:val="000000" w:themeColor="text1"/>
          <w:sz w:val="52"/>
          <w:szCs w:val="52"/>
          <w14:textFill>
            <w14:solidFill>
              <w14:schemeClr w14:val="tx1"/>
            </w14:solidFill>
          </w14:textFill>
        </w:rPr>
      </w:pPr>
      <w:bookmarkStart w:id="1" w:name="_Hlk173739334"/>
      <w:r>
        <w:rPr>
          <w:rFonts w:hint="eastAsia" w:ascii="方正仿宋_GB2312" w:hAnsi="方正仿宋_GB2312" w:eastAsia="方正仿宋_GB2312" w:cs="方正仿宋_GB2312"/>
          <w:bCs/>
          <w:color w:val="000000" w:themeColor="text1"/>
          <w:sz w:val="52"/>
          <w:szCs w:val="52"/>
          <w:lang w:eastAsia="zh-CN"/>
          <w14:textFill>
            <w14:solidFill>
              <w14:schemeClr w14:val="tx1"/>
            </w14:solidFill>
          </w14:textFill>
        </w:rPr>
        <w:t>恩平市</w:t>
      </w:r>
      <w:r>
        <w:rPr>
          <w:rFonts w:hint="eastAsia" w:ascii="方正仿宋_GB2312" w:hAnsi="方正仿宋_GB2312" w:eastAsia="方正仿宋_GB2312" w:cs="方正仿宋_GB2312"/>
          <w:bCs/>
          <w:color w:val="000000" w:themeColor="text1"/>
          <w:sz w:val="52"/>
          <w:szCs w:val="52"/>
          <w14:textFill>
            <w14:solidFill>
              <w14:schemeClr w14:val="tx1"/>
            </w14:solidFill>
          </w14:textFill>
        </w:rPr>
        <w:t>畜禽养殖污染防治规划</w:t>
      </w:r>
      <w:r>
        <w:rPr>
          <w:rFonts w:hint="eastAsia" w:ascii="方正仿宋_GB2312" w:hAnsi="方正仿宋_GB2312" w:eastAsia="方正仿宋_GB2312" w:cs="方正仿宋_GB2312"/>
          <w:bCs/>
          <w:color w:val="000000" w:themeColor="text1"/>
          <w:sz w:val="52"/>
          <w:szCs w:val="52"/>
          <w14:textFill>
            <w14:solidFill>
              <w14:schemeClr w14:val="tx1"/>
            </w14:solidFill>
          </w14:textFill>
        </w:rPr>
        <w:cr/>
      </w:r>
      <w:r>
        <w:rPr>
          <w:rFonts w:hint="eastAsia" w:ascii="方正仿宋_GB2312" w:hAnsi="方正仿宋_GB2312" w:eastAsia="方正仿宋_GB2312" w:cs="方正仿宋_GB2312"/>
          <w:bCs/>
          <w:color w:val="000000" w:themeColor="text1"/>
          <w:sz w:val="52"/>
          <w:szCs w:val="52"/>
          <w14:textFill>
            <w14:solidFill>
              <w14:schemeClr w14:val="tx1"/>
            </w14:solidFill>
          </w14:textFill>
        </w:rPr>
        <w:t>（202</w:t>
      </w:r>
      <w:r>
        <w:rPr>
          <w:rFonts w:hint="eastAsia" w:ascii="方正仿宋_GB2312" w:hAnsi="方正仿宋_GB2312" w:eastAsia="方正仿宋_GB2312" w:cs="方正仿宋_GB2312"/>
          <w:bCs/>
          <w:color w:val="000000" w:themeColor="text1"/>
          <w:sz w:val="52"/>
          <w:szCs w:val="52"/>
          <w:lang w:val="en-US" w:eastAsia="zh-CN"/>
          <w14:textFill>
            <w14:solidFill>
              <w14:schemeClr w14:val="tx1"/>
            </w14:solidFill>
          </w14:textFill>
        </w:rPr>
        <w:t>6—</w:t>
      </w:r>
      <w:r>
        <w:rPr>
          <w:rFonts w:hint="eastAsia" w:ascii="方正仿宋_GB2312" w:hAnsi="方正仿宋_GB2312" w:eastAsia="方正仿宋_GB2312" w:cs="方正仿宋_GB2312"/>
          <w:bCs/>
          <w:color w:val="000000" w:themeColor="text1"/>
          <w:sz w:val="52"/>
          <w:szCs w:val="52"/>
          <w14:textFill>
            <w14:solidFill>
              <w14:schemeClr w14:val="tx1"/>
            </w14:solidFill>
          </w14:textFill>
        </w:rPr>
        <w:t>20</w:t>
      </w:r>
      <w:r>
        <w:rPr>
          <w:rFonts w:hint="eastAsia" w:ascii="方正仿宋_GB2312" w:hAnsi="方正仿宋_GB2312" w:eastAsia="方正仿宋_GB2312" w:cs="方正仿宋_GB2312"/>
          <w:bCs/>
          <w:color w:val="000000" w:themeColor="text1"/>
          <w:sz w:val="52"/>
          <w:szCs w:val="52"/>
          <w:lang w:val="en-US" w:eastAsia="zh-CN"/>
          <w14:textFill>
            <w14:solidFill>
              <w14:schemeClr w14:val="tx1"/>
            </w14:solidFill>
          </w14:textFill>
        </w:rPr>
        <w:t>30</w:t>
      </w:r>
      <w:r>
        <w:rPr>
          <w:rFonts w:hint="eastAsia" w:ascii="方正仿宋_GB2312" w:hAnsi="方正仿宋_GB2312" w:eastAsia="方正仿宋_GB2312" w:cs="方正仿宋_GB2312"/>
          <w:bCs/>
          <w:color w:val="000000" w:themeColor="text1"/>
          <w:sz w:val="52"/>
          <w:szCs w:val="52"/>
          <w14:textFill>
            <w14:solidFill>
              <w14:schemeClr w14:val="tx1"/>
            </w14:solidFill>
          </w14:textFill>
        </w:rPr>
        <w:t>年）</w:t>
      </w:r>
      <w:bookmarkEnd w:id="1"/>
      <w:r>
        <w:rPr>
          <w:rFonts w:hint="eastAsia" w:ascii="方正仿宋_GB2312" w:hAnsi="方正仿宋_GB2312" w:eastAsia="方正仿宋_GB2312" w:cs="方正仿宋_GB2312"/>
          <w:bCs/>
          <w:color w:val="000000" w:themeColor="text1"/>
          <w:sz w:val="52"/>
          <w:szCs w:val="52"/>
          <w14:textFill>
            <w14:solidFill>
              <w14:schemeClr w14:val="tx1"/>
            </w14:solidFill>
          </w14:textFill>
        </w:rPr>
        <w:cr/>
      </w:r>
    </w:p>
    <w:p w14:paraId="2D57160B">
      <w:pPr>
        <w:ind w:firstLine="0" w:firstLineChars="0"/>
        <w:jc w:val="center"/>
        <w:rPr>
          <w:rFonts w:hint="eastAsia" w:ascii="方正仿宋_GB2312" w:hAnsi="方正仿宋_GB2312" w:eastAsia="方正仿宋_GB2312" w:cs="方正仿宋_GB2312"/>
          <w:b/>
          <w:color w:val="000000" w:themeColor="text1"/>
          <w:sz w:val="36"/>
          <w:szCs w:val="36"/>
          <w14:textFill>
            <w14:solidFill>
              <w14:schemeClr w14:val="tx1"/>
            </w14:solidFill>
          </w14:textFill>
        </w:rPr>
      </w:pPr>
    </w:p>
    <w:p w14:paraId="00F55DC5">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601B03C4">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6DEEAFD9">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78DCFBB5">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50B153E7">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3DEC9637">
      <w:pPr>
        <w:ind w:firstLine="0" w:firstLineChars="0"/>
        <w:jc w:val="both"/>
        <w:rPr>
          <w:rFonts w:hint="eastAsia" w:ascii="方正仿宋_GB2312" w:hAnsi="方正仿宋_GB2312" w:eastAsia="方正仿宋_GB2312" w:cs="方正仿宋_GB2312"/>
          <w:b/>
          <w:color w:val="000000" w:themeColor="text1"/>
          <w:sz w:val="28"/>
          <w14:textFill>
            <w14:solidFill>
              <w14:schemeClr w14:val="tx1"/>
            </w14:solidFill>
          </w14:textFill>
        </w:rPr>
      </w:pPr>
    </w:p>
    <w:p w14:paraId="6113D575">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50F0DEB1">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1E08C92F">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439C0970">
      <w:pPr>
        <w:ind w:firstLine="0" w:firstLineChars="0"/>
        <w:jc w:val="center"/>
        <w:rPr>
          <w:rFonts w:hint="eastAsia" w:ascii="方正仿宋_GB2312" w:hAnsi="方正仿宋_GB2312" w:eastAsia="方正仿宋_GB2312" w:cs="方正仿宋_GB2312"/>
          <w:b/>
          <w:color w:val="000000" w:themeColor="text1"/>
          <w:sz w:val="28"/>
          <w14:textFill>
            <w14:solidFill>
              <w14:schemeClr w14:val="tx1"/>
            </w14:solidFill>
          </w14:textFill>
        </w:rPr>
      </w:pPr>
    </w:p>
    <w:p w14:paraId="7E247B30">
      <w:pPr>
        <w:ind w:firstLine="0" w:firstLineChars="0"/>
        <w:jc w:val="center"/>
        <w:rPr>
          <w:rFonts w:hint="default" w:ascii="方正仿宋_GB2312" w:hAnsi="方正仿宋_GB2312" w:eastAsia="方正仿宋_GB2312" w:cs="方正仿宋_GB2312"/>
          <w:b w:val="0"/>
          <w:bCs/>
          <w:color w:val="000000" w:themeColor="text1"/>
          <w:szCs w:val="22"/>
          <w:lang w:val="en-US" w:eastAsia="zh-CN"/>
          <w14:textFill>
            <w14:solidFill>
              <w14:schemeClr w14:val="tx1"/>
            </w14:solidFill>
          </w14:textFill>
        </w:rPr>
      </w:pPr>
    </w:p>
    <w:p w14:paraId="17DDB72B">
      <w:pPr>
        <w:ind w:firstLine="0" w:firstLineChars="0"/>
        <w:jc w:val="center"/>
        <w:rPr>
          <w:rFonts w:hint="eastAsia" w:ascii="方正仿宋_GB2312" w:hAnsi="方正仿宋_GB2312" w:eastAsia="方正仿宋_GB2312" w:cs="方正仿宋_GB2312"/>
          <w:b w:val="0"/>
          <w:bCs/>
          <w:color w:val="000000" w:themeColor="text1"/>
          <w:szCs w:val="22"/>
          <w14:textFill>
            <w14:solidFill>
              <w14:schemeClr w14:val="tx1"/>
            </w14:solidFill>
          </w14:textFill>
        </w:rPr>
      </w:pPr>
      <w:r>
        <w:rPr>
          <w:rFonts w:hint="eastAsia" w:ascii="方正仿宋_GB2312" w:hAnsi="方正仿宋_GB2312" w:eastAsia="方正仿宋_GB2312" w:cs="方正仿宋_GB2312"/>
          <w:b w:val="0"/>
          <w:bCs/>
          <w:color w:val="000000" w:themeColor="text1"/>
          <w:szCs w:val="22"/>
          <w14:textFill>
            <w14:solidFill>
              <w14:schemeClr w14:val="tx1"/>
            </w14:solidFill>
          </w14:textFill>
        </w:rPr>
        <w:t>二〇二五年</w:t>
      </w:r>
      <w:r>
        <w:rPr>
          <w:rFonts w:hint="eastAsia" w:ascii="方正仿宋_GB2312" w:hAnsi="方正仿宋_GB2312" w:eastAsia="方正仿宋_GB2312" w:cs="方正仿宋_GB2312"/>
          <w:b w:val="0"/>
          <w:bCs/>
          <w:color w:val="000000" w:themeColor="text1"/>
          <w:szCs w:val="22"/>
          <w:lang w:val="en-US" w:eastAsia="zh-CN"/>
          <w14:textFill>
            <w14:solidFill>
              <w14:schemeClr w14:val="tx1"/>
            </w14:solidFill>
          </w14:textFill>
        </w:rPr>
        <w:t>十二</w:t>
      </w:r>
      <w:r>
        <w:rPr>
          <w:rFonts w:hint="eastAsia" w:ascii="方正仿宋_GB2312" w:hAnsi="方正仿宋_GB2312" w:eastAsia="方正仿宋_GB2312" w:cs="方正仿宋_GB2312"/>
          <w:b w:val="0"/>
          <w:bCs/>
          <w:color w:val="000000" w:themeColor="text1"/>
          <w:szCs w:val="22"/>
          <w14:textFill>
            <w14:solidFill>
              <w14:schemeClr w14:val="tx1"/>
            </w14:solidFill>
          </w14:textFill>
        </w:rPr>
        <w:t>月</w:t>
      </w:r>
    </w:p>
    <w:p w14:paraId="660CBD03">
      <w:pPr>
        <w:ind w:firstLine="0" w:firstLineChars="0"/>
        <w:jc w:val="center"/>
        <w:rPr>
          <w:rFonts w:hint="eastAsia" w:ascii="方正仿宋_GB2312" w:hAnsi="方正仿宋_GB2312" w:eastAsia="方正仿宋_GB2312" w:cs="方正仿宋_GB2312"/>
          <w:color w:val="000000" w:themeColor="text1"/>
          <w:szCs w:val="24"/>
          <w14:textFill>
            <w14:solidFill>
              <w14:schemeClr w14:val="tx1"/>
            </w14:solidFill>
          </w14:textFill>
        </w:rPr>
      </w:pPr>
    </w:p>
    <w:p w14:paraId="67490425">
      <w:pPr>
        <w:ind w:firstLine="640"/>
        <w:jc w:val="center"/>
        <w:rPr>
          <w:rFonts w:hint="eastAsia" w:ascii="方正仿宋_GB2312" w:hAnsi="方正仿宋_GB2312" w:eastAsia="方正仿宋_GB2312" w:cs="方正仿宋_GB2312"/>
          <w:color w:val="000000" w:themeColor="text1"/>
          <w:szCs w:val="24"/>
          <w14:textFill>
            <w14:solidFill>
              <w14:schemeClr w14:val="tx1"/>
            </w14:solidFill>
          </w14:textFill>
        </w:rPr>
        <w:sectPr>
          <w:headerReference r:id="rId5" w:type="default"/>
          <w:footerReference r:id="rId7" w:type="default"/>
          <w:headerReference r:id="rId6" w:type="even"/>
          <w:footerReference r:id="rId8" w:type="even"/>
          <w:pgSz w:w="11906" w:h="16838"/>
          <w:pgMar w:top="2098" w:right="1474" w:bottom="1701" w:left="1474" w:header="992"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39002095">
      <w:pPr>
        <w:ind w:firstLine="0" w:firstLineChars="0"/>
        <w:jc w:val="center"/>
        <w:rPr>
          <w:rFonts w:hint="eastAsia" w:ascii="方正仿宋_GB2312" w:hAnsi="方正仿宋_GB2312" w:eastAsia="方正仿宋_GB2312" w:cs="方正仿宋_GB2312"/>
          <w:b/>
          <w:bCs/>
          <w:color w:val="000000" w:themeColor="text1"/>
          <w:szCs w:val="32"/>
          <w14:textFill>
            <w14:solidFill>
              <w14:schemeClr w14:val="tx1"/>
            </w14:solidFill>
          </w14:textFill>
        </w:rPr>
      </w:pPr>
      <w:r>
        <w:rPr>
          <w:rFonts w:hint="eastAsia" w:ascii="方正仿宋_GB2312" w:hAnsi="方正仿宋_GB2312" w:eastAsia="方正仿宋_GB2312" w:cs="方正仿宋_GB2312"/>
          <w:b/>
          <w:bCs/>
          <w:color w:val="000000" w:themeColor="text1"/>
          <w:szCs w:val="32"/>
          <w14:textFill>
            <w14:solidFill>
              <w14:schemeClr w14:val="tx1"/>
            </w14:solidFill>
          </w14:textFill>
        </w:rPr>
        <w:t>目录</w:t>
      </w:r>
    </w:p>
    <w:p w14:paraId="3D9D85EE">
      <w:pPr>
        <w:pStyle w:val="16"/>
        <w:tabs>
          <w:tab w:val="right" w:leader="dot" w:pos="8958"/>
          <w:tab w:val="clear" w:pos="9060"/>
        </w:tabs>
      </w:pPr>
      <w:r>
        <w:rPr>
          <w:rFonts w:hint="eastAsia" w:ascii="方正仿宋_GB2312" w:hAnsi="方正仿宋_GB2312" w:eastAsia="方正仿宋_GB2312" w:cs="方正仿宋_GB2312"/>
          <w:b/>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b/>
          <w:color w:val="000000" w:themeColor="text1"/>
          <w:szCs w:val="24"/>
          <w14:textFill>
            <w14:solidFill>
              <w14:schemeClr w14:val="tx1"/>
            </w14:solidFill>
          </w14:textFill>
        </w:rPr>
        <w:instrText xml:space="preserve"> TOC \o "1-2" \h \z \u </w:instrText>
      </w:r>
      <w:r>
        <w:rPr>
          <w:rFonts w:hint="eastAsia" w:ascii="方正仿宋_GB2312" w:hAnsi="方正仿宋_GB2312" w:eastAsia="方正仿宋_GB2312" w:cs="方正仿宋_GB2312"/>
          <w:b/>
          <w:color w:val="000000" w:themeColor="text1"/>
          <w:szCs w:val="24"/>
          <w14:textFill>
            <w14:solidFill>
              <w14:schemeClr w14:val="tx1"/>
            </w14:solidFill>
          </w14:textFill>
        </w:rPr>
        <w:fldChar w:fldCharType="separate"/>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_Toc22679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一、</w:t>
      </w:r>
      <w:r>
        <w:rPr>
          <w:rFonts w:hint="eastAsia" w:ascii="方正仿宋_GB2312" w:hAnsi="方正仿宋_GB2312" w:eastAsia="方正仿宋_GB2312" w:cs="方正仿宋_GB2312"/>
          <w:bCs w:val="0"/>
        </w:rPr>
        <w:t>总则</w:t>
      </w:r>
      <w:r>
        <w:tab/>
      </w:r>
      <w:r>
        <w:fldChar w:fldCharType="begin"/>
      </w:r>
      <w:r>
        <w:instrText xml:space="preserve"> PAGEREF _Toc22679 \h </w:instrText>
      </w:r>
      <w:r>
        <w:fldChar w:fldCharType="separate"/>
      </w:r>
      <w:r>
        <w:t>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F33D0F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_Toc28567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规划背景</w:t>
      </w:r>
      <w:r>
        <w:tab/>
      </w:r>
      <w:r>
        <w:fldChar w:fldCharType="begin"/>
      </w:r>
      <w:r>
        <w:instrText xml:space="preserve"> PAGEREF _Toc28567 \h </w:instrText>
      </w:r>
      <w:r>
        <w:fldChar w:fldCharType="separate"/>
      </w:r>
      <w:r>
        <w:t>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E2BBC4D">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_Toc4761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rPr>
        <w:t>编制依据</w:t>
      </w:r>
      <w:r>
        <w:tab/>
      </w:r>
      <w:r>
        <w:fldChar w:fldCharType="begin"/>
      </w:r>
      <w:r>
        <w:instrText xml:space="preserve"> PAGEREF _Toc4761 \h </w:instrText>
      </w:r>
      <w:r>
        <w:fldChar w:fldCharType="separate"/>
      </w:r>
      <w:r>
        <w:t>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55BF9DA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_Toc25088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（三）</w:t>
      </w:r>
      <w:r>
        <w:rPr>
          <w:rFonts w:hint="eastAsia" w:ascii="方正仿宋_GB2312" w:hAnsi="方正仿宋_GB2312" w:eastAsia="方正仿宋_GB2312" w:cs="方正仿宋_GB2312"/>
        </w:rPr>
        <w:t>规划范围</w:t>
      </w:r>
      <w:r>
        <w:tab/>
      </w:r>
      <w:r>
        <w:fldChar w:fldCharType="begin"/>
      </w:r>
      <w:r>
        <w:instrText xml:space="preserve"> PAGEREF _Toc25088 \h </w:instrText>
      </w:r>
      <w:r>
        <w:fldChar w:fldCharType="separate"/>
      </w:r>
      <w:r>
        <w:t>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115763E9">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_Toc14646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（四）</w:t>
      </w:r>
      <w:r>
        <w:rPr>
          <w:rFonts w:hint="eastAsia" w:ascii="方正仿宋_GB2312" w:hAnsi="方正仿宋_GB2312" w:eastAsia="方正仿宋_GB2312" w:cs="方正仿宋_GB2312"/>
        </w:rPr>
        <w:t>规划期限</w:t>
      </w:r>
      <w:r>
        <w:tab/>
      </w:r>
      <w:r>
        <w:fldChar w:fldCharType="begin"/>
      </w:r>
      <w:r>
        <w:instrText xml:space="preserve"> PAGEREF _Toc14646 \h </w:instrText>
      </w:r>
      <w:r>
        <w:fldChar w:fldCharType="separate"/>
      </w:r>
      <w:r>
        <w:t>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E3B5A25">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_Toc22337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二、</w:t>
      </w:r>
      <w:r>
        <w:rPr>
          <w:rFonts w:hint="eastAsia" w:ascii="方正仿宋_GB2312" w:hAnsi="方正仿宋_GB2312" w:eastAsia="方正仿宋_GB2312" w:cs="方正仿宋_GB2312"/>
          <w:bCs w:val="0"/>
        </w:rPr>
        <w:t>区域概况</w:t>
      </w:r>
      <w:r>
        <w:tab/>
      </w:r>
      <w:r>
        <w:fldChar w:fldCharType="begin"/>
      </w:r>
      <w:r>
        <w:instrText xml:space="preserve"> PAGEREF _Toc22337 \h </w:instrText>
      </w:r>
      <w:r>
        <w:fldChar w:fldCharType="separate"/>
      </w:r>
      <w:r>
        <w:t>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6955E08">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_Toc30286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行政区划</w:t>
      </w:r>
      <w:r>
        <w:tab/>
      </w:r>
      <w:r>
        <w:fldChar w:fldCharType="begin"/>
      </w:r>
      <w:r>
        <w:instrText xml:space="preserve"> PAGEREF _Toc30286 \h </w:instrText>
      </w:r>
      <w:r>
        <w:fldChar w:fldCharType="separate"/>
      </w:r>
      <w:r>
        <w:t>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FA393BA">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_Toc16651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rPr>
        <w:t>自然气候条件</w:t>
      </w:r>
      <w:r>
        <w:tab/>
      </w:r>
      <w:r>
        <w:fldChar w:fldCharType="begin"/>
      </w:r>
      <w:r>
        <w:instrText xml:space="preserve"> PAGEREF _Toc16651 \h </w:instrText>
      </w:r>
      <w:r>
        <w:fldChar w:fldCharType="separate"/>
      </w:r>
      <w:r>
        <w:t>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115C87A">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_Toc28371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（三）</w:t>
      </w:r>
      <w:r>
        <w:rPr>
          <w:rFonts w:hint="eastAsia" w:ascii="方正仿宋_GB2312" w:hAnsi="方正仿宋_GB2312" w:eastAsia="方正仿宋_GB2312" w:cs="方正仿宋_GB2312"/>
        </w:rPr>
        <w:t>社会经济状况</w:t>
      </w:r>
      <w:r>
        <w:tab/>
      </w:r>
      <w:r>
        <w:fldChar w:fldCharType="begin"/>
      </w:r>
      <w:r>
        <w:instrText xml:space="preserve"> PAGEREF _Toc28371 \h </w:instrText>
      </w:r>
      <w:r>
        <w:fldChar w:fldCharType="separate"/>
      </w:r>
      <w:r>
        <w:t>11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23B044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_Toc27247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（四）</w:t>
      </w:r>
      <w:r>
        <w:rPr>
          <w:rFonts w:hint="eastAsia" w:ascii="方正仿宋_GB2312" w:hAnsi="方正仿宋_GB2312" w:eastAsia="方正仿宋_GB2312" w:cs="方正仿宋_GB2312"/>
        </w:rPr>
        <w:t>生态环境概况</w:t>
      </w:r>
      <w:r>
        <w:tab/>
      </w:r>
      <w:r>
        <w:fldChar w:fldCharType="begin"/>
      </w:r>
      <w:r>
        <w:instrText xml:space="preserve"> PAGEREF _Toc27247 \h </w:instrText>
      </w:r>
      <w:r>
        <w:fldChar w:fldCharType="separate"/>
      </w:r>
      <w:r>
        <w:t>14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88A1DDE">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_Toc7154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（五）</w:t>
      </w:r>
      <w:r>
        <w:rPr>
          <w:rFonts w:hint="eastAsia" w:ascii="方正仿宋_GB2312" w:hAnsi="方正仿宋_GB2312" w:eastAsia="方正仿宋_GB2312" w:cs="方正仿宋_GB2312"/>
        </w:rPr>
        <w:t>畜禽养殖污染防治现状</w:t>
      </w:r>
      <w:r>
        <w:tab/>
      </w:r>
      <w:r>
        <w:fldChar w:fldCharType="begin"/>
      </w:r>
      <w:r>
        <w:instrText xml:space="preserve"> PAGEREF _Toc7154 \h </w:instrText>
      </w:r>
      <w:r>
        <w:fldChar w:fldCharType="separate"/>
      </w:r>
      <w:r>
        <w:t>23</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C798DEE">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_Toc16597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（六）</w:t>
      </w:r>
      <w:r>
        <w:rPr>
          <w:rFonts w:hint="eastAsia" w:ascii="方正仿宋_GB2312" w:hAnsi="方正仿宋_GB2312" w:eastAsia="方正仿宋_GB2312" w:cs="方正仿宋_GB2312"/>
          <w:lang w:eastAsia="zh-CN"/>
        </w:rPr>
        <w:t>恩平市畜牧业发展规划和种养循环发展规划（2020-2025年）</w:t>
      </w:r>
      <w:r>
        <w:tab/>
      </w:r>
      <w:r>
        <w:fldChar w:fldCharType="begin"/>
      </w:r>
      <w:r>
        <w:instrText xml:space="preserve"> PAGEREF _Toc16597 \h </w:instrText>
      </w:r>
      <w:r>
        <w:fldChar w:fldCharType="separate"/>
      </w:r>
      <w:r>
        <w:t>42</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E76A994">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_Toc29337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（七）</w:t>
      </w:r>
      <w:r>
        <w:rPr>
          <w:rFonts w:hint="eastAsia" w:ascii="方正仿宋_GB2312" w:hAnsi="方正仿宋_GB2312" w:eastAsia="方正仿宋_GB2312" w:cs="方正仿宋_GB2312"/>
          <w:lang w:eastAsia="zh-CN"/>
        </w:rPr>
        <w:t>恩平市生猪产业发展专项规划（2022-2026年）</w:t>
      </w:r>
      <w:r>
        <w:tab/>
      </w:r>
      <w:r>
        <w:fldChar w:fldCharType="begin"/>
      </w:r>
      <w:r>
        <w:instrText xml:space="preserve"> PAGEREF _Toc29337 \h </w:instrText>
      </w:r>
      <w:r>
        <w:fldChar w:fldCharType="separate"/>
      </w:r>
      <w:r>
        <w:t>45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033FDCC">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_Toc22005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（八）</w:t>
      </w:r>
      <w:r>
        <w:rPr>
          <w:rFonts w:hint="eastAsia" w:ascii="方正仿宋_GB2312" w:hAnsi="方正仿宋_GB2312" w:eastAsia="方正仿宋_GB2312" w:cs="方正仿宋_GB2312"/>
          <w:lang w:eastAsia="zh-CN"/>
        </w:rPr>
        <w:t>江门市畜禽养殖污染防治规划（2024-2030年）</w:t>
      </w:r>
      <w:r>
        <w:tab/>
      </w:r>
      <w:r>
        <w:fldChar w:fldCharType="begin"/>
      </w:r>
      <w:r>
        <w:instrText xml:space="preserve"> PAGEREF _Toc22005 \h </w:instrText>
      </w:r>
      <w:r>
        <w:fldChar w:fldCharType="separate"/>
      </w:r>
      <w:r>
        <w:t>50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87556EF">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_Toc29724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三、</w:t>
      </w:r>
      <w:r>
        <w:rPr>
          <w:rFonts w:hint="eastAsia" w:ascii="方正仿宋_GB2312" w:hAnsi="方正仿宋_GB2312" w:eastAsia="方正仿宋_GB2312" w:cs="方正仿宋_GB2312"/>
          <w:bCs w:val="0"/>
        </w:rPr>
        <w:t>现状与形势</w:t>
      </w:r>
      <w:r>
        <w:tab/>
      </w:r>
      <w:r>
        <w:fldChar w:fldCharType="begin"/>
      </w:r>
      <w:r>
        <w:instrText xml:space="preserve"> PAGEREF _Toc29724 \h </w:instrText>
      </w:r>
      <w:r>
        <w:fldChar w:fldCharType="separate"/>
      </w:r>
      <w:r>
        <w:t>52</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DE382E9">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_Toc27236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工作成效</w:t>
      </w:r>
      <w:r>
        <w:tab/>
      </w:r>
      <w:r>
        <w:fldChar w:fldCharType="begin"/>
      </w:r>
      <w:r>
        <w:instrText xml:space="preserve"> PAGEREF _Toc27236 \h </w:instrText>
      </w:r>
      <w:r>
        <w:fldChar w:fldCharType="separate"/>
      </w:r>
      <w:r>
        <w:t>52</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54BF71D">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_Toc22787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lang w:val="en-US" w:eastAsia="zh-CN"/>
        </w:rPr>
        <w:t>存在问题</w:t>
      </w:r>
      <w:r>
        <w:tab/>
      </w:r>
      <w:r>
        <w:fldChar w:fldCharType="begin"/>
      </w:r>
      <w:r>
        <w:instrText xml:space="preserve"> PAGEREF _Toc22787 \h </w:instrText>
      </w:r>
      <w:r>
        <w:fldChar w:fldCharType="separate"/>
      </w:r>
      <w:r>
        <w:t>54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AD0E5A5">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_Toc3502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四、</w:t>
      </w:r>
      <w:r>
        <w:rPr>
          <w:rFonts w:hint="eastAsia" w:ascii="方正仿宋_GB2312" w:hAnsi="方正仿宋_GB2312" w:eastAsia="方正仿宋_GB2312" w:cs="方正仿宋_GB2312"/>
          <w:bCs w:val="0"/>
        </w:rPr>
        <w:t>规划目标</w:t>
      </w:r>
      <w:r>
        <w:tab/>
      </w:r>
      <w:r>
        <w:fldChar w:fldCharType="begin"/>
      </w:r>
      <w:r>
        <w:instrText xml:space="preserve"> PAGEREF _Toc3502 \h </w:instrText>
      </w:r>
      <w:r>
        <w:fldChar w:fldCharType="separate"/>
      </w:r>
      <w:r>
        <w:t>56</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6CDCCB7">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_Toc20297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指导思想</w:t>
      </w:r>
      <w:r>
        <w:tab/>
      </w:r>
      <w:r>
        <w:fldChar w:fldCharType="begin"/>
      </w:r>
      <w:r>
        <w:instrText xml:space="preserve"> PAGEREF _Toc20297 \h </w:instrText>
      </w:r>
      <w:r>
        <w:fldChar w:fldCharType="separate"/>
      </w:r>
      <w:r>
        <w:t>56</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5C6B81B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_Toc2067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rPr>
        <w:t>规划原则</w:t>
      </w:r>
      <w:r>
        <w:tab/>
      </w:r>
      <w:r>
        <w:fldChar w:fldCharType="begin"/>
      </w:r>
      <w:r>
        <w:instrText xml:space="preserve"> PAGEREF _Toc2067 \h </w:instrText>
      </w:r>
      <w:r>
        <w:fldChar w:fldCharType="separate"/>
      </w:r>
      <w:r>
        <w:t>57</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047D1A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_Toc20372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（三）</w:t>
      </w:r>
      <w:r>
        <w:rPr>
          <w:rFonts w:hint="eastAsia" w:ascii="方正仿宋_GB2312" w:hAnsi="方正仿宋_GB2312" w:eastAsia="方正仿宋_GB2312" w:cs="方正仿宋_GB2312"/>
        </w:rPr>
        <w:t>规划目标和指标</w:t>
      </w:r>
      <w:r>
        <w:tab/>
      </w:r>
      <w:r>
        <w:fldChar w:fldCharType="begin"/>
      </w:r>
      <w:r>
        <w:instrText xml:space="preserve"> PAGEREF _Toc20372 \h </w:instrText>
      </w:r>
      <w:r>
        <w:fldChar w:fldCharType="separate"/>
      </w:r>
      <w:r>
        <w:t>58</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BAE7E5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_Toc9059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（四）</w:t>
      </w:r>
      <w:r>
        <w:rPr>
          <w:rFonts w:hint="eastAsia" w:ascii="方正仿宋_GB2312" w:hAnsi="方正仿宋_GB2312" w:eastAsia="方正仿宋_GB2312" w:cs="方正仿宋_GB2312"/>
        </w:rPr>
        <w:t>环境承载力分析</w:t>
      </w:r>
      <w:r>
        <w:tab/>
      </w:r>
      <w:r>
        <w:fldChar w:fldCharType="begin"/>
      </w:r>
      <w:r>
        <w:instrText xml:space="preserve"> PAGEREF _Toc9059 \h </w:instrText>
      </w:r>
      <w:r>
        <w:fldChar w:fldCharType="separate"/>
      </w:r>
      <w:r>
        <w:t>60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692B8D2">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_Toc26926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（五）</w:t>
      </w:r>
      <w:r>
        <w:rPr>
          <w:rFonts w:hint="eastAsia" w:ascii="方正仿宋_GB2312" w:hAnsi="方正仿宋_GB2312" w:eastAsia="方正仿宋_GB2312" w:cs="方正仿宋_GB2312"/>
        </w:rPr>
        <w:t>规划目标可达性分析</w:t>
      </w:r>
      <w:r>
        <w:tab/>
      </w:r>
      <w:r>
        <w:fldChar w:fldCharType="begin"/>
      </w:r>
      <w:r>
        <w:instrText xml:space="preserve"> PAGEREF _Toc26926 \h </w:instrText>
      </w:r>
      <w:r>
        <w:fldChar w:fldCharType="separate"/>
      </w:r>
      <w:r>
        <w:t>67</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2C31A62">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_Toc21394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 xml:space="preserve">五、 </w:t>
      </w:r>
      <w:r>
        <w:rPr>
          <w:rFonts w:hint="eastAsia" w:ascii="方正仿宋_GB2312" w:hAnsi="方正仿宋_GB2312" w:eastAsia="方正仿宋_GB2312" w:cs="方正仿宋_GB2312"/>
          <w:bCs w:val="0"/>
        </w:rPr>
        <w:t>主要任务</w:t>
      </w:r>
      <w:r>
        <w:tab/>
      </w:r>
      <w:r>
        <w:fldChar w:fldCharType="begin"/>
      </w:r>
      <w:r>
        <w:instrText xml:space="preserve"> PAGEREF _Toc21394 \h </w:instrText>
      </w:r>
      <w:r>
        <w:fldChar w:fldCharType="separate"/>
      </w:r>
      <w:r>
        <w:t>69</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75359E3">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_Toc8905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（一）优化畜禽养殖产业布局</w:t>
      </w:r>
      <w:r>
        <w:tab/>
      </w:r>
      <w:r>
        <w:fldChar w:fldCharType="begin"/>
      </w:r>
      <w:r>
        <w:instrText xml:space="preserve"> PAGEREF _Toc8905 \h </w:instrText>
      </w:r>
      <w:r>
        <w:fldChar w:fldCharType="separate"/>
      </w:r>
      <w:r>
        <w:t>69</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8CBCF7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_Toc1263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（二）提高畜禽养殖治污技术水平</w:t>
      </w:r>
      <w:r>
        <w:tab/>
      </w:r>
      <w:r>
        <w:fldChar w:fldCharType="begin"/>
      </w:r>
      <w:r>
        <w:instrText xml:space="preserve"> PAGEREF _Toc1263 \h </w:instrText>
      </w:r>
      <w:r>
        <w:fldChar w:fldCharType="separate"/>
      </w:r>
      <w:r>
        <w:t>70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1F983EC">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_Toc15949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（三）提升畜禽粪污资源化利用水平</w:t>
      </w:r>
      <w:r>
        <w:tab/>
      </w:r>
      <w:r>
        <w:fldChar w:fldCharType="begin"/>
      </w:r>
      <w:r>
        <w:instrText xml:space="preserve"> PAGEREF _Toc15949 \h </w:instrText>
      </w:r>
      <w:r>
        <w:fldChar w:fldCharType="separate"/>
      </w:r>
      <w:r>
        <w:t>71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D5DE3BD">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_Toc17710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（四）强化畜禽养殖环境监管</w:t>
      </w:r>
      <w:r>
        <w:tab/>
      </w:r>
      <w:r>
        <w:fldChar w:fldCharType="begin"/>
      </w:r>
      <w:r>
        <w:instrText xml:space="preserve"> PAGEREF _Toc17710 \h </w:instrText>
      </w:r>
      <w:r>
        <w:fldChar w:fldCharType="separate"/>
      </w:r>
      <w:r>
        <w:t>72</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5D033843">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_Toc24652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六、</w:t>
      </w:r>
      <w:r>
        <w:rPr>
          <w:rFonts w:hint="eastAsia" w:ascii="方正仿宋_GB2312" w:hAnsi="方正仿宋_GB2312" w:eastAsia="方正仿宋_GB2312" w:cs="方正仿宋_GB2312"/>
          <w:bCs w:val="0"/>
        </w:rPr>
        <w:t>工程投资估算与资金筹措</w:t>
      </w:r>
      <w:r>
        <w:tab/>
      </w:r>
      <w:r>
        <w:fldChar w:fldCharType="begin"/>
      </w:r>
      <w:r>
        <w:instrText xml:space="preserve"> PAGEREF _Toc24652 \h </w:instrText>
      </w:r>
      <w:r>
        <w:fldChar w:fldCharType="separate"/>
      </w:r>
      <w:r>
        <w:t>74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093FE2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_Toc26017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szCs w:val="30"/>
          <w:lang w:val="en-US" w:eastAsia="zh-CN"/>
        </w:rPr>
        <w:t>（一）重点工程</w:t>
      </w:r>
      <w:r>
        <w:tab/>
      </w:r>
      <w:r>
        <w:fldChar w:fldCharType="begin"/>
      </w:r>
      <w:r>
        <w:instrText xml:space="preserve"> PAGEREF _Toc26017 \h </w:instrText>
      </w:r>
      <w:r>
        <w:fldChar w:fldCharType="separate"/>
      </w:r>
      <w:r>
        <w:t>74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79DDD1A">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_Toc24519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（二）资金筹措</w:t>
      </w:r>
      <w:r>
        <w:tab/>
      </w:r>
      <w:r>
        <w:fldChar w:fldCharType="begin"/>
      </w:r>
      <w:r>
        <w:instrText xml:space="preserve"> PAGEREF _Toc24519 \h </w:instrText>
      </w:r>
      <w:r>
        <w:fldChar w:fldCharType="separate"/>
      </w:r>
      <w:r>
        <w:t>75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41451E4">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_Toc26707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七、</w:t>
      </w:r>
      <w:r>
        <w:rPr>
          <w:rFonts w:hint="eastAsia" w:ascii="方正仿宋_GB2312" w:hAnsi="方正仿宋_GB2312" w:eastAsia="方正仿宋_GB2312" w:cs="方正仿宋_GB2312"/>
          <w:bCs w:val="0"/>
        </w:rPr>
        <w:t>效益分析</w:t>
      </w:r>
      <w:r>
        <w:tab/>
      </w:r>
      <w:r>
        <w:fldChar w:fldCharType="begin"/>
      </w:r>
      <w:r>
        <w:instrText xml:space="preserve"> PAGEREF _Toc26707 \h </w:instrText>
      </w:r>
      <w:r>
        <w:fldChar w:fldCharType="separate"/>
      </w:r>
      <w:r>
        <w:t>75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A833C7A">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_Toc26986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环境效益分析</w:t>
      </w:r>
      <w:r>
        <w:tab/>
      </w:r>
      <w:r>
        <w:fldChar w:fldCharType="begin"/>
      </w:r>
      <w:r>
        <w:instrText xml:space="preserve"> PAGEREF _Toc26986 \h </w:instrText>
      </w:r>
      <w:r>
        <w:fldChar w:fldCharType="separate"/>
      </w:r>
      <w:r>
        <w:t>75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C84A37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_Toc22242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rPr>
        <w:t>经济效益分析</w:t>
      </w:r>
      <w:r>
        <w:tab/>
      </w:r>
      <w:r>
        <w:fldChar w:fldCharType="begin"/>
      </w:r>
      <w:r>
        <w:instrText xml:space="preserve"> PAGEREF _Toc22242 \h </w:instrText>
      </w:r>
      <w:r>
        <w:fldChar w:fldCharType="separate"/>
      </w:r>
      <w:r>
        <w:t>76</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1D13EC5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_Toc14705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（三）</w:t>
      </w:r>
      <w:r>
        <w:rPr>
          <w:rFonts w:hint="eastAsia" w:ascii="方正仿宋_GB2312" w:hAnsi="方正仿宋_GB2312" w:eastAsia="方正仿宋_GB2312" w:cs="方正仿宋_GB2312"/>
        </w:rPr>
        <w:t>社会效益分析</w:t>
      </w:r>
      <w:r>
        <w:tab/>
      </w:r>
      <w:r>
        <w:fldChar w:fldCharType="begin"/>
      </w:r>
      <w:r>
        <w:instrText xml:space="preserve"> PAGEREF _Toc14705 \h </w:instrText>
      </w:r>
      <w:r>
        <w:fldChar w:fldCharType="separate"/>
      </w:r>
      <w:r>
        <w:t>76</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2313DE9">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_Toc22863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val="0"/>
          <w:i w:val="0"/>
          <w:spacing w:val="0"/>
          <w:w w:val="100"/>
          <w:kern w:val="44"/>
          <w:position w:val="0"/>
          <w:szCs w:val="44"/>
          <w:lang w:val="en-US" w:eastAsia="zh-CN" w:bidi="ar-SA"/>
        </w:rPr>
        <w:t>八、</w:t>
      </w:r>
      <w:r>
        <w:rPr>
          <w:rFonts w:hint="eastAsia" w:ascii="方正仿宋_GB2312" w:hAnsi="方正仿宋_GB2312" w:eastAsia="方正仿宋_GB2312" w:cs="方正仿宋_GB2312"/>
          <w:bCs w:val="0"/>
        </w:rPr>
        <w:t>规划实施保障措施</w:t>
      </w:r>
      <w:r>
        <w:tab/>
      </w:r>
      <w:r>
        <w:fldChar w:fldCharType="begin"/>
      </w:r>
      <w:r>
        <w:instrText xml:space="preserve"> PAGEREF _Toc22863 \h </w:instrText>
      </w:r>
      <w:r>
        <w:fldChar w:fldCharType="separate"/>
      </w:r>
      <w:r>
        <w:t>77</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5960B1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_Toc2503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（一）</w:t>
      </w:r>
      <w:r>
        <w:rPr>
          <w:rFonts w:hint="eastAsia" w:ascii="方正仿宋_GB2312" w:hAnsi="方正仿宋_GB2312" w:eastAsia="方正仿宋_GB2312" w:cs="方正仿宋_GB2312"/>
        </w:rPr>
        <w:t>组织保障</w:t>
      </w:r>
      <w:r>
        <w:tab/>
      </w:r>
      <w:r>
        <w:fldChar w:fldCharType="begin"/>
      </w:r>
      <w:r>
        <w:instrText xml:space="preserve"> PAGEREF _Toc2503 \h </w:instrText>
      </w:r>
      <w:r>
        <w:fldChar w:fldCharType="separate"/>
      </w:r>
      <w:r>
        <w:t>77</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56F66AB">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_Toc21528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（二）</w:t>
      </w:r>
      <w:r>
        <w:rPr>
          <w:rFonts w:hint="eastAsia" w:ascii="方正仿宋_GB2312" w:hAnsi="方正仿宋_GB2312" w:eastAsia="方正仿宋_GB2312" w:cs="方正仿宋_GB2312"/>
        </w:rPr>
        <w:t>资金保障</w:t>
      </w:r>
      <w:r>
        <w:tab/>
      </w:r>
      <w:r>
        <w:fldChar w:fldCharType="begin"/>
      </w:r>
      <w:r>
        <w:instrText xml:space="preserve"> PAGEREF _Toc21528 \h </w:instrText>
      </w:r>
      <w:r>
        <w:fldChar w:fldCharType="separate"/>
      </w:r>
      <w:r>
        <w:t>79</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E8F1F83">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_Toc32297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（三）</w:t>
      </w:r>
      <w:r>
        <w:rPr>
          <w:rFonts w:hint="eastAsia" w:ascii="方正仿宋_GB2312" w:hAnsi="方正仿宋_GB2312" w:eastAsia="方正仿宋_GB2312" w:cs="方正仿宋_GB2312"/>
        </w:rPr>
        <w:t>人才和技术保障</w:t>
      </w:r>
      <w:r>
        <w:tab/>
      </w:r>
      <w:r>
        <w:fldChar w:fldCharType="begin"/>
      </w:r>
      <w:r>
        <w:instrText xml:space="preserve"> PAGEREF _Toc32297 \h </w:instrText>
      </w:r>
      <w:r>
        <w:fldChar w:fldCharType="separate"/>
      </w:r>
      <w:r>
        <w:t>79</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835FB15">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_Toc20568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（四）加强监管执法</w:t>
      </w:r>
      <w:r>
        <w:tab/>
      </w:r>
      <w:r>
        <w:fldChar w:fldCharType="begin"/>
      </w:r>
      <w:r>
        <w:instrText xml:space="preserve"> PAGEREF _Toc20568 \h </w:instrText>
      </w:r>
      <w:r>
        <w:fldChar w:fldCharType="separate"/>
      </w:r>
      <w:r>
        <w:t>80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06B874A">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_Toc26192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bCs/>
          <w:i w:val="0"/>
          <w:kern w:val="2"/>
          <w:szCs w:val="32"/>
          <w:lang w:val="en-US" w:eastAsia="zh-CN" w:bidi="ar-SA"/>
        </w:rPr>
        <w:t>（五）加强宣传引导</w:t>
      </w:r>
      <w:r>
        <w:tab/>
      </w:r>
      <w:r>
        <w:fldChar w:fldCharType="begin"/>
      </w:r>
      <w:r>
        <w:instrText xml:space="preserve"> PAGEREF _Toc26192 \h </w:instrText>
      </w:r>
      <w:r>
        <w:fldChar w:fldCharType="separate"/>
      </w:r>
      <w:r>
        <w:t>80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61599AFF">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_Toc17866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附件</w:t>
      </w:r>
      <w:r>
        <w:rPr>
          <w:rFonts w:hint="eastAsia" w:ascii="方正仿宋_GB2312" w:hAnsi="方正仿宋_GB2312" w:eastAsia="方正仿宋_GB2312" w:cs="方正仿宋_GB2312"/>
          <w:lang w:eastAsia="zh-CN"/>
        </w:rPr>
        <w:t>：</w:t>
      </w:r>
      <w:r>
        <w:tab/>
      </w:r>
      <w:r>
        <w:fldChar w:fldCharType="begin"/>
      </w:r>
      <w:r>
        <w:instrText xml:space="preserve"> PAGEREF _Toc17866 \h </w:instrText>
      </w:r>
      <w:r>
        <w:fldChar w:fldCharType="separate"/>
      </w:r>
      <w:r>
        <w:t>81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25A5F37">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_Toc11883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szCs w:val="24"/>
        </w:rPr>
        <w:t>附表</w:t>
      </w:r>
      <w:r>
        <w:rPr>
          <w:rFonts w:hint="eastAsia" w:ascii="方正仿宋_GB2312" w:hAnsi="方正仿宋_GB2312" w:eastAsia="方正仿宋_GB2312" w:cs="方正仿宋_GB2312"/>
          <w:szCs w:val="24"/>
          <w:lang w:val="en-US" w:eastAsia="zh-CN"/>
        </w:rPr>
        <w:t>1</w:t>
      </w:r>
      <w:r>
        <w:rPr>
          <w:rFonts w:hint="eastAsia" w:ascii="方正仿宋_GB2312" w:hAnsi="方正仿宋_GB2312" w:eastAsia="方正仿宋_GB2312" w:cs="方正仿宋_GB2312"/>
          <w:szCs w:val="24"/>
        </w:rPr>
        <w:t xml:space="preserve">  </w:t>
      </w:r>
      <w:r>
        <w:rPr>
          <w:rFonts w:hint="eastAsia" w:ascii="方正仿宋_GB2312" w:hAnsi="方正仿宋_GB2312" w:eastAsia="方正仿宋_GB2312" w:cs="方正仿宋_GB2312"/>
          <w:szCs w:val="24"/>
          <w:lang w:val="en-US" w:eastAsia="zh-CN"/>
        </w:rPr>
        <w:t>恩平市生猪</w:t>
      </w:r>
      <w:r>
        <w:rPr>
          <w:rFonts w:hint="eastAsia" w:ascii="方正仿宋_GB2312" w:hAnsi="方正仿宋_GB2312" w:eastAsia="方正仿宋_GB2312" w:cs="方正仿宋_GB2312"/>
          <w:szCs w:val="24"/>
        </w:rPr>
        <w:t>养殖场现状养殖情况统计表</w:t>
      </w:r>
      <w:r>
        <w:tab/>
      </w:r>
      <w:r>
        <w:fldChar w:fldCharType="begin"/>
      </w:r>
      <w:r>
        <w:instrText xml:space="preserve"> PAGEREF _Toc11883 \h </w:instrText>
      </w:r>
      <w:r>
        <w:fldChar w:fldCharType="separate"/>
      </w:r>
      <w:r>
        <w:t>81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826EEF4">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_Toc24017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w:t>
      </w:r>
      <w:r>
        <w:rPr>
          <w:rFonts w:hint="eastAsia" w:ascii="方正仿宋_GB2312" w:hAnsi="方正仿宋_GB2312" w:eastAsia="方正仿宋_GB2312" w:cs="方正仿宋_GB2312"/>
          <w:lang w:val="en-US" w:eastAsia="zh-CN"/>
        </w:rPr>
        <w:t>表2恩平</w:t>
      </w:r>
      <w:r>
        <w:rPr>
          <w:rFonts w:hint="eastAsia" w:ascii="方正仿宋_GB2312" w:hAnsi="方正仿宋_GB2312" w:eastAsia="方正仿宋_GB2312" w:cs="方正仿宋_GB2312"/>
        </w:rPr>
        <w:t>市畜禽养殖污染防治重点工程支持主体清单</w:t>
      </w:r>
      <w:r>
        <w:tab/>
      </w:r>
      <w:r>
        <w:fldChar w:fldCharType="begin"/>
      </w:r>
      <w:r>
        <w:instrText xml:space="preserve"> PAGEREF _Toc24017 \h </w:instrText>
      </w:r>
      <w:r>
        <w:fldChar w:fldCharType="separate"/>
      </w:r>
      <w:r>
        <w:t>88</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04D6BF0E">
      <w:pPr>
        <w:pStyle w:val="16"/>
        <w:tabs>
          <w:tab w:val="right" w:leader="dot" w:pos="8958"/>
          <w:tab w:val="clear" w:pos="9060"/>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_Toc22642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附图</w:t>
      </w:r>
      <w:r>
        <w:tab/>
      </w:r>
      <w:r>
        <w:fldChar w:fldCharType="begin"/>
      </w:r>
      <w:r>
        <w:instrText xml:space="preserve"> PAGEREF _Toc22642 \h </w:instrText>
      </w:r>
      <w:r>
        <w:fldChar w:fldCharType="separate"/>
      </w:r>
      <w:r>
        <w:t>90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021D1C3">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_Toc16388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附图1行政区划图</w:t>
      </w:r>
      <w:r>
        <w:tab/>
      </w:r>
      <w:r>
        <w:fldChar w:fldCharType="begin"/>
      </w:r>
      <w:r>
        <w:instrText xml:space="preserve"> PAGEREF _Toc16388 \h </w:instrText>
      </w:r>
      <w:r>
        <w:fldChar w:fldCharType="separate"/>
      </w:r>
      <w:r>
        <w:t>90</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3BB523F5">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_Toc27935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附图2</w:t>
      </w:r>
      <w:r>
        <w:rPr>
          <w:rFonts w:hint="eastAsia" w:ascii="方正仿宋_GB2312" w:hAnsi="方正仿宋_GB2312" w:eastAsia="方正仿宋_GB2312" w:cs="方正仿宋_GB2312"/>
          <w:lang w:val="en-US" w:eastAsia="zh-CN"/>
        </w:rPr>
        <w:t>恩平市水系</w:t>
      </w:r>
      <w:r>
        <w:rPr>
          <w:rFonts w:hint="eastAsia" w:ascii="方正仿宋_GB2312" w:hAnsi="方正仿宋_GB2312" w:eastAsia="方正仿宋_GB2312" w:cs="方正仿宋_GB2312"/>
        </w:rPr>
        <w:t>图</w:t>
      </w:r>
      <w:r>
        <w:tab/>
      </w:r>
      <w:r>
        <w:fldChar w:fldCharType="begin"/>
      </w:r>
      <w:r>
        <w:instrText xml:space="preserve"> PAGEREF _Toc27935 \h </w:instrText>
      </w:r>
      <w:r>
        <w:fldChar w:fldCharType="separate"/>
      </w:r>
      <w:r>
        <w:t>91</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1C17424F">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_Toc15305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rPr>
        <w:t>附图3</w:t>
      </w:r>
      <w:r>
        <w:rPr>
          <w:rFonts w:hint="eastAsia" w:ascii="方正仿宋_GB2312" w:hAnsi="方正仿宋_GB2312" w:eastAsia="方正仿宋_GB2312" w:cs="方正仿宋_GB2312"/>
          <w:lang w:val="en-US" w:eastAsia="zh-CN"/>
        </w:rPr>
        <w:t>年出栏2000头以上</w:t>
      </w:r>
      <w:r>
        <w:rPr>
          <w:rFonts w:hint="eastAsia" w:ascii="方正仿宋_GB2312" w:hAnsi="方正仿宋_GB2312" w:eastAsia="方正仿宋_GB2312" w:cs="方正仿宋_GB2312"/>
        </w:rPr>
        <w:t>畜禽养殖场（户）分布图</w:t>
      </w:r>
      <w:r>
        <w:tab/>
      </w:r>
      <w:r>
        <w:fldChar w:fldCharType="begin"/>
      </w:r>
      <w:r>
        <w:instrText xml:space="preserve"> PAGEREF _Toc15305 \h </w:instrText>
      </w:r>
      <w:r>
        <w:fldChar w:fldCharType="separate"/>
      </w:r>
      <w:r>
        <w:t>92</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7221DCD6">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_Toc2441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附图5恩平市土地利用</w:t>
      </w:r>
      <w:r>
        <w:rPr>
          <w:rFonts w:hint="eastAsia" w:ascii="方正仿宋_GB2312" w:hAnsi="方正仿宋_GB2312" w:eastAsia="方正仿宋_GB2312" w:cs="方正仿宋_GB2312"/>
          <w:lang w:eastAsia="zh-CN"/>
        </w:rPr>
        <w:t>现状图</w:t>
      </w:r>
      <w:r>
        <w:tab/>
      </w:r>
      <w:r>
        <w:fldChar w:fldCharType="begin"/>
      </w:r>
      <w:r>
        <w:instrText xml:space="preserve"> PAGEREF _Toc2441 \h </w:instrText>
      </w:r>
      <w:r>
        <w:fldChar w:fldCharType="separate"/>
      </w:r>
      <w:r>
        <w:t>94</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4DC4D1C1">
      <w:pPr>
        <w:pStyle w:val="17"/>
        <w:tabs>
          <w:tab w:val="right" w:leader="dot" w:pos="8958"/>
        </w:tabs>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begin"/>
      </w:r>
      <w:r>
        <w:rPr>
          <w:rFonts w:hint="eastAsia" w:ascii="方正仿宋_GB2312" w:hAnsi="方正仿宋_GB2312" w:eastAsia="方正仿宋_GB2312" w:cs="方正仿宋_GB2312"/>
          <w:szCs w:val="24"/>
        </w:rPr>
        <w:instrText xml:space="preserve"> HYPERLINK \l _Toc32765 </w:instrText>
      </w:r>
      <w:r>
        <w:rPr>
          <w:rFonts w:hint="eastAsia" w:ascii="方正仿宋_GB2312" w:hAnsi="方正仿宋_GB2312" w:eastAsia="方正仿宋_GB2312" w:cs="方正仿宋_GB2312"/>
          <w:szCs w:val="24"/>
        </w:rPr>
        <w:fldChar w:fldCharType="separate"/>
      </w:r>
      <w:r>
        <w:rPr>
          <w:rFonts w:hint="eastAsia" w:ascii="方正仿宋_GB2312" w:hAnsi="方正仿宋_GB2312" w:eastAsia="方正仿宋_GB2312" w:cs="方正仿宋_GB2312"/>
          <w:lang w:val="en-US" w:eastAsia="zh-CN"/>
        </w:rPr>
        <w:t>附图6恩平市饮用水源保护区分布</w:t>
      </w:r>
      <w:r>
        <w:rPr>
          <w:rFonts w:hint="eastAsia" w:ascii="方正仿宋_GB2312" w:hAnsi="方正仿宋_GB2312" w:eastAsia="方正仿宋_GB2312" w:cs="方正仿宋_GB2312"/>
          <w:lang w:eastAsia="zh-CN"/>
        </w:rPr>
        <w:t>图</w:t>
      </w:r>
      <w:r>
        <w:tab/>
      </w:r>
      <w:r>
        <w:fldChar w:fldCharType="begin"/>
      </w:r>
      <w:r>
        <w:instrText xml:space="preserve"> PAGEREF _Toc32765 \h </w:instrText>
      </w:r>
      <w:r>
        <w:fldChar w:fldCharType="separate"/>
      </w:r>
      <w:r>
        <w:t>95</w:t>
      </w:r>
      <w:r>
        <w:fldChar w:fldCharType="end"/>
      </w: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501752AC">
      <w:pPr>
        <w:ind w:firstLine="643"/>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fldChar w:fldCharType="end"/>
      </w:r>
    </w:p>
    <w:p w14:paraId="29CB7BA2">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headerReference r:id="rId9" w:type="default"/>
          <w:footerReference r:id="rId10" w:type="default"/>
          <w:footerReference r:id="rId11" w:type="even"/>
          <w:pgSz w:w="11906" w:h="16838"/>
          <w:pgMar w:top="2098" w:right="1474" w:bottom="1701" w:left="1474" w:header="992" w:footer="992" w:gutter="0"/>
          <w:pgBorders>
            <w:top w:val="none" w:sz="0" w:space="0"/>
            <w:left w:val="none" w:sz="0" w:space="0"/>
            <w:bottom w:val="none" w:sz="0" w:space="0"/>
            <w:right w:val="none" w:sz="0" w:space="0"/>
          </w:pgBorders>
          <w:pgNumType w:fmt="numberInDash"/>
          <w:cols w:space="425" w:num="1"/>
          <w:docGrid w:type="lines" w:linePitch="435" w:charSpace="0"/>
        </w:sectPr>
      </w:pPr>
    </w:p>
    <w:p w14:paraId="322CBB8E">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2" w:name="_Toc22679"/>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一、</w:t>
      </w:r>
      <w:r>
        <w:rPr>
          <w:rFonts w:hint="eastAsia" w:ascii="方正仿宋_GB2312" w:hAnsi="方正仿宋_GB2312" w:eastAsia="方正仿宋_GB2312" w:cs="方正仿宋_GB2312"/>
          <w:b/>
          <w:bCs w:val="0"/>
          <w:color w:val="000000" w:themeColor="text1"/>
          <w14:textFill>
            <w14:solidFill>
              <w14:schemeClr w14:val="tx1"/>
            </w14:solidFill>
          </w14:textFill>
        </w:rPr>
        <w:t>总则</w:t>
      </w:r>
      <w:bookmarkEnd w:id="2"/>
    </w:p>
    <w:p w14:paraId="5206A234">
      <w:pPr>
        <w:pStyle w:val="3"/>
        <w:numPr>
          <w:ilvl w:val="1"/>
          <w:numId w:val="0"/>
        </w:numPr>
        <w:spacing w:before="156" w:after="156"/>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 w:name="_Toc2856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规划背景</w:t>
      </w:r>
      <w:bookmarkEnd w:id="3"/>
    </w:p>
    <w:p w14:paraId="284E7F89">
      <w:pPr>
        <w:ind w:firstLine="632"/>
        <w:rPr>
          <w:rFonts w:hint="default" w:ascii="Times New Roman" w:hAnsi="Times New Roman" w:eastAsia="宋体" w:cs="Times New Roman"/>
          <w:color w:val="0000FF"/>
          <w:lang w:val="en-US" w:eastAsia="zh-CN"/>
        </w:rPr>
      </w:pPr>
      <w:r>
        <w:rPr>
          <w:rFonts w:hint="eastAsia" w:ascii="方正仿宋_GB2312" w:hAnsi="方正仿宋_GB2312" w:eastAsia="方正仿宋_GB2312" w:cs="方正仿宋_GB2312"/>
          <w:color w:val="000000" w:themeColor="text1"/>
          <w14:textFill>
            <w14:solidFill>
              <w14:schemeClr w14:val="tx1"/>
            </w14:solidFill>
          </w14:textFill>
        </w:rPr>
        <w:t>2023年财政部下达了《财政部关于下达2023年生猪（牛羊）调出大县奖励资金预算的通知》（财建〔2023〕59号），正式把恩平市列为生猪调出大</w:t>
      </w:r>
      <w:r>
        <w:rPr>
          <w:rFonts w:hint="eastAsia" w:ascii="方正仿宋_GB2312" w:hAnsi="方正仿宋_GB2312" w:eastAsia="方正仿宋_GB2312" w:cs="方正仿宋_GB2312"/>
          <w:color w:val="auto"/>
        </w:rPr>
        <w:t>县，根据生态环境部办公厅、农业农村部办公厅《关于进一步加快推进畜禽养殖污染防治规划编制的通知》（环办土壤函〔2022〕82号）安排部署</w:t>
      </w:r>
      <w:r>
        <w:rPr>
          <w:rFonts w:hint="eastAsia" w:ascii="方正仿宋_GB2312" w:hAnsi="方正仿宋_GB2312" w:eastAsia="方正仿宋_GB2312" w:cs="方正仿宋_GB2312"/>
          <w:color w:val="auto"/>
          <w:lang w:eastAsia="zh-CN"/>
        </w:rPr>
        <w:t>，</w:t>
      </w:r>
      <w:r>
        <w:rPr>
          <w:rFonts w:hint="eastAsia" w:ascii="方正仿宋_GB2312" w:hAnsi="方正仿宋_GB2312" w:eastAsia="方正仿宋_GB2312" w:cs="方正仿宋_GB2312"/>
          <w:color w:val="auto"/>
          <w:lang w:val="en-US" w:eastAsia="zh-CN"/>
        </w:rPr>
        <w:t>以及</w:t>
      </w:r>
      <w:r>
        <w:rPr>
          <w:rFonts w:hint="eastAsia" w:eastAsia="仿宋" w:cs="Times New Roman"/>
          <w:color w:val="auto"/>
          <w:lang w:val="en-US" w:eastAsia="zh-CN"/>
        </w:rPr>
        <w:t>上级的工作安排需制定印发恩平市畜禽养殖污染防治规划</w:t>
      </w:r>
      <w:r>
        <w:rPr>
          <w:rFonts w:hint="default" w:ascii="Times New Roman" w:hAnsi="Times New Roman" w:eastAsia="仿宋" w:cs="Times New Roman"/>
          <w:color w:val="auto"/>
          <w:lang w:val="en-US" w:eastAsia="zh-CN"/>
        </w:rPr>
        <w:t>。</w:t>
      </w:r>
    </w:p>
    <w:p w14:paraId="633A18BF">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为切实减轻畜禽养殖活动对环境的负面影响，根据《畜禽规模养殖污染防治条例》《关于加快推进畜禽养殖废弃物资源化利用的意见》等相关政策文件的指导精神，科学规划并实施畜禽养殖污染防治工作，保护水体与自然生态环境，促进城乡环境质量的全面提升，依据《畜禽养殖污染防治规划编制指南（试行）》等文件相关要求，编制《</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畜禽养殖污染防治规划（202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年）》，科学合理地规划畜禽养殖污染防治的具体措施，推动畜禽养殖业健康、持续发展，构建人与自然和谐共生的美好环境。</w:t>
      </w:r>
    </w:p>
    <w:p w14:paraId="6254041A">
      <w:pPr>
        <w:pStyle w:val="3"/>
        <w:numPr>
          <w:ilvl w:val="1"/>
          <w:numId w:val="0"/>
        </w:numPr>
        <w:spacing w:before="156" w:after="156"/>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87" w:name="_GoBack"/>
      <w:bookmarkEnd w:id="87"/>
      <w:bookmarkStart w:id="4" w:name="_Toc4761"/>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14:textFill>
            <w14:solidFill>
              <w14:schemeClr w14:val="tx1"/>
            </w14:solidFill>
          </w14:textFill>
        </w:rPr>
        <w:t>编制依据</w:t>
      </w:r>
      <w:bookmarkEnd w:id="4"/>
    </w:p>
    <w:p w14:paraId="3FE456A4">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《中华人民共和国环境保护法》（2014年4月24日修订）；</w:t>
      </w:r>
    </w:p>
    <w:p w14:paraId="35DCBA54">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《中华人民共和国畜牧法》（2022年10月30日修订）；</w:t>
      </w:r>
    </w:p>
    <w:p w14:paraId="63E63B61">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《畜禽规模养殖污染防治条例》（2014年1月1日起施行）；</w:t>
      </w:r>
    </w:p>
    <w:p w14:paraId="5AD42422">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《国务院办公厅关于促进畜牧业高质量发展的意见》（国办发〔2020〕31号）；</w:t>
      </w:r>
    </w:p>
    <w:p w14:paraId="177B1D59">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《国务院办公厅关于加快推进畜禽养殖废弃物资源化利用的意见》（国办发〔2017〕48号）；</w:t>
      </w:r>
    </w:p>
    <w:p w14:paraId="478B6690">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《关于进一步明确畜禽粪污还田利用要求强化养殖污染监管的通知》（农办牧〔2020〕23号）；</w:t>
      </w:r>
    </w:p>
    <w:p w14:paraId="49EA7136">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《关于促进畜禽粪污还田利用依法加强养殖污染治理的指导意见》（农办牧〔2019〕84号）；</w:t>
      </w:r>
    </w:p>
    <w:p w14:paraId="7C896E74">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《畜禽规模养殖场粪污资源化利用设施建设规范（试行）》（农办牧〔2018〕2号）；</w:t>
      </w:r>
    </w:p>
    <w:p w14:paraId="3F5F62C2">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《畜禽粪污土地承载力测算技术指南》（农办牧〔2018〕1号）；</w:t>
      </w:r>
    </w:p>
    <w:p w14:paraId="7DD32082">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《国务院办公厅关于建立病死畜禽无害化处理机制的意见》（国办发〔2014〕47号）；</w:t>
      </w:r>
    </w:p>
    <w:p w14:paraId="50A46750">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《农业部关于加快推进畜禽标准化规模养殖的意见》（2010年3月22日印发）；</w:t>
      </w:r>
    </w:p>
    <w:p w14:paraId="4E1C4114">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《畜禽养殖废弃物资源化利用工作考核办法（试行）》（农牧发〔2018〕4号）；</w:t>
      </w:r>
    </w:p>
    <w:p w14:paraId="37892FDE">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《关于进一步加强病死畜禽无害化处理工作的通知》（农牧发〔2020〕6号）；</w:t>
      </w:r>
    </w:p>
    <w:p w14:paraId="0F36C794">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《“十四五”全国畜禽粪肥利用种养结合建设规划》（农计财发〔2021〕33号）；</w:t>
      </w:r>
    </w:p>
    <w:p w14:paraId="43933D53">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《畜禽养殖污染防治规划编制指南（试行）》（环办土壤函〔2021〕465号）；</w:t>
      </w:r>
    </w:p>
    <w:p w14:paraId="7B045E9F">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《生态环境部办公厅农业农村部办公厅关于加强畜禽粪污资源化利用计划和台账管理的通知》（农办牧〔2021〕46号）；</w:t>
      </w:r>
    </w:p>
    <w:p w14:paraId="60484686">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《关于进一步加快推进畜禽养殖污染防治规划编制的通知》（环办土壤函〔2022〕82号）；</w:t>
      </w:r>
    </w:p>
    <w:p w14:paraId="089023B7">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《广东省人民政府办公厅关于印发广东省畜禽养殖废弃物资源化利用工作方案的通知》（粤办函〔2017〕735号）；</w:t>
      </w:r>
    </w:p>
    <w:p w14:paraId="73A72B1E">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《广东省推进农业农村现代化“十四五”规划》（粤府〔2021〕56号）；</w:t>
      </w:r>
    </w:p>
    <w:p w14:paraId="3D411443">
      <w:pPr>
        <w:pStyle w:val="46"/>
        <w:numPr>
          <w:ilvl w:val="0"/>
          <w:numId w:val="2"/>
        </w:numPr>
        <w:ind w:firstLine="640"/>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《江门市种养循环发展规划（2019—2025年）》；</w:t>
      </w:r>
    </w:p>
    <w:p w14:paraId="5A52981E">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sz w:val="30"/>
          <w:szCs w:val="30"/>
          <w:lang w:val="en-US" w:eastAsia="zh-CN"/>
        </w:rPr>
        <w:t>《江门市2023年生猪养殖场污染排查防治工作方案》（江府办函〔2023〕78号）</w:t>
      </w:r>
      <w:r>
        <w:rPr>
          <w:rFonts w:hint="eastAsia" w:ascii="方正仿宋_GB2312" w:hAnsi="方正仿宋_GB2312" w:eastAsia="方正仿宋_GB2312" w:cs="方正仿宋_GB2312"/>
          <w:color w:val="000000" w:themeColor="text1"/>
          <w14:textFill>
            <w14:solidFill>
              <w14:schemeClr w14:val="tx1"/>
            </w14:solidFill>
          </w14:textFill>
        </w:rPr>
        <w:t>；</w:t>
      </w:r>
    </w:p>
    <w:p w14:paraId="6A3E53F0">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《关于</w:t>
      </w:r>
      <w:r>
        <w:rPr>
          <w:rFonts w:hint="eastAsia" w:ascii="方正仿宋_GB2312" w:hAnsi="方正仿宋_GB2312" w:eastAsia="方正仿宋_GB2312" w:cs="方正仿宋_GB2312"/>
          <w:color w:val="000000" w:themeColor="text1"/>
          <w14:textFill>
            <w14:solidFill>
              <w14:schemeClr w14:val="tx1"/>
            </w14:solidFill>
          </w14:textFill>
        </w:rPr>
        <w:t>印发</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江门市畜禽养殖污染防治规划（2024</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2030年）</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的通知</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江环〔2026〕47号</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p>
    <w:p w14:paraId="2DA29CA7">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sz w:val="30"/>
          <w:szCs w:val="30"/>
        </w:rPr>
        <w:t>《恩平市生态环境保护“十四五”规划》</w:t>
      </w:r>
      <w:r>
        <w:rPr>
          <w:rFonts w:hint="eastAsia" w:ascii="方正仿宋_GB2312" w:hAnsi="方正仿宋_GB2312" w:eastAsia="方正仿宋_GB2312" w:cs="方正仿宋_GB2312"/>
          <w:color w:val="000000" w:themeColor="text1"/>
          <w14:textFill>
            <w14:solidFill>
              <w14:schemeClr w14:val="tx1"/>
            </w14:solidFill>
          </w14:textFill>
        </w:rPr>
        <w:t>；</w:t>
      </w:r>
    </w:p>
    <w:p w14:paraId="52607FC5">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《恩平市畜牧业发展规划和种养循环发展规划（2020</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2025年）》；</w:t>
      </w:r>
    </w:p>
    <w:p w14:paraId="6F9A8787">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《关于印发恩平市生猪产业发展专项规划（2022</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2026年）的通知》（恩府〔2024〕14号）</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p>
    <w:p w14:paraId="6E59187F">
      <w:pPr>
        <w:pStyle w:val="46"/>
        <w:numPr>
          <w:ilvl w:val="0"/>
          <w:numId w:val="2"/>
        </w:num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《恩平市人民政府关于划定畜禽养殖禁养区的通告》（恩府告〔2025〕223号）。</w:t>
      </w:r>
    </w:p>
    <w:p w14:paraId="6D72A757">
      <w:pPr>
        <w:pStyle w:val="3"/>
        <w:numPr>
          <w:ilvl w:val="1"/>
          <w:numId w:val="0"/>
        </w:numPr>
        <w:spacing w:before="156" w:after="156"/>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5" w:name="_Toc25088"/>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规划范围</w:t>
      </w:r>
      <w:bookmarkEnd w:id="5"/>
    </w:p>
    <w:p w14:paraId="7E69B964">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本规划范围为</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全域，</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下辖</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1个街道办（恩城街道办），</w:t>
      </w:r>
      <w:r>
        <w:rPr>
          <w:rFonts w:hint="eastAsia" w:ascii="方正仿宋_GB2312" w:hAnsi="方正仿宋_GB2312" w:eastAsia="方正仿宋_GB2312" w:cs="方正仿宋_GB2312"/>
          <w:color w:val="000000" w:themeColor="text1"/>
          <w14:textFill>
            <w14:solidFill>
              <w14:schemeClr w14:val="tx1"/>
            </w14:solidFill>
          </w14:textFill>
        </w:rPr>
        <w:t>1</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0</w:t>
      </w:r>
      <w:r>
        <w:rPr>
          <w:rFonts w:hint="eastAsia" w:ascii="方正仿宋_GB2312" w:hAnsi="方正仿宋_GB2312" w:eastAsia="方正仿宋_GB2312" w:cs="方正仿宋_GB2312"/>
          <w:color w:val="000000" w:themeColor="text1"/>
          <w14:textFill>
            <w14:solidFill>
              <w14:schemeClr w14:val="tx1"/>
            </w14:solidFill>
          </w14:textFill>
        </w:rPr>
        <w:t>个镇（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牛江</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君堂</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圣堂</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良西</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大田</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横陂</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那吉</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，行政区域面积</w:t>
      </w:r>
      <w:r>
        <w:rPr>
          <w:rFonts w:hint="eastAsia" w:ascii="方正仿宋_GB2312" w:hAnsi="方正仿宋_GB2312" w:eastAsia="方正仿宋_GB2312" w:cs="方正仿宋_GB2312"/>
          <w:color w:val="000000" w:themeColor="text1"/>
          <w:lang w:eastAsia="zh-CN"/>
          <w14:textFill>
            <w14:solidFill>
              <w14:schemeClr w14:val="tx1"/>
            </w14:solidFill>
          </w14:textFill>
        </w:rPr>
        <w:t>1693.92平方千米</w:t>
      </w:r>
      <w:r>
        <w:rPr>
          <w:rFonts w:hint="eastAsia" w:ascii="方正仿宋_GB2312" w:hAnsi="方正仿宋_GB2312" w:eastAsia="方正仿宋_GB2312" w:cs="方正仿宋_GB2312"/>
          <w:color w:val="000000" w:themeColor="text1"/>
          <w14:textFill>
            <w14:solidFill>
              <w14:schemeClr w14:val="tx1"/>
            </w14:solidFill>
          </w14:textFill>
        </w:rPr>
        <w:t>。</w:t>
      </w:r>
    </w:p>
    <w:p w14:paraId="7DD8E1FA">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6" w:name="_Toc14646"/>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（四）</w:t>
      </w:r>
      <w:r>
        <w:rPr>
          <w:rFonts w:hint="eastAsia" w:ascii="方正仿宋_GB2312" w:hAnsi="方正仿宋_GB2312" w:eastAsia="方正仿宋_GB2312" w:cs="方正仿宋_GB2312"/>
          <w:color w:val="000000" w:themeColor="text1"/>
          <w14:textFill>
            <w14:solidFill>
              <w14:schemeClr w14:val="tx1"/>
            </w14:solidFill>
          </w14:textFill>
        </w:rPr>
        <w:t>规划期限</w:t>
      </w:r>
      <w:bookmarkEnd w:id="6"/>
    </w:p>
    <w:p w14:paraId="20F0393C">
      <w:pPr>
        <w:ind w:firstLine="640"/>
        <w:rPr>
          <w:rFonts w:hint="eastAsia" w:ascii="方正仿宋_GB2312" w:hAnsi="方正仿宋_GB2312" w:eastAsia="方正仿宋_GB2312" w:cs="方正仿宋_GB2312"/>
          <w:color w:val="000000" w:themeColor="text1"/>
          <w14:textFill>
            <w14:solidFill>
              <w14:schemeClr w14:val="tx1"/>
            </w14:solidFill>
          </w14:textFill>
        </w:rPr>
      </w:pPr>
      <w:bookmarkStart w:id="7" w:name="_Hlk180166323"/>
      <w:r>
        <w:rPr>
          <w:rFonts w:hint="eastAsia" w:ascii="方正仿宋_GB2312" w:hAnsi="方正仿宋_GB2312" w:eastAsia="方正仿宋_GB2312" w:cs="方正仿宋_GB2312"/>
          <w:color w:val="000000" w:themeColor="text1"/>
          <w14:textFill>
            <w14:solidFill>
              <w14:schemeClr w14:val="tx1"/>
            </w14:solidFill>
          </w14:textFill>
        </w:rPr>
        <w:t>规划以202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年为基准年，规划期限为202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w:t>
      </w:r>
      <w:bookmarkEnd w:id="7"/>
      <w:r>
        <w:rPr>
          <w:rFonts w:hint="eastAsia" w:ascii="方正仿宋_GB2312" w:hAnsi="方正仿宋_GB2312" w:eastAsia="方正仿宋_GB2312" w:cs="方正仿宋_GB2312"/>
          <w:color w:val="000000" w:themeColor="text1"/>
          <w14:textFill>
            <w14:solidFill>
              <w14:schemeClr w14:val="tx1"/>
            </w14:solidFill>
          </w14:textFill>
        </w:rPr>
        <w:t>。</w:t>
      </w:r>
    </w:p>
    <w:p w14:paraId="5B442A65">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8" w:name="_Toc22337"/>
      <w:bookmarkStart w:id="9" w:name="_Toc187940513"/>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二、</w:t>
      </w:r>
      <w:r>
        <w:rPr>
          <w:rFonts w:hint="eastAsia" w:ascii="方正仿宋_GB2312" w:hAnsi="方正仿宋_GB2312" w:eastAsia="方正仿宋_GB2312" w:cs="方正仿宋_GB2312"/>
          <w:b/>
          <w:bCs w:val="0"/>
          <w:color w:val="000000" w:themeColor="text1"/>
          <w14:textFill>
            <w14:solidFill>
              <w14:schemeClr w14:val="tx1"/>
            </w14:solidFill>
          </w14:textFill>
        </w:rPr>
        <w:t>区域概况</w:t>
      </w:r>
      <w:bookmarkEnd w:id="8"/>
      <w:bookmarkEnd w:id="9"/>
    </w:p>
    <w:p w14:paraId="611B4220">
      <w:pPr>
        <w:pStyle w:val="3"/>
        <w:numPr>
          <w:ilvl w:val="1"/>
          <w:numId w:val="0"/>
        </w:numPr>
        <w:spacing w:before="156" w:after="156"/>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10" w:name="_Toc187940514"/>
      <w:bookmarkStart w:id="11" w:name="_Toc30286"/>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行政区划</w:t>
      </w:r>
      <w:bookmarkEnd w:id="10"/>
      <w:bookmarkEnd w:id="11"/>
    </w:p>
    <w:p w14:paraId="2E0EE869">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位于粤港澳大湾区西南端，濒临南海、毗邻港澳，东至江门市辖属开平市、台山市接壤，南邻阳江市，西接阳江市辖属阳春市，北与云浮市辖属新兴县接壤，是“双区”连接粤西地区和辐射大西南的重要节点。全市土地面积1693.92平方千米，其中耕地面积2.03万公顷，森林面积7.29万公顷（不含河排林场、西坑林场和大沙林场），海岸线长21.2公里。辖10个镇、1个街道，151个村委会，24个居委会，户籍人口50.29万人。2024年，恩平籍华侨华人和港澳台同胞共有62.77万人，分布于114个国家和地区，其中旅居委内瑞拉国的华侨（华人）20万人，港澳台地区10万人，是全国著名侨乡。</w:t>
      </w:r>
    </w:p>
    <w:p w14:paraId="0CF6BE11">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12" w:name="_Toc187940515"/>
      <w:bookmarkStart w:id="13" w:name="_Toc16651"/>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14:textFill>
            <w14:solidFill>
              <w14:schemeClr w14:val="tx1"/>
            </w14:solidFill>
          </w14:textFill>
        </w:rPr>
        <w:t>自然气候条件</w:t>
      </w:r>
      <w:bookmarkEnd w:id="12"/>
      <w:bookmarkEnd w:id="13"/>
    </w:p>
    <w:p w14:paraId="70E6554F">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地理环境</w:t>
      </w:r>
    </w:p>
    <w:p w14:paraId="661F7BA6">
      <w:pPr>
        <w:ind w:firstLine="640"/>
        <w:rPr>
          <w:rFonts w:hint="eastAsia" w:ascii="方正仿宋_GB2312" w:hAnsi="方正仿宋_GB2312" w:eastAsia="方正仿宋_GB2312" w:cs="方正仿宋_GB2312"/>
          <w:color w:val="000000" w:themeColor="text1"/>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位于珠江三角洲西南部，江门市西部，地跨东经111°59′51＂～112°31′23＂，北纬21°54′33＂～22°29′44＂，东西最宽约59km，南北最长64km。恩平市东北面与开平市相邻，东南面与台山市相邻，西南面和西面与阳江市的阳东区、阳春市相邻，西北面与新兴县相邻，南面濒临南海，海岸线长21.2km，岛岸线长0.25km。</w:t>
      </w:r>
    </w:p>
    <w:p w14:paraId="59C2C7BC">
      <w:pPr>
        <w:ind w:firstLine="640"/>
        <w:rPr>
          <w:rFonts w:hint="eastAsia" w:ascii="方正仿宋_GB2312" w:hAnsi="方正仿宋_GB2312" w:eastAsia="方正仿宋_GB2312" w:cs="方正仿宋_GB2312"/>
          <w:color w:val="000000" w:themeColor="text1"/>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位于粤港澳大湾区西南端，是“双区”连接粤西地区和辐射大西南的重要节点，是全国著名侨乡。恩平拥有大湾区唯一的原始次生林七星坑原始森林，森林覆盖率、空气优良指标等均在大湾区城市中排名前列，目前，有全国最美森林小镇3个、省森林城镇5个、省级森林公园2个，全市森林覆盖率54.07%，平均植被覆盖度73.7%。锦江水库水质长年优于国家I类地表水饮用标准。</w:t>
      </w:r>
    </w:p>
    <w:p w14:paraId="4F63AE4F">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近年来，先后被国家有关部门命名为“中国温泉之乡”“中国麦克风行业产业基地”“中国麦克风出口基地”“中国</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ab/>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演艺装备产业基地”“地热国家地质公园”以及全国首个“中</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ab/>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国避寒宜居地”。</w:t>
      </w:r>
    </w:p>
    <w:p w14:paraId="3E22FB38">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地质地貌</w:t>
      </w:r>
    </w:p>
    <w:p w14:paraId="09F79C7F">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恩平市地形北宽南窄，呈桑叶形。地势西北部高、东南部低，西南面山丘起伏，山峦重叠，中部为低丘平原并向东南面倾斜。</w:t>
      </w:r>
    </w:p>
    <w:p w14:paraId="37C13992">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境内海拔400m以上的山区面积约占总面积的8%，海拔50m至400m的高丘陵区占60%，海拔50m以下的低丘平原区占32%，全市95%的陆地在海拔10m以上。由于地势西高东低，近海的东南部地区海拔只有10m左右，而西北部山区地势相对较高，来自东南边海洋的暖湿气流被逐步抬升、冷却，致使本境降雨量特别多，再加上台风的影响，成为全国的暴雨中心之一。</w:t>
      </w:r>
    </w:p>
    <w:p w14:paraId="5F0C6A1C">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天露山余脉由开平、新兴、恩平3市（县）交界处延伸到恩平市境内，西交界处为七星坑原始森林，西南部最高峰为珠环山；恩平腹部的大人山峰，从西南向西北延伸，形成一条高脊，分出西部低山高丘区；低丘平原区多集中于莲塘水和锦江干流下游两岸。</w:t>
      </w:r>
    </w:p>
    <w:p w14:paraId="7A4F9B0C">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p>
    <w:p w14:paraId="5AFC0442">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footerReference r:id="rId12" w:type="default"/>
          <w:footerReference r:id="rId13" w:type="even"/>
          <w:pgSz w:w="11906" w:h="16838"/>
          <w:pgMar w:top="2098" w:right="1474" w:bottom="1701" w:left="1588" w:header="992" w:footer="992" w:gutter="0"/>
          <w:pgBorders>
            <w:top w:val="none" w:sz="0" w:space="0"/>
            <w:left w:val="none" w:sz="0" w:space="0"/>
            <w:bottom w:val="none" w:sz="0" w:space="0"/>
            <w:right w:val="none" w:sz="0" w:space="0"/>
          </w:pgBorders>
          <w:pgNumType w:fmt="decimal" w:start="1"/>
          <w:cols w:space="425" w:num="1"/>
          <w:docGrid w:type="lines" w:linePitch="435" w:charSpace="0"/>
        </w:sectPr>
      </w:pPr>
    </w:p>
    <w:p w14:paraId="113C3D35">
      <w:pPr>
        <w:spacing w:line="0" w:lineRule="atLeast"/>
        <w:ind w:firstLine="0" w:firstLineChars="0"/>
        <w:jc w:val="center"/>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drawing>
          <wp:inline distT="0" distB="0" distL="0" distR="0">
            <wp:extent cx="5017135" cy="6125845"/>
            <wp:effectExtent l="0" t="0" r="0" b="0"/>
            <wp:docPr id="1520013219" name="图片 10" descr="C:/Users/Administrator/Desktop/2025生猪污染防治规划/恩平市行政规划图.jpg恩平市行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3219" name="图片 10" descr="C:/Users/Administrator/Desktop/2025生猪污染防治规划/恩平市行政规划图.jpg恩平市行政规划图"/>
                    <pic:cNvPicPr>
                      <a:picLocks noChangeAspect="1" noChangeArrowheads="1"/>
                    </pic:cNvPicPr>
                  </pic:nvPicPr>
                  <pic:blipFill>
                    <a:blip r:embed="rId31"/>
                    <a:srcRect t="2180" b="194"/>
                    <a:stretch>
                      <a:fillRect/>
                    </a:stretch>
                  </pic:blipFill>
                  <pic:spPr>
                    <a:xfrm>
                      <a:off x="0" y="0"/>
                      <a:ext cx="5017135" cy="6125845"/>
                    </a:xfrm>
                    <a:prstGeom prst="rect">
                      <a:avLst/>
                    </a:prstGeom>
                    <a:noFill/>
                    <a:ln>
                      <a:solidFill>
                        <a:schemeClr val="tx1"/>
                      </a:solidFill>
                    </a:ln>
                  </pic:spPr>
                </pic:pic>
              </a:graphicData>
            </a:graphic>
          </wp:inline>
        </w:drawing>
      </w:r>
    </w:p>
    <w:p w14:paraId="4F04DCF1">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图1 恩平市</w:t>
      </w:r>
      <w:r>
        <w:rPr>
          <w:rFonts w:hint="eastAsia" w:ascii="方正仿宋_GB2312" w:hAnsi="方正仿宋_GB2312" w:eastAsia="方正仿宋_GB2312" w:cs="方正仿宋_GB2312"/>
          <w:color w:val="000000" w:themeColor="text1"/>
          <w14:textFill>
            <w14:solidFill>
              <w14:schemeClr w14:val="tx1"/>
            </w14:solidFill>
          </w14:textFill>
        </w:rPr>
        <w:t>行政区划图</w:t>
      </w:r>
    </w:p>
    <w:p w14:paraId="089CD65B">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footerReference r:id="rId14"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70714945">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水文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气象</w:t>
      </w:r>
    </w:p>
    <w:p w14:paraId="468F9E81">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位于北回归线以南，属亚热带海洋季节性气候，是热带气旋经常影响和登陆的地区。气候温和、光照充足，雨量丰沛，湿度大，无霜期长，冬少严寒，夏少酷热，四季宜种，但因常受东南季候风影响，台风、暴雨及冷锋都比较强烈，春季常有低温阴雨，影响春播，秋季有寒露风威胁晚稻生产，每年汛期，又有台风暴雨，造成洪涝灾害。</w:t>
      </w:r>
    </w:p>
    <w:p w14:paraId="22DFC6C9">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为广东省的暴雨中心之一，多年平均降水量为2265mm，多年平均径流深达1420mm，降水地区分布不均，由西向东逐渐减少；降水量年内分配不均匀，主要集中于汛期4~9月，约占全年雨量的85%。多年平均蒸发量（E601蒸发皿）1019mm，一般夏秋高温期蒸发量大，冬春蒸发量小。干旱指数（多年平均蒸发量与多年平均降雨量之比）为0.41。</w:t>
      </w:r>
    </w:p>
    <w:p w14:paraId="189991E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地区多年平均气温22.3℃，年际变化不大，历史极端最高气温39.2℃（2005年7月19日），极端最低气温-0.5℃（1963年1月16日），多年平均相对湿度79%，多年平均最大风速18.2m/s，多年平均日照时数1683.3h。</w:t>
      </w:r>
    </w:p>
    <w:p w14:paraId="567E45B2">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表1 恩平市</w:t>
      </w:r>
      <w:r>
        <w:rPr>
          <w:rFonts w:hint="eastAsia" w:ascii="方正仿宋_GB2312" w:hAnsi="方正仿宋_GB2312" w:eastAsia="方正仿宋_GB2312" w:cs="方正仿宋_GB2312"/>
          <w:color w:val="000000" w:themeColor="text1"/>
          <w14:textFill>
            <w14:solidFill>
              <w14:schemeClr w14:val="tx1"/>
            </w14:solidFill>
          </w14:textFill>
        </w:rPr>
        <w:t>境内主要河流基本情况表</w:t>
      </w:r>
    </w:p>
    <w:tbl>
      <w:tblPr>
        <w:tblStyle w:val="21"/>
        <w:tblW w:w="9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1536"/>
        <w:gridCol w:w="1299"/>
        <w:gridCol w:w="2864"/>
        <w:gridCol w:w="1055"/>
        <w:gridCol w:w="934"/>
        <w:gridCol w:w="934"/>
      </w:tblGrid>
      <w:tr w14:paraId="1E002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B49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序号</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AC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水系</w:t>
            </w:r>
          </w:p>
        </w:tc>
        <w:tc>
          <w:tcPr>
            <w:tcW w:w="12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DC0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河流名称</w:t>
            </w:r>
          </w:p>
        </w:tc>
        <w:tc>
          <w:tcPr>
            <w:tcW w:w="28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F9D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流经镇（街）</w:t>
            </w: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CBA8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河流长度（恩平段）</w:t>
            </w:r>
          </w:p>
          <w:p w14:paraId="29844EC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(KM)</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67D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水质目标</w:t>
            </w:r>
          </w:p>
        </w:tc>
      </w:tr>
      <w:tr w14:paraId="5B8DE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1436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2A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p>
        </w:tc>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891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p>
        </w:tc>
        <w:tc>
          <w:tcPr>
            <w:tcW w:w="28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3D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C4B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10B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江门市考水质目标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B2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恩平市考水质目标</w:t>
            </w:r>
          </w:p>
        </w:tc>
      </w:tr>
      <w:tr w14:paraId="04F7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89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w:t>
            </w:r>
          </w:p>
        </w:tc>
        <w:tc>
          <w:tcPr>
            <w:tcW w:w="1536" w:type="dxa"/>
            <w:vMerge w:val="restart"/>
            <w:tcBorders>
              <w:top w:val="single" w:color="000000" w:sz="4" w:space="0"/>
              <w:left w:val="single" w:color="000000" w:sz="4" w:space="0"/>
              <w:right w:val="single" w:color="000000" w:sz="4" w:space="0"/>
            </w:tcBorders>
            <w:shd w:val="clear" w:color="auto" w:fill="auto"/>
            <w:noWrap/>
            <w:vAlign w:val="center"/>
          </w:tcPr>
          <w:p w14:paraId="688FE32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珠江三角洲</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BC3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莲塘水</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E407">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西坑林场、牛江镇、沙湖镇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C4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30.99</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E2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21A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3BE5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2D3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w:t>
            </w:r>
          </w:p>
        </w:tc>
        <w:tc>
          <w:tcPr>
            <w:tcW w:w="1536" w:type="dxa"/>
            <w:vMerge w:val="continue"/>
            <w:tcBorders>
              <w:left w:val="single" w:color="000000" w:sz="4" w:space="0"/>
              <w:right w:val="single" w:color="000000" w:sz="4" w:space="0"/>
            </w:tcBorders>
            <w:shd w:val="clear" w:color="auto" w:fill="auto"/>
            <w:noWrap/>
            <w:vAlign w:val="center"/>
          </w:tcPr>
          <w:p w14:paraId="300259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6C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蚬冈水</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7FC7">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东成镇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EB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12.02</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45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541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3DA0F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0C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3</w:t>
            </w:r>
          </w:p>
        </w:tc>
        <w:tc>
          <w:tcPr>
            <w:tcW w:w="1536" w:type="dxa"/>
            <w:vMerge w:val="continue"/>
            <w:tcBorders>
              <w:left w:val="single" w:color="000000" w:sz="4" w:space="0"/>
              <w:right w:val="single" w:color="000000" w:sz="4" w:space="0"/>
            </w:tcBorders>
            <w:shd w:val="clear" w:color="auto" w:fill="auto"/>
            <w:noWrap/>
            <w:vAlign w:val="center"/>
          </w:tcPr>
          <w:p w14:paraId="3EF693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90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朗底水</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EF4B">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大田镇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FA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16.46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1BA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5E9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r>
      <w:tr w14:paraId="49D7A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BDC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4</w:t>
            </w:r>
          </w:p>
        </w:tc>
        <w:tc>
          <w:tcPr>
            <w:tcW w:w="1536" w:type="dxa"/>
            <w:vMerge w:val="continue"/>
            <w:tcBorders>
              <w:left w:val="single" w:color="000000" w:sz="4" w:space="0"/>
              <w:right w:val="single" w:color="000000" w:sz="4" w:space="0"/>
            </w:tcBorders>
            <w:shd w:val="clear" w:color="auto" w:fill="auto"/>
            <w:noWrap/>
            <w:vAlign w:val="center"/>
          </w:tcPr>
          <w:p w14:paraId="4DAA36C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72E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黄角河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C235">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那吉镇、河排林场</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69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12.16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4CD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61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r>
      <w:tr w14:paraId="1891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2F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5</w:t>
            </w:r>
          </w:p>
        </w:tc>
        <w:tc>
          <w:tcPr>
            <w:tcW w:w="1536" w:type="dxa"/>
            <w:vMerge w:val="continue"/>
            <w:tcBorders>
              <w:left w:val="single" w:color="000000" w:sz="4" w:space="0"/>
              <w:right w:val="single" w:color="000000" w:sz="4" w:space="0"/>
            </w:tcBorders>
            <w:shd w:val="clear" w:color="auto" w:fill="auto"/>
            <w:noWrap/>
            <w:vAlign w:val="center"/>
          </w:tcPr>
          <w:p w14:paraId="2B236A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6EF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阵湾河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17AD">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大田镇、河排林场</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952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15</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32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520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Ⅱ类</w:t>
            </w:r>
          </w:p>
        </w:tc>
      </w:tr>
      <w:tr w14:paraId="735E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0F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6</w:t>
            </w:r>
          </w:p>
        </w:tc>
        <w:tc>
          <w:tcPr>
            <w:tcW w:w="1536" w:type="dxa"/>
            <w:vMerge w:val="continue"/>
            <w:tcBorders>
              <w:left w:val="single" w:color="000000" w:sz="4" w:space="0"/>
              <w:right w:val="single" w:color="000000" w:sz="4" w:space="0"/>
            </w:tcBorders>
            <w:shd w:val="clear" w:color="auto" w:fill="auto"/>
            <w:noWrap/>
            <w:vAlign w:val="center"/>
          </w:tcPr>
          <w:p w14:paraId="4C50259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64A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良西河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A0C4">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良西镇、西坑林场、圣堂镇、大田镇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EB7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25.06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5D3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DD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78A0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77C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7</w:t>
            </w:r>
          </w:p>
        </w:tc>
        <w:tc>
          <w:tcPr>
            <w:tcW w:w="1536" w:type="dxa"/>
            <w:vMerge w:val="continue"/>
            <w:tcBorders>
              <w:left w:val="single" w:color="000000" w:sz="4" w:space="0"/>
              <w:right w:val="single" w:color="000000" w:sz="4" w:space="0"/>
            </w:tcBorders>
            <w:shd w:val="clear" w:color="auto" w:fill="auto"/>
            <w:noWrap/>
            <w:vAlign w:val="center"/>
          </w:tcPr>
          <w:p w14:paraId="02D075C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F12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长安河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9038">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恩城街道、圣堂镇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AD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9.87</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BE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50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52FB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DFA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8</w:t>
            </w:r>
          </w:p>
        </w:tc>
        <w:tc>
          <w:tcPr>
            <w:tcW w:w="1536" w:type="dxa"/>
            <w:vMerge w:val="continue"/>
            <w:tcBorders>
              <w:left w:val="single" w:color="000000" w:sz="4" w:space="0"/>
              <w:right w:val="single" w:color="000000" w:sz="4" w:space="0"/>
            </w:tcBorders>
            <w:shd w:val="clear" w:color="auto" w:fill="auto"/>
            <w:noWrap/>
            <w:vAlign w:val="center"/>
          </w:tcPr>
          <w:p w14:paraId="011C810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89A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三山河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6976">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良西镇、圣堂镇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E1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16.6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7ED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659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24D4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0CD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9</w:t>
            </w:r>
          </w:p>
        </w:tc>
        <w:tc>
          <w:tcPr>
            <w:tcW w:w="1536" w:type="dxa"/>
            <w:vMerge w:val="continue"/>
            <w:tcBorders>
              <w:left w:val="single" w:color="000000" w:sz="4" w:space="0"/>
              <w:right w:val="single" w:color="000000" w:sz="4" w:space="0"/>
            </w:tcBorders>
            <w:shd w:val="clear" w:color="auto" w:fill="auto"/>
            <w:noWrap/>
            <w:vAlign w:val="center"/>
          </w:tcPr>
          <w:p w14:paraId="253DB13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C09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太平河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7834">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良西镇、君堂镇、圣堂镇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407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19.43</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9C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C34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5C207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28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10</w:t>
            </w:r>
          </w:p>
        </w:tc>
        <w:tc>
          <w:tcPr>
            <w:tcW w:w="1536" w:type="dxa"/>
            <w:vMerge w:val="continue"/>
            <w:tcBorders>
              <w:left w:val="single" w:color="000000" w:sz="4" w:space="0"/>
              <w:right w:val="single" w:color="000000" w:sz="4" w:space="0"/>
            </w:tcBorders>
            <w:shd w:val="clear" w:color="auto" w:fill="auto"/>
            <w:noWrap/>
            <w:vAlign w:val="center"/>
          </w:tcPr>
          <w:p w14:paraId="02F7DDD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469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沙岗河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B8F7">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牛江镇、君堂镇、沙湖镇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88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14.04</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DE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8D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7195F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64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11</w:t>
            </w:r>
          </w:p>
        </w:tc>
        <w:tc>
          <w:tcPr>
            <w:tcW w:w="1536" w:type="dxa"/>
            <w:vMerge w:val="continue"/>
            <w:tcBorders>
              <w:left w:val="single" w:color="000000" w:sz="4" w:space="0"/>
              <w:right w:val="single" w:color="000000" w:sz="4" w:space="0"/>
            </w:tcBorders>
            <w:shd w:val="clear" w:color="auto" w:fill="auto"/>
            <w:noWrap/>
            <w:vAlign w:val="center"/>
          </w:tcPr>
          <w:p w14:paraId="50498DE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AA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丹竹河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AEA4">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河排林场、大田镇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8B5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5.14</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8E8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1F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078F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13E1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12</w:t>
            </w:r>
          </w:p>
        </w:tc>
        <w:tc>
          <w:tcPr>
            <w:tcW w:w="1536" w:type="dxa"/>
            <w:vMerge w:val="continue"/>
            <w:tcBorders>
              <w:left w:val="single" w:color="000000" w:sz="4" w:space="0"/>
              <w:right w:val="single" w:color="000000" w:sz="4" w:space="0"/>
            </w:tcBorders>
            <w:shd w:val="clear" w:color="auto" w:fill="auto"/>
            <w:noWrap/>
            <w:vAlign w:val="center"/>
          </w:tcPr>
          <w:p w14:paraId="745601E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240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公仔河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FF0F">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恩城街道、东成镇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6B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11.76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12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38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5592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70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13</w:t>
            </w:r>
          </w:p>
        </w:tc>
        <w:tc>
          <w:tcPr>
            <w:tcW w:w="1536" w:type="dxa"/>
            <w:vMerge w:val="continue"/>
            <w:tcBorders>
              <w:left w:val="single" w:color="000000" w:sz="4" w:space="0"/>
              <w:right w:val="single" w:color="000000" w:sz="4" w:space="0"/>
            </w:tcBorders>
            <w:shd w:val="clear" w:color="auto" w:fill="auto"/>
            <w:noWrap/>
            <w:vAlign w:val="center"/>
          </w:tcPr>
          <w:p w14:paraId="4CD8B5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48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廉钩水</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AAA3">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东成镇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4CB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12.29</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CD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4CE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66EF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B1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14</w:t>
            </w:r>
          </w:p>
        </w:tc>
        <w:tc>
          <w:tcPr>
            <w:tcW w:w="1536" w:type="dxa"/>
            <w:vMerge w:val="continue"/>
            <w:tcBorders>
              <w:left w:val="single" w:color="000000" w:sz="4" w:space="0"/>
              <w:right w:val="single" w:color="000000" w:sz="4" w:space="0"/>
            </w:tcBorders>
            <w:shd w:val="clear" w:color="auto" w:fill="auto"/>
            <w:noWrap/>
            <w:vAlign w:val="center"/>
          </w:tcPr>
          <w:p w14:paraId="7C3FF70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4F0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仙人河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FC2A9">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BF0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3.23</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CAA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83F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4096B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B9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15</w:t>
            </w:r>
          </w:p>
        </w:tc>
        <w:tc>
          <w:tcPr>
            <w:tcW w:w="1536" w:type="dxa"/>
            <w:vMerge w:val="continue"/>
            <w:tcBorders>
              <w:left w:val="single" w:color="000000" w:sz="4" w:space="0"/>
              <w:right w:val="single" w:color="000000" w:sz="4" w:space="0"/>
            </w:tcBorders>
            <w:shd w:val="clear" w:color="auto" w:fill="auto"/>
            <w:noWrap/>
            <w:vAlign w:val="center"/>
          </w:tcPr>
          <w:p w14:paraId="01DA15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48C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牛庙河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402">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5B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3.6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71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54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003BA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CB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16</w:t>
            </w:r>
          </w:p>
        </w:tc>
        <w:tc>
          <w:tcPr>
            <w:tcW w:w="1536" w:type="dxa"/>
            <w:vMerge w:val="continue"/>
            <w:tcBorders>
              <w:left w:val="single" w:color="000000" w:sz="4" w:space="0"/>
              <w:right w:val="single" w:color="000000" w:sz="4" w:space="0"/>
            </w:tcBorders>
            <w:shd w:val="clear" w:color="auto" w:fill="auto"/>
            <w:noWrap/>
            <w:vAlign w:val="center"/>
          </w:tcPr>
          <w:p w14:paraId="0352A7A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2B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琅哥河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849E">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君堂镇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95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24.96</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594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96D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22A4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679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17</w:t>
            </w:r>
          </w:p>
        </w:tc>
        <w:tc>
          <w:tcPr>
            <w:tcW w:w="1536" w:type="dxa"/>
            <w:vMerge w:val="continue"/>
            <w:tcBorders>
              <w:left w:val="single" w:color="000000" w:sz="4" w:space="0"/>
              <w:right w:val="single" w:color="000000" w:sz="4" w:space="0"/>
            </w:tcBorders>
            <w:shd w:val="clear" w:color="auto" w:fill="auto"/>
            <w:noWrap/>
            <w:vAlign w:val="center"/>
          </w:tcPr>
          <w:p w14:paraId="46F705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A45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茶山坑河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4035">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大田镇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9EC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7.18</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A5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E45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3CB0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942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18</w:t>
            </w:r>
          </w:p>
        </w:tc>
        <w:tc>
          <w:tcPr>
            <w:tcW w:w="1536" w:type="dxa"/>
            <w:vMerge w:val="continue"/>
            <w:tcBorders>
              <w:left w:val="single" w:color="000000" w:sz="4" w:space="0"/>
              <w:right w:val="single" w:color="000000" w:sz="4" w:space="0"/>
            </w:tcBorders>
            <w:shd w:val="clear" w:color="auto" w:fill="auto"/>
            <w:noWrap/>
            <w:vAlign w:val="center"/>
          </w:tcPr>
          <w:p w14:paraId="486B6CA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B37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猪肉湖河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1A798">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B9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2.81</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B5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AF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3EEE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DC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19</w:t>
            </w:r>
          </w:p>
        </w:tc>
        <w:tc>
          <w:tcPr>
            <w:tcW w:w="1536" w:type="dxa"/>
            <w:vMerge w:val="continue"/>
            <w:tcBorders>
              <w:left w:val="single" w:color="000000" w:sz="4" w:space="0"/>
              <w:right w:val="single" w:color="000000" w:sz="4" w:space="0"/>
            </w:tcBorders>
            <w:shd w:val="clear" w:color="auto" w:fill="auto"/>
            <w:noWrap/>
            <w:vAlign w:val="center"/>
          </w:tcPr>
          <w:p w14:paraId="50FC63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D7F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茶坑河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7E28">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19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2.51</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40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FD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451D7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2BA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20</w:t>
            </w:r>
          </w:p>
        </w:tc>
        <w:tc>
          <w:tcPr>
            <w:tcW w:w="1536" w:type="dxa"/>
            <w:vMerge w:val="continue"/>
            <w:tcBorders>
              <w:left w:val="single" w:color="000000" w:sz="4" w:space="0"/>
              <w:right w:val="single" w:color="000000" w:sz="4" w:space="0"/>
            </w:tcBorders>
            <w:shd w:val="clear" w:color="auto" w:fill="auto"/>
            <w:noWrap/>
            <w:vAlign w:val="center"/>
          </w:tcPr>
          <w:p w14:paraId="2DF602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1B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塘劳河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A403">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B73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4.64</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FF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8FB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2B2B7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3F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21</w:t>
            </w:r>
          </w:p>
        </w:tc>
        <w:tc>
          <w:tcPr>
            <w:tcW w:w="1536" w:type="dxa"/>
            <w:vMerge w:val="continue"/>
            <w:tcBorders>
              <w:left w:val="single" w:color="000000" w:sz="4" w:space="0"/>
              <w:right w:val="single" w:color="000000" w:sz="4" w:space="0"/>
            </w:tcBorders>
            <w:shd w:val="clear" w:color="auto" w:fill="auto"/>
            <w:noWrap/>
            <w:vAlign w:val="center"/>
          </w:tcPr>
          <w:p w14:paraId="621847A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583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新楼河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D2A4">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385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3.47</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70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C49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1D55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2F5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22</w:t>
            </w:r>
          </w:p>
        </w:tc>
        <w:tc>
          <w:tcPr>
            <w:tcW w:w="1536" w:type="dxa"/>
            <w:vMerge w:val="continue"/>
            <w:tcBorders>
              <w:left w:val="single" w:color="000000" w:sz="4" w:space="0"/>
              <w:right w:val="single" w:color="000000" w:sz="4" w:space="0"/>
            </w:tcBorders>
            <w:shd w:val="clear" w:color="auto" w:fill="auto"/>
            <w:noWrap/>
            <w:vAlign w:val="center"/>
          </w:tcPr>
          <w:p w14:paraId="7F0A747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A8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黄竹水河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E971">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东成镇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451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7.1</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39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FE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1AE2E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98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23</w:t>
            </w:r>
          </w:p>
        </w:tc>
        <w:tc>
          <w:tcPr>
            <w:tcW w:w="1536" w:type="dxa"/>
            <w:vMerge w:val="continue"/>
            <w:tcBorders>
              <w:left w:val="single" w:color="000000" w:sz="4" w:space="0"/>
              <w:right w:val="single" w:color="000000" w:sz="4" w:space="0"/>
            </w:tcBorders>
            <w:shd w:val="clear" w:color="auto" w:fill="auto"/>
            <w:noWrap/>
            <w:vAlign w:val="center"/>
          </w:tcPr>
          <w:p w14:paraId="51CB4A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8F6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下陂庙河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058D">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东成镇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45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6.19</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519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139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0C244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27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24</w:t>
            </w:r>
          </w:p>
        </w:tc>
        <w:tc>
          <w:tcPr>
            <w:tcW w:w="1536" w:type="dxa"/>
            <w:vMerge w:val="continue"/>
            <w:tcBorders>
              <w:left w:val="single" w:color="000000" w:sz="4" w:space="0"/>
              <w:bottom w:val="single" w:color="000000" w:sz="4" w:space="0"/>
              <w:right w:val="single" w:color="000000" w:sz="4" w:space="0"/>
            </w:tcBorders>
            <w:shd w:val="clear" w:color="auto" w:fill="auto"/>
            <w:noWrap/>
            <w:vAlign w:val="center"/>
          </w:tcPr>
          <w:p w14:paraId="4204F8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17A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马安山河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7DB0">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恩城街道</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52D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2.61</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9E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44E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Ⅲ类</w:t>
            </w:r>
          </w:p>
        </w:tc>
      </w:tr>
      <w:tr w14:paraId="377B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17C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25</w:t>
            </w:r>
          </w:p>
        </w:tc>
        <w:tc>
          <w:tcPr>
            <w:tcW w:w="1536" w:type="dxa"/>
            <w:vMerge w:val="restart"/>
            <w:tcBorders>
              <w:top w:val="single" w:color="000000" w:sz="4" w:space="0"/>
              <w:left w:val="single" w:color="000000" w:sz="4" w:space="0"/>
              <w:right w:val="single" w:color="000000" w:sz="4" w:space="0"/>
            </w:tcBorders>
            <w:shd w:val="clear" w:color="auto" w:fill="auto"/>
            <w:noWrap/>
            <w:vAlign w:val="center"/>
          </w:tcPr>
          <w:p w14:paraId="0A39C6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粤西</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E2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那吉河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D502">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那吉镇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72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25</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334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61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r>
      <w:tr w14:paraId="4303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CA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26</w:t>
            </w:r>
          </w:p>
        </w:tc>
        <w:tc>
          <w:tcPr>
            <w:tcW w:w="1536" w:type="dxa"/>
            <w:vMerge w:val="continue"/>
            <w:tcBorders>
              <w:left w:val="single" w:color="000000" w:sz="4" w:space="0"/>
              <w:bottom w:val="single" w:color="000000" w:sz="4" w:space="0"/>
              <w:right w:val="single" w:color="000000" w:sz="4" w:space="0"/>
            </w:tcBorders>
            <w:shd w:val="clear" w:color="auto" w:fill="auto"/>
            <w:noWrap/>
            <w:vAlign w:val="center"/>
          </w:tcPr>
          <w:p w14:paraId="048085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54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倒流河</w:t>
            </w:r>
          </w:p>
        </w:tc>
        <w:tc>
          <w:tcPr>
            <w:tcW w:w="2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0BF6">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横陂镇、大槐镇</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4B8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28</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B11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326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w:t>
            </w:r>
          </w:p>
        </w:tc>
      </w:tr>
    </w:tbl>
    <w:p w14:paraId="04E5F840">
      <w:pPr>
        <w:ind w:left="0" w:leftChars="0" w:firstLine="0" w:firstLineChars="0"/>
        <w:rPr>
          <w:rFonts w:hint="eastAsia" w:ascii="方正仿宋_GB2312" w:hAnsi="方正仿宋_GB2312" w:eastAsia="方正仿宋_GB2312" w:cs="方正仿宋_GB2312"/>
        </w:rPr>
      </w:pPr>
    </w:p>
    <w:p w14:paraId="510C4548">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自然资源</w:t>
      </w:r>
    </w:p>
    <w:p w14:paraId="6AD856F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恩平市气候温和，雨量充沛，全市河流纵横交错，水库星罗棋布，空气清新宜人。境内高山起伏、丘陵遍布，风景优美，是养生、休闲度假的绝佳之地。</w:t>
      </w:r>
    </w:p>
    <w:p w14:paraId="1FDBCBD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恩平自然资源多样，物产丰富。动物资源有山鸡、毛鸡、水鸭等约30种；兽类有羊、山猪、猪仔狸、乌脚狸等20种；鳞甲类35种，虫类33种，蛇类20种。植物资源也很丰富，较常见且用途广的有：草类10多种，花类30多种，药类有五六十种。境内矿产种类较多，能源矿产主要有煤、地热等，金属矿产主要有金、铜、铁、钨、锡、褐钇钽、铌、铌钽、锆英石、钼、稀土等，非金属矿主要有板岩、独居石、黄铁矿、钾长石、建筑用花岗岩、建筑用砂、脉石英、钠长石、水晶、水泥用石灰岩、陶瓷土、页岩等，水汽矿产主要为矿泉水、地下水等。其中优势矿产有建筑用花岗岩、水泥用石灰岩、陶瓷土、页岩、地热和矿泉水等。</w:t>
      </w:r>
    </w:p>
    <w:p w14:paraId="63F12ECD">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水资源十分丰富。地表径流由降雨产生，全境多年平均年径流量23.7亿m3，折合年径流深1420mm，平均每人拥有水量</w:t>
      </w:r>
      <w:r>
        <w:rPr>
          <w:rFonts w:hint="eastAsia" w:ascii="方正仿宋_GB2312" w:hAnsi="方正仿宋_GB2312" w:eastAsia="方正仿宋_GB2312" w:cs="方正仿宋_GB2312"/>
          <w:color w:val="000000" w:themeColor="text1"/>
          <w:lang w:eastAsia="zh-CN"/>
          <w14:textFill>
            <w14:solidFill>
              <w14:schemeClr w14:val="tx1"/>
            </w14:solidFill>
          </w14:textFill>
        </w:rPr>
        <w:t>6419m³</w:t>
      </w:r>
      <w:r>
        <w:rPr>
          <w:rFonts w:hint="eastAsia" w:ascii="方正仿宋_GB2312" w:hAnsi="方正仿宋_GB2312" w:eastAsia="方正仿宋_GB2312" w:cs="方正仿宋_GB2312"/>
          <w:color w:val="000000" w:themeColor="text1"/>
          <w14:textFill>
            <w14:solidFill>
              <w14:schemeClr w14:val="tx1"/>
            </w14:solidFill>
          </w14:textFill>
        </w:rPr>
        <w:t>，为全国人均</w:t>
      </w:r>
      <w:r>
        <w:rPr>
          <w:rFonts w:hint="eastAsia" w:ascii="方正仿宋_GB2312" w:hAnsi="方正仿宋_GB2312" w:eastAsia="方正仿宋_GB2312" w:cs="方正仿宋_GB2312"/>
          <w:color w:val="000000" w:themeColor="text1"/>
          <w:lang w:eastAsia="zh-CN"/>
          <w14:textFill>
            <w14:solidFill>
              <w14:schemeClr w14:val="tx1"/>
            </w14:solidFill>
          </w14:textFill>
        </w:rPr>
        <w:t>2700m³</w:t>
      </w:r>
      <w:r>
        <w:rPr>
          <w:rFonts w:hint="eastAsia" w:ascii="方正仿宋_GB2312" w:hAnsi="方正仿宋_GB2312" w:eastAsia="方正仿宋_GB2312" w:cs="方正仿宋_GB2312"/>
          <w:color w:val="000000" w:themeColor="text1"/>
          <w14:textFill>
            <w14:solidFill>
              <w14:schemeClr w14:val="tx1"/>
            </w14:solidFill>
          </w14:textFill>
        </w:rPr>
        <w:t>的2.4倍，全省人均</w:t>
      </w:r>
      <w:r>
        <w:rPr>
          <w:rFonts w:hint="eastAsia" w:ascii="方正仿宋_GB2312" w:hAnsi="方正仿宋_GB2312" w:eastAsia="方正仿宋_GB2312" w:cs="方正仿宋_GB2312"/>
          <w:color w:val="000000" w:themeColor="text1"/>
          <w:lang w:eastAsia="zh-CN"/>
          <w14:textFill>
            <w14:solidFill>
              <w14:schemeClr w14:val="tx1"/>
            </w14:solidFill>
          </w14:textFill>
        </w:rPr>
        <w:t>3520m³</w:t>
      </w:r>
      <w:r>
        <w:rPr>
          <w:rFonts w:hint="eastAsia" w:ascii="方正仿宋_GB2312" w:hAnsi="方正仿宋_GB2312" w:eastAsia="方正仿宋_GB2312" w:cs="方正仿宋_GB2312"/>
          <w:color w:val="000000" w:themeColor="text1"/>
          <w14:textFill>
            <w14:solidFill>
              <w14:schemeClr w14:val="tx1"/>
            </w14:solidFill>
          </w14:textFill>
        </w:rPr>
        <w:t>的1.8倍。</w:t>
      </w:r>
    </w:p>
    <w:p w14:paraId="614A108F">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境内地热资源丰富，主要为地热水。天然出露地热泉点有4个，已开发为金山温泉、帝都温泉、锦江温泉、黑坭温泉，水温45.2～80℃</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平均水温62.6℃</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各自平距10～30km独立存在，水质清莹、润滑、无色、高温，且大多为自涌式，蕴藏量大，属</w:t>
      </w:r>
      <w:r>
        <w:rPr>
          <w:rFonts w:hint="eastAsia" w:ascii="方正仿宋_GB2312" w:hAnsi="方正仿宋_GB2312" w:eastAsia="方正仿宋_GB2312" w:cs="方正仿宋_GB2312"/>
          <w:color w:val="000000" w:themeColor="text1"/>
          <w:lang w:eastAsia="zh-CN"/>
          <w14:textFill>
            <w14:solidFill>
              <w14:schemeClr w14:val="tx1"/>
            </w14:solidFill>
          </w14:textFill>
        </w:rPr>
        <w:t>碳酸氢钠</w:t>
      </w:r>
      <w:r>
        <w:rPr>
          <w:rFonts w:hint="eastAsia" w:ascii="方正仿宋_GB2312" w:hAnsi="方正仿宋_GB2312" w:eastAsia="方正仿宋_GB2312" w:cs="方正仿宋_GB2312"/>
          <w:color w:val="000000" w:themeColor="text1"/>
          <w14:textFill>
            <w14:solidFill>
              <w14:schemeClr w14:val="tx1"/>
            </w14:solidFill>
          </w14:textFill>
        </w:rPr>
        <w:t>型，含偏硅酸、氟、氡、镭、硫、锂、锶等多种对人体有益的矿物质和微量元素。</w:t>
      </w:r>
    </w:p>
    <w:p w14:paraId="716A17EF">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14" w:name="_Toc28371"/>
      <w:bookmarkStart w:id="15" w:name="_Toc187940516"/>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社会经济状况</w:t>
      </w:r>
      <w:bookmarkEnd w:id="14"/>
      <w:bookmarkEnd w:id="15"/>
    </w:p>
    <w:p w14:paraId="0E2531CD">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综合</w:t>
      </w:r>
    </w:p>
    <w:p w14:paraId="43F4304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2024年恩平市实现地区生产总值（GDP，初步核算数）251.04亿元，按可比价格计算，比上年增长（简称同比增长）3.8%。其中，第一产业增加值37.74亿元，同比增长3.9%；第二产业增加值为82.35亿元，增长9.1%；第三产业增加值为130.95亿元，增长0.8%。三次产业结构比例调整为15.0∶32.8∶52.2。人均地区生产总值52158元，增长3.9%。</w:t>
      </w:r>
    </w:p>
    <w:p w14:paraId="09EC22F4">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2024年全年城镇新增就业人数3026人，城镇失业人员再就业人数2506人，就业困难人员实现就业人数217人</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p>
    <w:p w14:paraId="4305AF5A">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年完成一般公共预算收入14.41亿元，增长3.1%。从收入结构看，完成税收收入6.90亿元，下降9.5%；非税收入7.51亿元，增长18.3%。镇级财政收入达到7.04亿元，占全市一般公共预算收入的48.9%，同比下降8.8%。全年税收总收入17.83亿元，下降8.7%，其中工业增值税完成收入5.87亿元，下降10.7%。全年一般公共预算支出安排44.36亿元，增长7.9%。一般公共服务、公共安全、教育、科技、社保就业、卫生健康、节能环保、城乡社区等“八项民生”支出合计完成31.14亿元，增长0.4%，占一般公共预算支出比重70.2%。</w:t>
      </w:r>
    </w:p>
    <w:p w14:paraId="4C24D8D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农业</w:t>
      </w:r>
    </w:p>
    <w:p w14:paraId="3C9EFB48">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2024年，全年实现农林牧渔业总产值66.4亿元，按可比价计算，比上年增长5.2%，其中农林牧渔及服务业各类产值所占比重依次为41.32%、3.42%、31.86%、20.94%、2.46%；农林牧渔业增加值38.43亿元，按可比价计算，比上年增长5.0%，对GDP增长的贡献率达18.2%。</w:t>
      </w:r>
    </w:p>
    <w:p w14:paraId="31C9F60F">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年粮食种植面积46.80万亩，总产量16.24万吨。其中，水稻种植面积42.02万亩，总产量14.92万吨；春收马铃薯种植面积3.98万亩，总产量4.98万吨（鲜薯）。生猪饲养量达94.66万头，其中生猪存栏量33.51万头，生猪上市量61.15万头；禽类饲养量1596.6万只，其中家禽存栏量329.2万只，家禽上市量1267.4万只。肉类总产量6.93万吨。水产品总产量5.55万吨，其中，海水产品产量1.61万吨，海水产品产值3.94亿元。</w:t>
      </w:r>
    </w:p>
    <w:p w14:paraId="2BF17B4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工业和建筑业</w:t>
      </w:r>
    </w:p>
    <w:p w14:paraId="586B316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全年</w:t>
      </w:r>
      <w:r>
        <w:rPr>
          <w:rFonts w:hint="eastAsia" w:ascii="方正仿宋_GB2312" w:hAnsi="方正仿宋_GB2312" w:eastAsia="方正仿宋_GB2312" w:cs="方正仿宋_GB2312"/>
          <w:color w:val="000000" w:themeColor="text1"/>
          <w14:textFill>
            <w14:solidFill>
              <w14:schemeClr w14:val="tx1"/>
            </w14:solidFill>
          </w14:textFill>
        </w:rPr>
        <w:t>规模以上工业增加值同比增长4.5%。</w:t>
      </w:r>
      <w:r>
        <w:rPr>
          <w:rFonts w:hint="eastAsia" w:ascii="方正仿宋_GB2312" w:hAnsi="方正仿宋_GB2312" w:eastAsia="方正仿宋_GB2312" w:cs="方正仿宋_GB2312"/>
          <w:color w:val="000000" w:themeColor="text1"/>
          <w:lang w:eastAsia="zh-CN"/>
          <w14:textFill>
            <w14:solidFill>
              <w14:schemeClr w14:val="tx1"/>
            </w14:solidFill>
          </w14:textFill>
        </w:rPr>
        <w:t>根据全市规模以下工业抽样调查结果</w:t>
      </w:r>
      <w:r>
        <w:rPr>
          <w:rFonts w:hint="eastAsia" w:ascii="方正仿宋_GB2312" w:hAnsi="方正仿宋_GB2312" w:eastAsia="方正仿宋_GB2312" w:cs="方正仿宋_GB2312"/>
          <w:color w:val="000000" w:themeColor="text1"/>
          <w14:textFill>
            <w14:solidFill>
              <w14:schemeClr w14:val="tx1"/>
            </w14:solidFill>
          </w14:textFill>
        </w:rPr>
        <w:t>，规模以下工业增加值比上年增长7.2%。</w:t>
      </w:r>
    </w:p>
    <w:p w14:paraId="4E3D158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产业园区已成为全市工业经济发展的主战场和主要载体。其中，恩平产业转移工业园实现规上工业</w:t>
      </w:r>
      <w:r>
        <w:rPr>
          <w:rFonts w:hint="eastAsia" w:ascii="方正仿宋_GB2312" w:hAnsi="方正仿宋_GB2312" w:eastAsia="方正仿宋_GB2312" w:cs="方正仿宋_GB2312"/>
          <w:color w:val="000000" w:themeColor="text1"/>
          <w:lang w:eastAsia="zh-CN"/>
          <w14:textFill>
            <w14:solidFill>
              <w14:schemeClr w14:val="tx1"/>
            </w14:solidFill>
          </w14:textFill>
        </w:rPr>
        <w:t>增加值</w:t>
      </w:r>
      <w:r>
        <w:rPr>
          <w:rFonts w:hint="eastAsia" w:ascii="方正仿宋_GB2312" w:hAnsi="方正仿宋_GB2312" w:eastAsia="方正仿宋_GB2312" w:cs="方正仿宋_GB2312"/>
          <w:color w:val="000000" w:themeColor="text1"/>
          <w14:textFill>
            <w14:solidFill>
              <w14:schemeClr w14:val="tx1"/>
            </w14:solidFill>
          </w14:textFill>
        </w:rPr>
        <w:t>15.12亿元，同比增长10.1%，占全市规上工业增加值比重为38%。208家规模以上工业企业（年主营业务收入2000万元以上的工业法人单位）实现营业收入191.5亿元，同比增长2%；每百元营业收入中的成本为87.6元，下降0.05%；利润总额2.38亿元，同比下降18.1%，以利润总额计算的利润率为1.24%。</w:t>
      </w:r>
    </w:p>
    <w:p w14:paraId="3E1994D5">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水泥建陶业、纺织服装、化工制造和麦克风及电声器材制造等四大传统优势行业合计实现规上工业增加值25.6亿元，占全市规上工业总量的64.3%，下降2.9%。先进制造业完成规上工业增加值14.32亿元，增长7.1%；高技术制造业完成规上工业增加值2.98亿元，增长2.4%。先进制造业和高技术制造业比重分别达到35.51%和7.39%。</w:t>
      </w:r>
    </w:p>
    <w:p w14:paraId="4FE0FAC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38家具有资质等级以上的建筑业企业完成施工总产值33.12亿元，增长33.6%；实现利润总额0.73亿元，与去年同期基本持平；利税总额1.71亿元，增长21.3%。</w:t>
      </w:r>
    </w:p>
    <w:p w14:paraId="05020EAC">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资源与环境</w:t>
      </w:r>
    </w:p>
    <w:p w14:paraId="3AF9968E">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年规模以上工业综合能源消费量40.89万吨标准煤，下降7.9%。全社会用电量33.00亿千瓦时，增长3.1%。分产业看，第一产业用电量1.38亿千瓦时，增长12.3%；第二产业用电量21.97亿千瓦时，增长0.8%，其中工业用电量21.83亿千瓦时，增长0.8%，占全社会用电量的比重为66.1%；第三产业用电量4.55亿千瓦时，增长8.5%。城乡居民生活用电量5.10亿千瓦时，增长6.7%。</w:t>
      </w:r>
    </w:p>
    <w:p w14:paraId="6EB6DC9D">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2024年1</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12月，恩平市空气质量优良天数比例为98.5%，在江门各县（市、区）排名第一，空气质量综合指数2.47，六项空气质量常规监测指标全部</w:t>
      </w:r>
      <w:r>
        <w:rPr>
          <w:rFonts w:hint="eastAsia" w:ascii="方正仿宋_GB2312" w:hAnsi="方正仿宋_GB2312" w:eastAsia="方正仿宋_GB2312" w:cs="方正仿宋_GB2312"/>
          <w:color w:val="000000" w:themeColor="text1"/>
          <w:lang w:eastAsia="zh-CN"/>
          <w14:textFill>
            <w14:solidFill>
              <w14:schemeClr w14:val="tx1"/>
            </w14:solidFill>
          </w14:textFill>
        </w:rPr>
        <w:t>达到</w:t>
      </w:r>
      <w:r>
        <w:rPr>
          <w:rFonts w:hint="eastAsia" w:ascii="方正仿宋_GB2312" w:hAnsi="方正仿宋_GB2312" w:eastAsia="方正仿宋_GB2312" w:cs="方正仿宋_GB2312"/>
          <w:color w:val="000000" w:themeColor="text1"/>
          <w14:textFill>
            <w14:solidFill>
              <w14:schemeClr w14:val="tx1"/>
            </w14:solidFill>
          </w14:textFill>
        </w:rPr>
        <w:t>二级标准。集中式饮用水源江南干渠和锦江水库达标率为100%（年度目标为Ⅲ类），省考义兴断面水质均值达到Ⅱ类水质标准（年度目标为Ⅲ类），省考锦江水库水质达标率为100%（年度目标为Ⅱ类），国考恩城水厂断面水质均值</w:t>
      </w:r>
      <w:r>
        <w:rPr>
          <w:rFonts w:hint="eastAsia" w:ascii="方正仿宋_GB2312" w:hAnsi="方正仿宋_GB2312" w:eastAsia="方正仿宋_GB2312" w:cs="方正仿宋_GB2312"/>
          <w:color w:val="000000" w:themeColor="text1"/>
          <w:lang w:eastAsia="zh-CN"/>
          <w14:textFill>
            <w14:solidFill>
              <w14:schemeClr w14:val="tx1"/>
            </w14:solidFill>
          </w14:textFill>
        </w:rPr>
        <w:t>达到</w:t>
      </w:r>
      <w:r>
        <w:rPr>
          <w:rFonts w:hint="eastAsia" w:ascii="方正仿宋_GB2312" w:hAnsi="方正仿宋_GB2312" w:eastAsia="方正仿宋_GB2312" w:cs="方正仿宋_GB2312"/>
          <w:color w:val="000000" w:themeColor="text1"/>
          <w14:textFill>
            <w14:solidFill>
              <w14:schemeClr w14:val="tx1"/>
            </w14:solidFill>
          </w14:textFill>
        </w:rPr>
        <w:t>Ⅱ类水质标准（年度目标为Ⅱ类）。土壤环境总体安全，未发生因耕地污染导致农产品质量安全问题且造成不良社会影响的事件，未发生污染地块再开发利用不当且造成不良社会影响的事件。</w:t>
      </w:r>
    </w:p>
    <w:p w14:paraId="1C79945A">
      <w:pPr>
        <w:ind w:firstLine="640"/>
        <w:rPr>
          <w:rFonts w:hint="eastAsia" w:ascii="方正仿宋_GB2312" w:hAnsi="方正仿宋_GB2312" w:eastAsia="方正仿宋_GB2312" w:cs="方正仿宋_GB2312"/>
          <w:b/>
          <w:bCs/>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全年完成造林面积3380公顷，森林面积达72879.86公顷（不含河排、西坑林场、大沙林场），森林覆盖率50.03%。有自然保护区3个，面积15727公顷。</w:t>
      </w:r>
    </w:p>
    <w:p w14:paraId="4782CD40">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16" w:name="_Toc187940517"/>
      <w:bookmarkStart w:id="17" w:name="_Toc2724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（四）</w:t>
      </w:r>
      <w:r>
        <w:rPr>
          <w:rFonts w:hint="eastAsia" w:ascii="方正仿宋_GB2312" w:hAnsi="方正仿宋_GB2312" w:eastAsia="方正仿宋_GB2312" w:cs="方正仿宋_GB2312"/>
          <w:color w:val="000000" w:themeColor="text1"/>
          <w14:textFill>
            <w14:solidFill>
              <w14:schemeClr w14:val="tx1"/>
            </w14:solidFill>
          </w14:textFill>
        </w:rPr>
        <w:t>生态环境概况</w:t>
      </w:r>
      <w:bookmarkEnd w:id="16"/>
      <w:bookmarkEnd w:id="17"/>
    </w:p>
    <w:p w14:paraId="0008D90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生态环境管控区</w:t>
      </w:r>
    </w:p>
    <w:p w14:paraId="6E79FA84">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14:textFill>
            <w14:solidFill>
              <w14:schemeClr w14:val="tx1"/>
            </w14:solidFill>
          </w14:textFill>
        </w:rPr>
        <w:t>市“三线一单”生态环境分区管控方案》，</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生态空间划定为生态保护红线、一般生态空间、生态空间，其中生态保护红线面积481.78平方千米，占全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国土面积的28.43%；一般生态空间236.64平方千米，占全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国土面积的13.96%；生态空间718.42平方千米，占全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国土面积的42.39%。</w:t>
      </w:r>
    </w:p>
    <w:p w14:paraId="588C7D2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环境管控单元分为优先保护单元、重点管控单元和一般管控单元三类，其中优先保护单元5个，面积合计为740.14平方千米，占全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国土面积的43.67%；重点管控单元</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个，面积为425.53平方千米，占全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国土面积的25.11%；一般管控单元</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个，面积为528.99平方千米，占全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国土面积的31.22%。</w:t>
      </w:r>
    </w:p>
    <w:p w14:paraId="20AA620B">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环境质量状况</w:t>
      </w:r>
    </w:p>
    <w:p w14:paraId="437FF2CC">
      <w:pPr>
        <w:pStyle w:val="5"/>
        <w:numPr>
          <w:ilvl w:val="3"/>
          <w:numId w:val="0"/>
        </w:numPr>
        <w:ind w:left="0" w:leftChars="0" w:firstLine="640" w:firstLineChars="20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28"/>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环境空气质量状况</w:t>
      </w:r>
    </w:p>
    <w:p w14:paraId="46E3C5A3">
      <w:pPr>
        <w:pStyle w:val="48"/>
        <w:numPr>
          <w:ilvl w:val="8"/>
          <w:numId w:val="0"/>
        </w:numPr>
        <w:ind w:left="0" w:leftChars="0" w:firstLine="0" w:firstLineChars="0"/>
        <w:jc w:val="left"/>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14:textFill>
            <w14:solidFill>
              <w14:schemeClr w14:val="tx1"/>
            </w14:solidFill>
          </w14:textFill>
        </w:rPr>
        <w:t>市生态环境局</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w:t>
      </w:r>
      <w:r>
        <w:rPr>
          <w:rFonts w:hint="eastAsia" w:ascii="方正仿宋_GB2312" w:hAnsi="方正仿宋_GB2312" w:eastAsia="方正仿宋_GB2312" w:cs="方正仿宋_GB2312"/>
          <w:color w:val="000000" w:themeColor="text1"/>
          <w14:textFill>
            <w14:solidFill>
              <w14:schemeClr w14:val="tx1"/>
            </w14:solidFill>
          </w14:textFill>
        </w:rPr>
        <w:t>分局提供的20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年环境空气质量统计数据，</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环境空气质量总体良好，6项基本污染物浓度均可达到《环境空气质量标准》（GB3095-2012）及2018年修改单二级标准限值。</w:t>
      </w:r>
    </w:p>
    <w:p w14:paraId="14EC55E4">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表2 恩平市</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年环境空气质量监测数据统计表</w:t>
      </w:r>
    </w:p>
    <w:tbl>
      <w:tblPr>
        <w:tblStyle w:val="52"/>
        <w:tblpPr w:leftFromText="180" w:rightFromText="180" w:vertAnchor="text" w:horzAnchor="page" w:tblpX="1646" w:tblpY="221"/>
        <w:tblOverlap w:val="never"/>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388"/>
        <w:gridCol w:w="1390"/>
        <w:gridCol w:w="1390"/>
        <w:gridCol w:w="1390"/>
        <w:gridCol w:w="1390"/>
        <w:gridCol w:w="1387"/>
      </w:tblGrid>
      <w:tr w14:paraId="71731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934435D">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年度</w:t>
            </w:r>
          </w:p>
        </w:tc>
        <w:tc>
          <w:tcPr>
            <w:tcW w:w="766" w:type="pct"/>
            <w:vAlign w:val="center"/>
          </w:tcPr>
          <w:p w14:paraId="1E079921">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SO</w:t>
            </w:r>
            <w:r>
              <w:rPr>
                <w:rFonts w:hint="eastAsia" w:ascii="方正仿宋_GB2312" w:hAnsi="方正仿宋_GB2312" w:eastAsia="方正仿宋_GB2312" w:cs="方正仿宋_GB2312"/>
                <w:b/>
                <w:i w:val="0"/>
                <w:color w:val="000000" w:themeColor="text1"/>
                <w:vertAlign w:val="subscript"/>
                <w14:textFill>
                  <w14:solidFill>
                    <w14:schemeClr w14:val="tx1"/>
                  </w14:solidFill>
                </w14:textFill>
              </w:rPr>
              <w:t>2</w:t>
            </w:r>
            <w:r>
              <w:rPr>
                <w:rFonts w:hint="eastAsia" w:ascii="方正仿宋_GB2312" w:hAnsi="方正仿宋_GB2312" w:eastAsia="方正仿宋_GB2312" w:cs="方正仿宋_GB2312"/>
                <w:b/>
                <w:i w:val="0"/>
                <w:color w:val="000000" w:themeColor="text1"/>
                <w:vertAlign w:val="subscript"/>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μg/m³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c>
          <w:tcPr>
            <w:tcW w:w="767" w:type="pct"/>
            <w:vAlign w:val="center"/>
          </w:tcPr>
          <w:p w14:paraId="182F6844">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NO</w:t>
            </w:r>
            <w:r>
              <w:rPr>
                <w:rFonts w:hint="eastAsia" w:ascii="方正仿宋_GB2312" w:hAnsi="方正仿宋_GB2312" w:eastAsia="方正仿宋_GB2312" w:cs="方正仿宋_GB2312"/>
                <w:b/>
                <w:i w:val="0"/>
                <w:color w:val="000000" w:themeColor="text1"/>
                <w:vertAlign w:val="subscript"/>
                <w14:textFill>
                  <w14:solidFill>
                    <w14:schemeClr w14:val="tx1"/>
                  </w14:solidFill>
                </w14:textFill>
              </w:rPr>
              <w:t>2</w:t>
            </w:r>
            <w:r>
              <w:rPr>
                <w:rFonts w:hint="eastAsia" w:ascii="方正仿宋_GB2312" w:hAnsi="方正仿宋_GB2312" w:eastAsia="方正仿宋_GB2312" w:cs="方正仿宋_GB2312"/>
                <w:b/>
                <w:i w:val="0"/>
                <w:color w:val="000000" w:themeColor="text1"/>
                <w:vertAlign w:val="subscript"/>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μg/m³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c>
          <w:tcPr>
            <w:tcW w:w="767" w:type="pct"/>
            <w:vAlign w:val="center"/>
          </w:tcPr>
          <w:p w14:paraId="79E00A10">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PM</w:t>
            </w:r>
            <w:r>
              <w:rPr>
                <w:rFonts w:hint="eastAsia" w:ascii="方正仿宋_GB2312" w:hAnsi="方正仿宋_GB2312" w:eastAsia="方正仿宋_GB2312" w:cs="方正仿宋_GB2312"/>
                <w:b/>
                <w:i w:val="0"/>
                <w:color w:val="000000" w:themeColor="text1"/>
                <w:vertAlign w:val="subscript"/>
                <w14:textFill>
                  <w14:solidFill>
                    <w14:schemeClr w14:val="tx1"/>
                  </w14:solidFill>
                </w14:textFill>
              </w:rPr>
              <w:t>10</w:t>
            </w:r>
            <w:r>
              <w:rPr>
                <w:rFonts w:hint="eastAsia" w:ascii="方正仿宋_GB2312" w:hAnsi="方正仿宋_GB2312" w:eastAsia="方正仿宋_GB2312" w:cs="方正仿宋_GB2312"/>
                <w:b/>
                <w:i w:val="0"/>
                <w:color w:val="000000" w:themeColor="text1"/>
                <w:vertAlign w:val="subscript"/>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μg/m³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c>
          <w:tcPr>
            <w:tcW w:w="767" w:type="pct"/>
            <w:vAlign w:val="center"/>
          </w:tcPr>
          <w:p w14:paraId="257977A5">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CO-95per</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mg/m³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c>
          <w:tcPr>
            <w:tcW w:w="767" w:type="pct"/>
            <w:vAlign w:val="center"/>
          </w:tcPr>
          <w:p w14:paraId="5FB29FD2">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O</w:t>
            </w:r>
            <w:r>
              <w:rPr>
                <w:rFonts w:hint="eastAsia" w:ascii="方正仿宋_GB2312" w:hAnsi="方正仿宋_GB2312" w:eastAsia="方正仿宋_GB2312" w:cs="方正仿宋_GB2312"/>
                <w:b/>
                <w:i w:val="0"/>
                <w:color w:val="000000" w:themeColor="text1"/>
                <w:vertAlign w:val="subscript"/>
                <w14:textFill>
                  <w14:solidFill>
                    <w14:schemeClr w14:val="tx1"/>
                  </w14:solidFill>
                </w14:textFill>
              </w:rPr>
              <w:t>3</w:t>
            </w:r>
            <w:r>
              <w:rPr>
                <w:rFonts w:hint="eastAsia" w:ascii="方正仿宋_GB2312" w:hAnsi="方正仿宋_GB2312" w:eastAsia="方正仿宋_GB2312" w:cs="方正仿宋_GB2312"/>
                <w:b/>
                <w:i w:val="0"/>
                <w:color w:val="000000" w:themeColor="text1"/>
                <w14:textFill>
                  <w14:solidFill>
                    <w14:schemeClr w14:val="tx1"/>
                  </w14:solidFill>
                </w14:textFill>
              </w:rPr>
              <w:t>-8H-90per</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μg/m³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c>
          <w:tcPr>
            <w:tcW w:w="765" w:type="pct"/>
            <w:vAlign w:val="center"/>
          </w:tcPr>
          <w:p w14:paraId="6E7625AD">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PM</w:t>
            </w:r>
            <w:r>
              <w:rPr>
                <w:rFonts w:hint="eastAsia" w:ascii="方正仿宋_GB2312" w:hAnsi="方正仿宋_GB2312" w:eastAsia="方正仿宋_GB2312" w:cs="方正仿宋_GB2312"/>
                <w:b/>
                <w:i w:val="0"/>
                <w:color w:val="000000" w:themeColor="text1"/>
                <w:vertAlign w:val="subscript"/>
                <w14:textFill>
                  <w14:solidFill>
                    <w14:schemeClr w14:val="tx1"/>
                  </w14:solidFill>
                </w14:textFill>
              </w:rPr>
              <w:t>2.5</w:t>
            </w:r>
            <w:r>
              <w:rPr>
                <w:rFonts w:hint="eastAsia" w:ascii="方正仿宋_GB2312" w:hAnsi="方正仿宋_GB2312" w:eastAsia="方正仿宋_GB2312" w:cs="方正仿宋_GB2312"/>
                <w:b/>
                <w:i w:val="0"/>
                <w:color w:val="000000" w:themeColor="text1"/>
                <w:vertAlign w:val="subscript"/>
                <w:lang w:eastAsia="zh-CN"/>
                <w14:textFill>
                  <w14:solidFill>
                    <w14:schemeClr w14:val="tx1"/>
                  </w14:solidFill>
                </w14:textFill>
              </w:rPr>
              <w:t>(</w:t>
            </w:r>
            <w:r>
              <w:rPr>
                <w:rFonts w:hint="eastAsia" w:ascii="方正仿宋_GB2312" w:hAnsi="方正仿宋_GB2312" w:eastAsia="方正仿宋_GB2312" w:cs="方正仿宋_GB2312"/>
                <w:b/>
                <w:i w:val="0"/>
                <w:color w:val="000000" w:themeColor="text1"/>
                <w14:textFill>
                  <w14:solidFill>
                    <w14:schemeClr w14:val="tx1"/>
                  </w14:solidFill>
                </w14:textFill>
              </w:rPr>
              <w:t>μg/m³</w:t>
            </w:r>
            <w:r>
              <w:rPr>
                <w:rFonts w:hint="eastAsia" w:ascii="方正仿宋_GB2312" w:hAnsi="方正仿宋_GB2312" w:eastAsia="方正仿宋_GB2312" w:cs="方正仿宋_GB2312"/>
                <w:b/>
                <w:i w:val="0"/>
                <w:color w:val="000000" w:themeColor="text1"/>
                <w:lang w:eastAsia="zh-CN"/>
                <w14:textFill>
                  <w14:solidFill>
                    <w14:schemeClr w14:val="tx1"/>
                  </w14:solidFill>
                </w14:textFill>
              </w:rPr>
              <w:t>)</w:t>
            </w:r>
          </w:p>
        </w:tc>
      </w:tr>
      <w:tr w14:paraId="691F1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1D0C52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p>
        </w:tc>
        <w:tc>
          <w:tcPr>
            <w:tcW w:w="766" w:type="pct"/>
            <w:vAlign w:val="center"/>
          </w:tcPr>
          <w:p w14:paraId="4C0C4A72">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11</w:t>
            </w:r>
          </w:p>
        </w:tc>
        <w:tc>
          <w:tcPr>
            <w:tcW w:w="767" w:type="pct"/>
            <w:vAlign w:val="center"/>
          </w:tcPr>
          <w:p w14:paraId="4FB2A89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19</w:t>
            </w:r>
          </w:p>
        </w:tc>
        <w:tc>
          <w:tcPr>
            <w:tcW w:w="767" w:type="pct"/>
            <w:vAlign w:val="center"/>
          </w:tcPr>
          <w:p w14:paraId="244E27A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36</w:t>
            </w:r>
          </w:p>
        </w:tc>
        <w:tc>
          <w:tcPr>
            <w:tcW w:w="767" w:type="pct"/>
            <w:vAlign w:val="center"/>
          </w:tcPr>
          <w:p w14:paraId="6276DB3A">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w:t>
            </w:r>
          </w:p>
        </w:tc>
        <w:tc>
          <w:tcPr>
            <w:tcW w:w="767" w:type="pct"/>
            <w:vAlign w:val="center"/>
          </w:tcPr>
          <w:p w14:paraId="749CBAF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126</w:t>
            </w:r>
          </w:p>
        </w:tc>
        <w:tc>
          <w:tcPr>
            <w:tcW w:w="765" w:type="pct"/>
            <w:vAlign w:val="center"/>
          </w:tcPr>
          <w:p w14:paraId="0839405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24</w:t>
            </w:r>
          </w:p>
        </w:tc>
      </w:tr>
      <w:tr w14:paraId="496C66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5E43B8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21</w:t>
            </w:r>
          </w:p>
        </w:tc>
        <w:tc>
          <w:tcPr>
            <w:tcW w:w="766" w:type="pct"/>
            <w:vAlign w:val="center"/>
          </w:tcPr>
          <w:p w14:paraId="2259EF60">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10</w:t>
            </w:r>
          </w:p>
        </w:tc>
        <w:tc>
          <w:tcPr>
            <w:tcW w:w="767" w:type="pct"/>
            <w:vAlign w:val="center"/>
          </w:tcPr>
          <w:p w14:paraId="35C8575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17</w:t>
            </w:r>
          </w:p>
        </w:tc>
        <w:tc>
          <w:tcPr>
            <w:tcW w:w="767" w:type="pct"/>
            <w:vAlign w:val="center"/>
          </w:tcPr>
          <w:p w14:paraId="3F7C7B87">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35</w:t>
            </w:r>
          </w:p>
        </w:tc>
        <w:tc>
          <w:tcPr>
            <w:tcW w:w="767" w:type="pct"/>
            <w:vAlign w:val="center"/>
          </w:tcPr>
          <w:p w14:paraId="1750141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1.1</w:t>
            </w:r>
          </w:p>
        </w:tc>
        <w:tc>
          <w:tcPr>
            <w:tcW w:w="767" w:type="pct"/>
            <w:vAlign w:val="center"/>
          </w:tcPr>
          <w:p w14:paraId="6F04300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122</w:t>
            </w:r>
          </w:p>
        </w:tc>
        <w:tc>
          <w:tcPr>
            <w:tcW w:w="765" w:type="pct"/>
            <w:vAlign w:val="center"/>
          </w:tcPr>
          <w:p w14:paraId="01F00F5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p>
        </w:tc>
      </w:tr>
      <w:tr w14:paraId="7E1F0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562B459B">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w:t>
            </w:r>
          </w:p>
        </w:tc>
        <w:tc>
          <w:tcPr>
            <w:tcW w:w="766" w:type="pct"/>
            <w:vAlign w:val="center"/>
          </w:tcPr>
          <w:p w14:paraId="78718A7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w:t>
            </w:r>
          </w:p>
        </w:tc>
        <w:tc>
          <w:tcPr>
            <w:tcW w:w="767" w:type="pct"/>
            <w:vAlign w:val="center"/>
          </w:tcPr>
          <w:p w14:paraId="05996DCB">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14</w:t>
            </w:r>
          </w:p>
        </w:tc>
        <w:tc>
          <w:tcPr>
            <w:tcW w:w="767" w:type="pct"/>
            <w:vAlign w:val="center"/>
          </w:tcPr>
          <w:p w14:paraId="39AAE0E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p>
        </w:tc>
        <w:tc>
          <w:tcPr>
            <w:tcW w:w="767" w:type="pct"/>
            <w:vAlign w:val="center"/>
          </w:tcPr>
          <w:p w14:paraId="185CC247">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1.0</w:t>
            </w:r>
          </w:p>
        </w:tc>
        <w:tc>
          <w:tcPr>
            <w:tcW w:w="767" w:type="pct"/>
            <w:vAlign w:val="center"/>
          </w:tcPr>
          <w:p w14:paraId="01081BD7">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130</w:t>
            </w:r>
          </w:p>
        </w:tc>
        <w:tc>
          <w:tcPr>
            <w:tcW w:w="765" w:type="pct"/>
            <w:vAlign w:val="center"/>
          </w:tcPr>
          <w:p w14:paraId="48ED22A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19</w:t>
            </w:r>
          </w:p>
        </w:tc>
      </w:tr>
      <w:tr w14:paraId="39FBED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4CE011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p>
        </w:tc>
        <w:tc>
          <w:tcPr>
            <w:tcW w:w="766" w:type="pct"/>
            <w:vAlign w:val="center"/>
          </w:tcPr>
          <w:p w14:paraId="209B988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767" w:type="pct"/>
            <w:vAlign w:val="center"/>
          </w:tcPr>
          <w:p w14:paraId="0436105A">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17</w:t>
            </w:r>
          </w:p>
        </w:tc>
        <w:tc>
          <w:tcPr>
            <w:tcW w:w="767" w:type="pct"/>
            <w:vAlign w:val="center"/>
          </w:tcPr>
          <w:p w14:paraId="60872360">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35</w:t>
            </w:r>
          </w:p>
        </w:tc>
        <w:tc>
          <w:tcPr>
            <w:tcW w:w="767" w:type="pct"/>
            <w:vAlign w:val="center"/>
          </w:tcPr>
          <w:p w14:paraId="5A7791B7">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0.9</w:t>
            </w:r>
          </w:p>
        </w:tc>
        <w:tc>
          <w:tcPr>
            <w:tcW w:w="767" w:type="pct"/>
            <w:vAlign w:val="center"/>
          </w:tcPr>
          <w:p w14:paraId="6324EFB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121</w:t>
            </w:r>
          </w:p>
        </w:tc>
        <w:tc>
          <w:tcPr>
            <w:tcW w:w="765" w:type="pct"/>
            <w:vAlign w:val="center"/>
          </w:tcPr>
          <w:p w14:paraId="136F669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p>
        </w:tc>
      </w:tr>
      <w:tr w14:paraId="6130E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8065ABA">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p>
        </w:tc>
        <w:tc>
          <w:tcPr>
            <w:tcW w:w="766" w:type="pct"/>
            <w:vAlign w:val="center"/>
          </w:tcPr>
          <w:p w14:paraId="2C4C0D39">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767" w:type="pct"/>
            <w:vAlign w:val="center"/>
          </w:tcPr>
          <w:p w14:paraId="5D09D8D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15</w:t>
            </w:r>
          </w:p>
        </w:tc>
        <w:tc>
          <w:tcPr>
            <w:tcW w:w="767" w:type="pct"/>
            <w:vAlign w:val="center"/>
          </w:tcPr>
          <w:p w14:paraId="3DA47052">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29</w:t>
            </w:r>
          </w:p>
        </w:tc>
        <w:tc>
          <w:tcPr>
            <w:tcW w:w="767" w:type="pct"/>
            <w:vAlign w:val="center"/>
          </w:tcPr>
          <w:p w14:paraId="1755A95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0.9</w:t>
            </w:r>
          </w:p>
        </w:tc>
        <w:tc>
          <w:tcPr>
            <w:tcW w:w="767" w:type="pct"/>
            <w:vAlign w:val="center"/>
          </w:tcPr>
          <w:p w14:paraId="44032BD0">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126</w:t>
            </w:r>
          </w:p>
        </w:tc>
        <w:tc>
          <w:tcPr>
            <w:tcW w:w="765" w:type="pct"/>
            <w:vAlign w:val="center"/>
          </w:tcPr>
          <w:p w14:paraId="3E960DE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19</w:t>
            </w:r>
          </w:p>
        </w:tc>
      </w:tr>
      <w:tr w14:paraId="07E0D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2AE00FE">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标准限值</w:t>
            </w:r>
          </w:p>
        </w:tc>
        <w:tc>
          <w:tcPr>
            <w:tcW w:w="766" w:type="pct"/>
            <w:vAlign w:val="center"/>
          </w:tcPr>
          <w:p w14:paraId="498FB1C2">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60</w:t>
            </w:r>
          </w:p>
        </w:tc>
        <w:tc>
          <w:tcPr>
            <w:tcW w:w="767" w:type="pct"/>
            <w:vAlign w:val="center"/>
          </w:tcPr>
          <w:p w14:paraId="5E95676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40</w:t>
            </w:r>
          </w:p>
        </w:tc>
        <w:tc>
          <w:tcPr>
            <w:tcW w:w="767" w:type="pct"/>
            <w:vAlign w:val="center"/>
          </w:tcPr>
          <w:p w14:paraId="5478315B">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70</w:t>
            </w:r>
          </w:p>
        </w:tc>
        <w:tc>
          <w:tcPr>
            <w:tcW w:w="767" w:type="pct"/>
            <w:vAlign w:val="center"/>
          </w:tcPr>
          <w:p w14:paraId="4D7B9C1D">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4</w:t>
            </w:r>
          </w:p>
        </w:tc>
        <w:tc>
          <w:tcPr>
            <w:tcW w:w="767" w:type="pct"/>
            <w:vAlign w:val="center"/>
          </w:tcPr>
          <w:p w14:paraId="0F31F12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160</w:t>
            </w:r>
          </w:p>
        </w:tc>
        <w:tc>
          <w:tcPr>
            <w:tcW w:w="765" w:type="pct"/>
            <w:vAlign w:val="center"/>
          </w:tcPr>
          <w:p w14:paraId="16C5BEE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35</w:t>
            </w:r>
          </w:p>
        </w:tc>
      </w:tr>
      <w:tr w14:paraId="3E292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12952220">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达标情况</w:t>
            </w:r>
          </w:p>
        </w:tc>
        <w:tc>
          <w:tcPr>
            <w:tcW w:w="766" w:type="pct"/>
            <w:vAlign w:val="center"/>
          </w:tcPr>
          <w:p w14:paraId="214E2AC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767" w:type="pct"/>
            <w:vAlign w:val="center"/>
          </w:tcPr>
          <w:p w14:paraId="26532F4A">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767" w:type="pct"/>
            <w:vAlign w:val="center"/>
          </w:tcPr>
          <w:p w14:paraId="08D155F5">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767" w:type="pct"/>
            <w:vAlign w:val="center"/>
          </w:tcPr>
          <w:p w14:paraId="0FFB0780">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767" w:type="pct"/>
            <w:vAlign w:val="center"/>
          </w:tcPr>
          <w:p w14:paraId="47818D4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765" w:type="pct"/>
            <w:vAlign w:val="center"/>
          </w:tcPr>
          <w:p w14:paraId="293752D5">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r>
      <w:tr w14:paraId="46304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1598B6F">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6" w:type="pct"/>
            <w:vAlign w:val="center"/>
          </w:tcPr>
          <w:p w14:paraId="714D7450">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7" w:type="pct"/>
            <w:vAlign w:val="center"/>
          </w:tcPr>
          <w:p w14:paraId="46829E8F">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7" w:type="pct"/>
            <w:vAlign w:val="center"/>
          </w:tcPr>
          <w:p w14:paraId="3FE40A63">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7" w:type="pct"/>
            <w:vAlign w:val="center"/>
          </w:tcPr>
          <w:p w14:paraId="29182E7D">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7" w:type="pct"/>
            <w:vAlign w:val="center"/>
          </w:tcPr>
          <w:p w14:paraId="691FB601">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765" w:type="pct"/>
            <w:vAlign w:val="center"/>
          </w:tcPr>
          <w:p w14:paraId="57D63072">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bl>
    <w:p w14:paraId="103864F9">
      <w:pPr>
        <w:ind w:firstLine="640"/>
        <w:rPr>
          <w:rFonts w:hint="eastAsia" w:ascii="方正仿宋_GB2312" w:hAnsi="方正仿宋_GB2312" w:eastAsia="方正仿宋_GB2312" w:cs="方正仿宋_GB2312"/>
          <w:color w:val="000000" w:themeColor="text1"/>
          <w14:textFill>
            <w14:solidFill>
              <w14:schemeClr w14:val="tx1"/>
            </w14:solidFill>
          </w14:textFill>
        </w:rPr>
      </w:pPr>
    </w:p>
    <w:p w14:paraId="17723E9D">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0DA499F">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72FAF63">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022868C">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3307F9A">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72E65D6">
      <w:pPr>
        <w:spacing w:after="217" w:afterLines="50" w:line="0" w:lineRule="atLeast"/>
        <w:ind w:firstLine="0" w:firstLineChars="0"/>
        <w:jc w:val="center"/>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51297C8">
      <w:pPr>
        <w:spacing w:line="0" w:lineRule="atLeast"/>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p>
    <w:p w14:paraId="1555C2B4">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图2 恩平市</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年环境空气质量变化趋势图</w:t>
      </w:r>
    </w:p>
    <w:p w14:paraId="161B2E36">
      <w:pPr>
        <w:ind w:firstLine="640"/>
        <w:rPr>
          <w:rFonts w:hint="eastAsia" w:ascii="方正仿宋_GB2312" w:hAnsi="方正仿宋_GB2312" w:eastAsia="方正仿宋_GB2312" w:cs="方正仿宋_GB2312"/>
          <w:color w:val="000000" w:themeColor="text1"/>
          <w14:textFill>
            <w14:solidFill>
              <w14:schemeClr w14:val="tx1"/>
            </w14:solidFill>
          </w14:textFill>
        </w:rPr>
        <w:sectPr>
          <w:footerReference r:id="rId15"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2BC897A6">
      <w:pPr>
        <w:pStyle w:val="5"/>
        <w:numPr>
          <w:ilvl w:val="3"/>
          <w:numId w:val="0"/>
        </w:numPr>
        <w:ind w:left="0" w:leftChars="0" w:firstLine="640" w:firstLineChars="20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28"/>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水环境质量状况</w:t>
      </w:r>
    </w:p>
    <w:p w14:paraId="496E8077">
      <w:pPr>
        <w:ind w:left="320" w:leftChars="100" w:firstLine="320" w:firstLineChars="10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地表水环境质量常规监测断面包括</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个国考监测断面、</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个</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w:t>
      </w:r>
      <w:r>
        <w:rPr>
          <w:rFonts w:hint="eastAsia" w:ascii="方正仿宋_GB2312" w:hAnsi="方正仿宋_GB2312" w:eastAsia="方正仿宋_GB2312" w:cs="方正仿宋_GB2312"/>
          <w:color w:val="000000" w:themeColor="text1"/>
          <w14:textFill>
            <w14:solidFill>
              <w14:schemeClr w14:val="tx1"/>
            </w14:solidFill>
          </w14:textFill>
        </w:rPr>
        <w:t>考监测断面</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14:textFill>
            <w14:solidFill>
              <w14:schemeClr w14:val="tx1"/>
            </w14:solidFill>
          </w14:textFill>
        </w:rPr>
        <w:t>个市考监测断面。</w:t>
      </w:r>
    </w:p>
    <w:p w14:paraId="3873A3FD">
      <w:pPr>
        <w:ind w:left="320" w:leftChars="100" w:firstLine="320" w:firstLineChars="10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表3 恩平市</w:t>
      </w:r>
      <w:r>
        <w:rPr>
          <w:rFonts w:hint="eastAsia" w:ascii="方正仿宋_GB2312" w:hAnsi="方正仿宋_GB2312" w:eastAsia="方正仿宋_GB2312" w:cs="方正仿宋_GB2312"/>
          <w:color w:val="000000" w:themeColor="text1"/>
          <w14:textFill>
            <w14:solidFill>
              <w14:schemeClr w14:val="tx1"/>
            </w14:solidFill>
          </w14:textFill>
        </w:rPr>
        <w:t>地表水常规监测断面布设情况表</w:t>
      </w:r>
    </w:p>
    <w:tbl>
      <w:tblPr>
        <w:tblStyle w:val="52"/>
        <w:tblpPr w:leftFromText="180" w:rightFromText="180" w:vertAnchor="text" w:horzAnchor="page" w:tblpX="1721" w:tblpY="303"/>
        <w:tblOverlap w:val="never"/>
        <w:tblW w:w="4852"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576"/>
        <w:gridCol w:w="760"/>
        <w:gridCol w:w="732"/>
        <w:gridCol w:w="894"/>
        <w:gridCol w:w="720"/>
        <w:gridCol w:w="1021"/>
        <w:gridCol w:w="4090"/>
      </w:tblGrid>
      <w:tr w14:paraId="543A4EE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tblHeader/>
          <w:jc w:val="center"/>
        </w:trPr>
        <w:tc>
          <w:tcPr>
            <w:tcW w:w="327" w:type="pct"/>
            <w:tcBorders>
              <w:tl2br w:val="nil"/>
              <w:tr2bl w:val="nil"/>
            </w:tcBorders>
            <w:vAlign w:val="center"/>
          </w:tcPr>
          <w:p w14:paraId="78A42265">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序号</w:t>
            </w:r>
          </w:p>
        </w:tc>
        <w:tc>
          <w:tcPr>
            <w:tcW w:w="432" w:type="pct"/>
            <w:tcBorders>
              <w:tl2br w:val="nil"/>
              <w:tr2bl w:val="nil"/>
            </w:tcBorders>
            <w:vAlign w:val="center"/>
          </w:tcPr>
          <w:p w14:paraId="09205FC5">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断面名称</w:t>
            </w:r>
          </w:p>
        </w:tc>
        <w:tc>
          <w:tcPr>
            <w:tcW w:w="416" w:type="pct"/>
            <w:tcBorders>
              <w:tl2br w:val="nil"/>
              <w:tr2bl w:val="nil"/>
            </w:tcBorders>
            <w:vAlign w:val="center"/>
          </w:tcPr>
          <w:p w14:paraId="0D64435F">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考核类型</w:t>
            </w:r>
          </w:p>
        </w:tc>
        <w:tc>
          <w:tcPr>
            <w:tcW w:w="508" w:type="pct"/>
            <w:tcBorders>
              <w:tl2br w:val="nil"/>
              <w:tr2bl w:val="nil"/>
            </w:tcBorders>
            <w:vAlign w:val="center"/>
          </w:tcPr>
          <w:p w14:paraId="0916A1FC">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所属水系</w:t>
            </w:r>
          </w:p>
        </w:tc>
        <w:tc>
          <w:tcPr>
            <w:tcW w:w="409" w:type="pct"/>
            <w:tcBorders>
              <w:tl2br w:val="nil"/>
              <w:tr2bl w:val="nil"/>
            </w:tcBorders>
            <w:vAlign w:val="center"/>
          </w:tcPr>
          <w:p w14:paraId="428CB91E">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考核目标</w:t>
            </w:r>
          </w:p>
        </w:tc>
        <w:tc>
          <w:tcPr>
            <w:tcW w:w="580" w:type="pct"/>
            <w:tcBorders>
              <w:tl2br w:val="nil"/>
              <w:tr2bl w:val="nil"/>
            </w:tcBorders>
            <w:vAlign w:val="center"/>
          </w:tcPr>
          <w:p w14:paraId="7FC85522">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监测频率</w:t>
            </w:r>
          </w:p>
        </w:tc>
        <w:tc>
          <w:tcPr>
            <w:tcW w:w="2325" w:type="pct"/>
            <w:tcBorders>
              <w:tl2br w:val="nil"/>
              <w:tr2bl w:val="nil"/>
            </w:tcBorders>
            <w:vAlign w:val="center"/>
          </w:tcPr>
          <w:p w14:paraId="191996F9">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监测指标</w:t>
            </w:r>
          </w:p>
        </w:tc>
      </w:tr>
      <w:tr w14:paraId="25849F3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1E7BB2A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w:t>
            </w:r>
          </w:p>
        </w:tc>
        <w:tc>
          <w:tcPr>
            <w:tcW w:w="432" w:type="pct"/>
            <w:tcBorders>
              <w:tl2br w:val="nil"/>
              <w:tr2bl w:val="nil"/>
            </w:tcBorders>
            <w:vAlign w:val="center"/>
          </w:tcPr>
          <w:p w14:paraId="3189DEF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恩城水厂</w:t>
            </w:r>
          </w:p>
        </w:tc>
        <w:tc>
          <w:tcPr>
            <w:tcW w:w="416" w:type="pct"/>
            <w:tcBorders>
              <w:tl2br w:val="nil"/>
              <w:tr2bl w:val="nil"/>
            </w:tcBorders>
            <w:vAlign w:val="center"/>
          </w:tcPr>
          <w:p w14:paraId="34FD233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国考</w:t>
            </w:r>
          </w:p>
        </w:tc>
        <w:tc>
          <w:tcPr>
            <w:tcW w:w="508" w:type="pct"/>
            <w:tcBorders>
              <w:tl2br w:val="nil"/>
              <w:tr2bl w:val="nil"/>
            </w:tcBorders>
            <w:vAlign w:val="center"/>
          </w:tcPr>
          <w:p w14:paraId="305317D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73CF3AA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580" w:type="pct"/>
            <w:tcBorders>
              <w:tl2br w:val="nil"/>
              <w:tr2bl w:val="nil"/>
            </w:tcBorders>
            <w:vAlign w:val="center"/>
          </w:tcPr>
          <w:p w14:paraId="0A27687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restart"/>
            <w:tcBorders>
              <w:tl2br w:val="nil"/>
              <w:tr2bl w:val="nil"/>
            </w:tcBorders>
            <w:vAlign w:val="center"/>
          </w:tcPr>
          <w:p w14:paraId="0F15AAAB">
            <w:pPr>
              <w:pStyle w:val="53"/>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水温、pH、溶解氧、高锰酸盐指数、化学需氧量</w:t>
            </w:r>
            <w:r>
              <w:rPr>
                <w:rFonts w:hint="eastAsia" w:ascii="方正仿宋_GB2312" w:hAnsi="方正仿宋_GB2312" w:eastAsia="方正仿宋_GB2312" w:cs="方正仿宋_GB2312"/>
                <w:color w:val="000000" w:themeColor="text1"/>
                <w:lang w:eastAsia="zh-CN"/>
                <w14:textFill>
                  <w14:solidFill>
                    <w14:schemeClr w14:val="tx1"/>
                  </w14:solidFill>
                </w14:textFill>
              </w:rPr>
              <w:t>、生化需氧量、氨氮、总磷、总氮、铜、锌、氟化物、硒、砷、汞、镉、六价铬、铅、氰化物、挥发酚、石油类、阴离子表面活性剂、硫化物、粪大肠菌群</w:t>
            </w:r>
          </w:p>
        </w:tc>
      </w:tr>
      <w:tr w14:paraId="05A406D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7518E0B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w:t>
            </w:r>
          </w:p>
        </w:tc>
        <w:tc>
          <w:tcPr>
            <w:tcW w:w="432" w:type="pct"/>
            <w:tcBorders>
              <w:tl2br w:val="nil"/>
              <w:tr2bl w:val="nil"/>
            </w:tcBorders>
            <w:vAlign w:val="center"/>
          </w:tcPr>
          <w:p w14:paraId="020AE3C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义兴</w:t>
            </w:r>
          </w:p>
        </w:tc>
        <w:tc>
          <w:tcPr>
            <w:tcW w:w="416" w:type="pct"/>
            <w:tcBorders>
              <w:tl2br w:val="nil"/>
              <w:tr2bl w:val="nil"/>
            </w:tcBorders>
            <w:vAlign w:val="center"/>
          </w:tcPr>
          <w:p w14:paraId="414E4AE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省考</w:t>
            </w:r>
          </w:p>
        </w:tc>
        <w:tc>
          <w:tcPr>
            <w:tcW w:w="508" w:type="pct"/>
            <w:tcBorders>
              <w:tl2br w:val="nil"/>
              <w:tr2bl w:val="nil"/>
            </w:tcBorders>
            <w:vAlign w:val="center"/>
          </w:tcPr>
          <w:p w14:paraId="749953B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62E6B05B">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580" w:type="pct"/>
            <w:tcBorders>
              <w:tl2br w:val="nil"/>
              <w:tr2bl w:val="nil"/>
            </w:tcBorders>
            <w:vAlign w:val="center"/>
          </w:tcPr>
          <w:p w14:paraId="074710E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6ED91B58">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04416E2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4EF677F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p>
        </w:tc>
        <w:tc>
          <w:tcPr>
            <w:tcW w:w="432" w:type="pct"/>
            <w:tcBorders>
              <w:tl2br w:val="nil"/>
              <w:tr2bl w:val="nil"/>
            </w:tcBorders>
            <w:vAlign w:val="center"/>
          </w:tcPr>
          <w:p w14:paraId="7711990A">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锦江水库</w:t>
            </w:r>
          </w:p>
        </w:tc>
        <w:tc>
          <w:tcPr>
            <w:tcW w:w="416" w:type="pct"/>
            <w:tcBorders>
              <w:tl2br w:val="nil"/>
              <w:tr2bl w:val="nil"/>
            </w:tcBorders>
            <w:vAlign w:val="center"/>
          </w:tcPr>
          <w:p w14:paraId="7B5D77A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省考</w:t>
            </w:r>
          </w:p>
        </w:tc>
        <w:tc>
          <w:tcPr>
            <w:tcW w:w="508" w:type="pct"/>
            <w:tcBorders>
              <w:tl2br w:val="nil"/>
              <w:tr2bl w:val="nil"/>
            </w:tcBorders>
            <w:vAlign w:val="center"/>
          </w:tcPr>
          <w:p w14:paraId="44AD103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3E785DD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580" w:type="pct"/>
            <w:tcBorders>
              <w:tl2br w:val="nil"/>
              <w:tr2bl w:val="nil"/>
            </w:tcBorders>
            <w:vAlign w:val="center"/>
          </w:tcPr>
          <w:p w14:paraId="4360ADE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354F8044">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5F49310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46555C9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p>
        </w:tc>
        <w:tc>
          <w:tcPr>
            <w:tcW w:w="432" w:type="pct"/>
            <w:tcBorders>
              <w:tl2br w:val="nil"/>
              <w:tr2bl w:val="nil"/>
            </w:tcBorders>
            <w:vAlign w:val="center"/>
          </w:tcPr>
          <w:p w14:paraId="40897ED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莲塘水</w:t>
            </w:r>
          </w:p>
        </w:tc>
        <w:tc>
          <w:tcPr>
            <w:tcW w:w="416" w:type="pct"/>
            <w:tcBorders>
              <w:tl2br w:val="nil"/>
              <w:tr2bl w:val="nil"/>
            </w:tcBorders>
            <w:vAlign w:val="center"/>
          </w:tcPr>
          <w:p w14:paraId="36EECA3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08" w:type="pct"/>
            <w:tcBorders>
              <w:tl2br w:val="nil"/>
              <w:tr2bl w:val="nil"/>
            </w:tcBorders>
            <w:vAlign w:val="center"/>
          </w:tcPr>
          <w:p w14:paraId="1110461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451F07C9">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580" w:type="pct"/>
            <w:tcBorders>
              <w:tl2br w:val="nil"/>
              <w:tr2bl w:val="nil"/>
            </w:tcBorders>
            <w:vAlign w:val="center"/>
          </w:tcPr>
          <w:p w14:paraId="1FD0056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restart"/>
            <w:tcBorders>
              <w:tl2br w:val="nil"/>
              <w:tr2bl w:val="nil"/>
            </w:tcBorders>
            <w:vAlign w:val="center"/>
          </w:tcPr>
          <w:p w14:paraId="2A8DB835">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1"/>
                <w:lang w:val="en-US" w:eastAsia="zh-CN" w:bidi="ar-SA"/>
                <w14:textFill>
                  <w14:solidFill>
                    <w14:schemeClr w14:val="tx1"/>
                  </w14:solidFill>
                </w14:textFill>
              </w:rPr>
              <w:t xml:space="preserve">溶解氧、高锰酸盐指数、化学需氧量、氨氮、总磷 </w:t>
            </w:r>
          </w:p>
        </w:tc>
      </w:tr>
      <w:tr w14:paraId="396EA19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69BD6C6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p>
        </w:tc>
        <w:tc>
          <w:tcPr>
            <w:tcW w:w="432" w:type="pct"/>
            <w:tcBorders>
              <w:tl2br w:val="nil"/>
              <w:tr2bl w:val="nil"/>
            </w:tcBorders>
            <w:vAlign w:val="center"/>
          </w:tcPr>
          <w:p w14:paraId="7F51C462">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朗底水</w:t>
            </w:r>
          </w:p>
        </w:tc>
        <w:tc>
          <w:tcPr>
            <w:tcW w:w="416" w:type="pct"/>
            <w:tcBorders>
              <w:tl2br w:val="nil"/>
              <w:tr2bl w:val="nil"/>
            </w:tcBorders>
            <w:vAlign w:val="center"/>
          </w:tcPr>
          <w:p w14:paraId="7DCC23B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08" w:type="pct"/>
            <w:tcBorders>
              <w:tl2br w:val="nil"/>
              <w:tr2bl w:val="nil"/>
            </w:tcBorders>
            <w:vAlign w:val="center"/>
          </w:tcPr>
          <w:p w14:paraId="1430BFA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25BD0DF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580" w:type="pct"/>
            <w:tcBorders>
              <w:tl2br w:val="nil"/>
              <w:tr2bl w:val="nil"/>
            </w:tcBorders>
            <w:vAlign w:val="center"/>
          </w:tcPr>
          <w:p w14:paraId="4FF6B4A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53CB577A">
            <w:pPr>
              <w:keepNext w:val="0"/>
              <w:keepLines w:val="0"/>
              <w:widowControl/>
              <w:suppressLineNumbers w:val="0"/>
              <w:ind w:left="0" w:leftChars="0" w:firstLine="0" w:firstLineChars="0"/>
              <w:jc w:val="left"/>
              <w:rPr>
                <w:rFonts w:hint="eastAsia" w:ascii="方正仿宋_GB2312" w:hAnsi="方正仿宋_GB2312" w:eastAsia="方正仿宋_GB2312" w:cs="方正仿宋_GB2312"/>
                <w:color w:val="000000" w:themeColor="text1"/>
                <w:kern w:val="2"/>
                <w:sz w:val="24"/>
                <w:szCs w:val="21"/>
                <w:lang w:val="en-US" w:eastAsia="zh-CN" w:bidi="ar-SA"/>
                <w14:textFill>
                  <w14:solidFill>
                    <w14:schemeClr w14:val="tx1"/>
                  </w14:solidFill>
                </w14:textFill>
              </w:rPr>
            </w:pPr>
          </w:p>
        </w:tc>
      </w:tr>
      <w:tr w14:paraId="3B4BC71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6EBE442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p>
        </w:tc>
        <w:tc>
          <w:tcPr>
            <w:tcW w:w="432" w:type="pct"/>
            <w:tcBorders>
              <w:tl2br w:val="nil"/>
              <w:tr2bl w:val="nil"/>
            </w:tcBorders>
            <w:vAlign w:val="center"/>
          </w:tcPr>
          <w:p w14:paraId="06EA06B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公仔河</w:t>
            </w:r>
          </w:p>
        </w:tc>
        <w:tc>
          <w:tcPr>
            <w:tcW w:w="416" w:type="pct"/>
            <w:tcBorders>
              <w:tl2br w:val="nil"/>
              <w:tr2bl w:val="nil"/>
            </w:tcBorders>
            <w:vAlign w:val="center"/>
          </w:tcPr>
          <w:p w14:paraId="17BDC3C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08" w:type="pct"/>
            <w:tcBorders>
              <w:tl2br w:val="nil"/>
              <w:tr2bl w:val="nil"/>
            </w:tcBorders>
            <w:vAlign w:val="center"/>
          </w:tcPr>
          <w:p w14:paraId="444C182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1EA70B5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580" w:type="pct"/>
            <w:tcBorders>
              <w:tl2br w:val="nil"/>
              <w:tr2bl w:val="nil"/>
            </w:tcBorders>
            <w:vAlign w:val="center"/>
          </w:tcPr>
          <w:p w14:paraId="13EAD10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5468A139">
            <w:pPr>
              <w:ind w:firstLine="480" w:firstLineChars="200"/>
              <w:rPr>
                <w:rFonts w:hint="eastAsia" w:ascii="方正仿宋_GB2312" w:hAnsi="方正仿宋_GB2312" w:eastAsia="方正仿宋_GB2312" w:cs="方正仿宋_GB2312"/>
                <w:color w:val="000000" w:themeColor="text1"/>
                <w:kern w:val="2"/>
                <w:sz w:val="24"/>
                <w:szCs w:val="21"/>
                <w:lang w:val="en-US" w:eastAsia="zh-CN" w:bidi="ar-SA"/>
                <w14:textFill>
                  <w14:solidFill>
                    <w14:schemeClr w14:val="tx1"/>
                  </w14:solidFill>
                </w14:textFill>
              </w:rPr>
            </w:pPr>
          </w:p>
        </w:tc>
      </w:tr>
      <w:tr w14:paraId="1CC22B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5168A3B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w:t>
            </w:r>
          </w:p>
        </w:tc>
        <w:tc>
          <w:tcPr>
            <w:tcW w:w="432" w:type="pct"/>
            <w:tcBorders>
              <w:tl2br w:val="nil"/>
              <w:tr2bl w:val="nil"/>
            </w:tcBorders>
            <w:vAlign w:val="center"/>
          </w:tcPr>
          <w:p w14:paraId="09CAF407">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良西河</w:t>
            </w:r>
          </w:p>
        </w:tc>
        <w:tc>
          <w:tcPr>
            <w:tcW w:w="416" w:type="pct"/>
            <w:tcBorders>
              <w:tl2br w:val="nil"/>
              <w:tr2bl w:val="nil"/>
            </w:tcBorders>
            <w:vAlign w:val="center"/>
          </w:tcPr>
          <w:p w14:paraId="583D6DEE">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08" w:type="pct"/>
            <w:tcBorders>
              <w:tl2br w:val="nil"/>
              <w:tr2bl w:val="nil"/>
            </w:tcBorders>
            <w:vAlign w:val="center"/>
          </w:tcPr>
          <w:p w14:paraId="5FC9A8CA">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4229E989">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580" w:type="pct"/>
            <w:tcBorders>
              <w:tl2br w:val="nil"/>
              <w:tr2bl w:val="nil"/>
            </w:tcBorders>
            <w:vAlign w:val="center"/>
          </w:tcPr>
          <w:p w14:paraId="685816D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29B41501">
            <w:pPr>
              <w:ind w:firstLine="480" w:firstLineChars="200"/>
              <w:rPr>
                <w:rFonts w:hint="eastAsia" w:ascii="方正仿宋_GB2312" w:hAnsi="方正仿宋_GB2312" w:eastAsia="方正仿宋_GB2312" w:cs="方正仿宋_GB2312"/>
                <w:color w:val="000000" w:themeColor="text1"/>
                <w:kern w:val="2"/>
                <w:sz w:val="24"/>
                <w:szCs w:val="21"/>
                <w:lang w:val="en-US" w:eastAsia="zh-CN" w:bidi="ar-SA"/>
                <w14:textFill>
                  <w14:solidFill>
                    <w14:schemeClr w14:val="tx1"/>
                  </w14:solidFill>
                </w14:textFill>
              </w:rPr>
            </w:pPr>
          </w:p>
        </w:tc>
      </w:tr>
      <w:tr w14:paraId="01AD546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40" w:hRule="atLeast"/>
          <w:jc w:val="center"/>
        </w:trPr>
        <w:tc>
          <w:tcPr>
            <w:tcW w:w="327" w:type="pct"/>
            <w:tcBorders>
              <w:tl2br w:val="nil"/>
              <w:tr2bl w:val="nil"/>
            </w:tcBorders>
            <w:vAlign w:val="center"/>
          </w:tcPr>
          <w:p w14:paraId="0FABE3F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432" w:type="pct"/>
            <w:tcBorders>
              <w:tl2br w:val="nil"/>
              <w:tr2bl w:val="nil"/>
            </w:tcBorders>
            <w:vAlign w:val="center"/>
          </w:tcPr>
          <w:p w14:paraId="2FA9079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琅哥河</w:t>
            </w:r>
          </w:p>
        </w:tc>
        <w:tc>
          <w:tcPr>
            <w:tcW w:w="416" w:type="pct"/>
            <w:tcBorders>
              <w:tl2br w:val="nil"/>
              <w:tr2bl w:val="nil"/>
            </w:tcBorders>
            <w:vAlign w:val="center"/>
          </w:tcPr>
          <w:p w14:paraId="00FE52D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08" w:type="pct"/>
            <w:tcBorders>
              <w:tl2br w:val="nil"/>
              <w:tr2bl w:val="nil"/>
            </w:tcBorders>
            <w:vAlign w:val="center"/>
          </w:tcPr>
          <w:p w14:paraId="2B78CEC3">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409" w:type="pct"/>
            <w:tcBorders>
              <w:tl2br w:val="nil"/>
              <w:tr2bl w:val="nil"/>
            </w:tcBorders>
            <w:vAlign w:val="center"/>
          </w:tcPr>
          <w:p w14:paraId="379F22C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580" w:type="pct"/>
            <w:tcBorders>
              <w:tl2br w:val="nil"/>
              <w:tr2bl w:val="nil"/>
            </w:tcBorders>
            <w:vAlign w:val="center"/>
          </w:tcPr>
          <w:p w14:paraId="43E2EDCB">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1次/月</w:t>
            </w:r>
          </w:p>
        </w:tc>
        <w:tc>
          <w:tcPr>
            <w:tcW w:w="2325" w:type="pct"/>
            <w:vMerge w:val="continue"/>
            <w:tcBorders>
              <w:tl2br w:val="nil"/>
              <w:tr2bl w:val="nil"/>
            </w:tcBorders>
            <w:vAlign w:val="center"/>
          </w:tcPr>
          <w:p w14:paraId="17DB85D6">
            <w:pPr>
              <w:ind w:firstLine="480" w:firstLineChars="200"/>
              <w:rPr>
                <w:rFonts w:hint="eastAsia" w:ascii="方正仿宋_GB2312" w:hAnsi="方正仿宋_GB2312" w:eastAsia="方正仿宋_GB2312" w:cs="方正仿宋_GB2312"/>
                <w:color w:val="000000" w:themeColor="text1"/>
                <w:kern w:val="2"/>
                <w:sz w:val="24"/>
                <w:szCs w:val="21"/>
                <w:lang w:val="en-US" w:eastAsia="zh-CN" w:bidi="ar-SA"/>
                <w14:textFill>
                  <w14:solidFill>
                    <w14:schemeClr w14:val="tx1"/>
                  </w14:solidFill>
                </w14:textFill>
              </w:rPr>
            </w:pPr>
          </w:p>
        </w:tc>
      </w:tr>
    </w:tbl>
    <w:p w14:paraId="6458DF79">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sectPr>
          <w:footerReference r:id="rId16" w:type="default"/>
          <w:footerReference r:id="rId17"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7B2BCE68">
      <w:pPr>
        <w:widowControl/>
        <w:autoSpaceDE w:val="0"/>
        <w:autoSpaceDN w:val="0"/>
        <w:spacing w:before="772" w:after="68" w:line="332" w:lineRule="exact"/>
        <w:ind w:left="0" w:leftChars="0" w:right="0" w:firstLine="0" w:firstLineChars="0"/>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000000" w:themeColor="text1"/>
          <w:kern w:val="2"/>
          <w:sz w:val="32"/>
          <w:szCs w:val="21"/>
          <w:lang w:val="en-US" w:eastAsia="zh-CN" w:bidi="ar-SA"/>
          <w14:textFill>
            <w14:solidFill>
              <w14:schemeClr w14:val="tx1"/>
            </w14:solidFill>
          </w14:textFill>
        </w:rPr>
        <w:t>表4    2024年地表水环境功能区划水质监测汇总</w:t>
      </w:r>
    </w:p>
    <w:tbl>
      <w:tblPr>
        <w:tblStyle w:val="21"/>
        <w:tblpPr w:leftFromText="180" w:rightFromText="180" w:vertAnchor="text" w:horzAnchor="page" w:tblpXSpec="center" w:tblpY="383"/>
        <w:tblOverlap w:val="never"/>
        <w:tblW w:w="13380" w:type="dxa"/>
        <w:jc w:val="center"/>
        <w:tblLayout w:type="fixed"/>
        <w:tblCellMar>
          <w:top w:w="0" w:type="dxa"/>
          <w:left w:w="108" w:type="dxa"/>
          <w:bottom w:w="0" w:type="dxa"/>
          <w:right w:w="108" w:type="dxa"/>
        </w:tblCellMar>
      </w:tblPr>
      <w:tblGrid>
        <w:gridCol w:w="734"/>
        <w:gridCol w:w="2162"/>
        <w:gridCol w:w="820"/>
        <w:gridCol w:w="742"/>
        <w:gridCol w:w="740"/>
        <w:gridCol w:w="742"/>
        <w:gridCol w:w="744"/>
        <w:gridCol w:w="742"/>
        <w:gridCol w:w="742"/>
        <w:gridCol w:w="742"/>
        <w:gridCol w:w="740"/>
        <w:gridCol w:w="742"/>
        <w:gridCol w:w="746"/>
        <w:gridCol w:w="742"/>
        <w:gridCol w:w="740"/>
        <w:gridCol w:w="760"/>
      </w:tblGrid>
      <w:tr w14:paraId="4389F7E5">
        <w:tblPrEx>
          <w:tblCellMar>
            <w:top w:w="0" w:type="dxa"/>
            <w:left w:w="108" w:type="dxa"/>
            <w:bottom w:w="0" w:type="dxa"/>
            <w:right w:w="108" w:type="dxa"/>
          </w:tblCellMar>
        </w:tblPrEx>
        <w:trPr>
          <w:trHeight w:val="408" w:hRule="exact"/>
          <w:jc w:val="center"/>
        </w:trPr>
        <w:tc>
          <w:tcPr>
            <w:tcW w:w="73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4931C3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序号</w:t>
            </w:r>
          </w:p>
        </w:tc>
        <w:tc>
          <w:tcPr>
            <w:tcW w:w="216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481785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监测</w:t>
            </w:r>
          </w:p>
          <w:p w14:paraId="1872901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名称</w:t>
            </w:r>
          </w:p>
        </w:tc>
        <w:tc>
          <w:tcPr>
            <w:tcW w:w="820"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B6267A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目标</w:t>
            </w:r>
          </w:p>
          <w:p w14:paraId="6EF5FA1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水质</w:t>
            </w:r>
          </w:p>
        </w:tc>
        <w:tc>
          <w:tcPr>
            <w:tcW w:w="9664" w:type="dxa"/>
            <w:gridSpan w:val="13"/>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5D9D53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水质情况（水质类别）</w:t>
            </w:r>
          </w:p>
        </w:tc>
      </w:tr>
      <w:tr w14:paraId="62D132E1">
        <w:tblPrEx>
          <w:tblCellMar>
            <w:top w:w="0" w:type="dxa"/>
            <w:left w:w="108" w:type="dxa"/>
            <w:bottom w:w="0" w:type="dxa"/>
            <w:right w:w="108" w:type="dxa"/>
          </w:tblCellMar>
        </w:tblPrEx>
        <w:trPr>
          <w:trHeight w:val="867" w:hRule="exact"/>
          <w:jc w:val="center"/>
        </w:trPr>
        <w:tc>
          <w:tcPr>
            <w:tcW w:w="734" w:type="dxa"/>
            <w:vMerge w:val="continue"/>
            <w:tcBorders>
              <w:top w:val="single" w:color="000000" w:sz="4" w:space="0"/>
              <w:left w:val="single" w:color="000000" w:sz="4" w:space="0"/>
              <w:bottom w:val="single" w:color="000000" w:sz="4" w:space="0"/>
              <w:right w:val="single" w:color="000000" w:sz="4" w:space="0"/>
            </w:tcBorders>
            <w:vAlign w:val="center"/>
          </w:tcPr>
          <w:p w14:paraId="432F65E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p>
        </w:tc>
        <w:tc>
          <w:tcPr>
            <w:tcW w:w="2162" w:type="dxa"/>
            <w:vMerge w:val="continue"/>
            <w:tcBorders>
              <w:top w:val="single" w:color="000000" w:sz="4" w:space="0"/>
              <w:left w:val="single" w:color="000000" w:sz="4" w:space="0"/>
              <w:bottom w:val="single" w:color="000000" w:sz="4" w:space="0"/>
              <w:right w:val="single" w:color="000000" w:sz="4" w:space="0"/>
            </w:tcBorders>
            <w:vAlign w:val="center"/>
          </w:tcPr>
          <w:p w14:paraId="1D92FC1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p>
        </w:tc>
        <w:tc>
          <w:tcPr>
            <w:tcW w:w="820" w:type="dxa"/>
            <w:vMerge w:val="continue"/>
            <w:tcBorders>
              <w:top w:val="single" w:color="000000" w:sz="4" w:space="0"/>
              <w:left w:val="single" w:color="000000" w:sz="4" w:space="0"/>
              <w:bottom w:val="single" w:color="000000" w:sz="4" w:space="0"/>
              <w:right w:val="single" w:color="000000" w:sz="4" w:space="0"/>
            </w:tcBorders>
            <w:vAlign w:val="center"/>
          </w:tcPr>
          <w:p w14:paraId="63B273D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389D55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1月</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6040A6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2月</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4DB7F63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3月</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4792FA9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4月</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711FEC6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5月</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0C05D3E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6月</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663A298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7月</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A510CA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8月</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45ED87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9月</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AC7DAD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10月</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A5DF491">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11月</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093DB21">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12月</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804681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平均</w:t>
            </w:r>
          </w:p>
          <w:p w14:paraId="760B149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水质</w:t>
            </w:r>
          </w:p>
        </w:tc>
      </w:tr>
      <w:tr w14:paraId="11F4D405">
        <w:tblPrEx>
          <w:tblCellMar>
            <w:top w:w="0" w:type="dxa"/>
            <w:left w:w="108" w:type="dxa"/>
            <w:bottom w:w="0" w:type="dxa"/>
            <w:right w:w="108" w:type="dxa"/>
          </w:tblCellMar>
        </w:tblPrEx>
        <w:trPr>
          <w:trHeight w:val="406"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03372B1">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w:t>
            </w:r>
          </w:p>
        </w:tc>
        <w:tc>
          <w:tcPr>
            <w:tcW w:w="216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382FF2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恩城水厂（国考）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392E2C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4ACFA6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74DFFE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2952578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0268A48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480C89A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100A40C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66C08D61">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7398D4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CDE6CB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067068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19FEC4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1CD084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FAEAAC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r>
      <w:tr w14:paraId="130ADD80">
        <w:tblPrEx>
          <w:tblCellMar>
            <w:top w:w="0" w:type="dxa"/>
            <w:left w:w="108" w:type="dxa"/>
            <w:bottom w:w="0" w:type="dxa"/>
            <w:right w:w="108" w:type="dxa"/>
          </w:tblCellMar>
        </w:tblPrEx>
        <w:trPr>
          <w:trHeight w:val="554"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8D3F93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w:t>
            </w:r>
          </w:p>
        </w:tc>
        <w:tc>
          <w:tcPr>
            <w:tcW w:w="216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9FDED3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义兴（省考）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7731C2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BED365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FEEDCA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7B80CDE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5C72406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2350F18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25B8477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3AE8364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B61183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181E1C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BAFE8A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47B682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CABD6E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DD8B68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r>
      <w:tr w14:paraId="6554AE42">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9BD2CD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p>
        </w:tc>
        <w:tc>
          <w:tcPr>
            <w:tcW w:w="216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6DE5DC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锦江水库（省考）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305B42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EE7233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375BC6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662E943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2C02551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Ⅰ</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2579EF0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005CB87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540B50D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C17BA9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Ⅰ</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9205F4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019B7B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1E04B2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6BF99C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7780B8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r>
      <w:tr w14:paraId="17BB8A68">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8090EE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left w:w="0" w:type="dxa"/>
              <w:right w:w="0" w:type="dxa"/>
            </w:tcMar>
            <w:vAlign w:val="center"/>
          </w:tcPr>
          <w:p w14:paraId="0ED730F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莲塘水（市考）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FE9E6A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840CC9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Ⅴ</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81A326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1F3E83C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679C820C">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6148609B">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4560CF4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2C2A4E3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A71E37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801F41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52B74F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ED5ED7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500CF8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28810E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r>
      <w:tr w14:paraId="2DC0CD49">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6F5F94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left w:w="0" w:type="dxa"/>
              <w:right w:w="0" w:type="dxa"/>
            </w:tcMar>
            <w:vAlign w:val="center"/>
          </w:tcPr>
          <w:p w14:paraId="21FB410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朗底水（市考）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CA44BC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B6BDB8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F1973C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37BB831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626F3691">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Ⅲ</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603D8B5E">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Ⅲ</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29846D7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3F8B305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16A9D2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E7063F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D00EC0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E3A9D3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7EF845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76F599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Ⅲ</w:t>
            </w:r>
          </w:p>
        </w:tc>
      </w:tr>
      <w:tr w14:paraId="051217B8">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F1079F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left w:w="0" w:type="dxa"/>
              <w:right w:w="0" w:type="dxa"/>
            </w:tcMar>
            <w:vAlign w:val="center"/>
          </w:tcPr>
          <w:p w14:paraId="50E1FB9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公仔河（市考）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002DF1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969B5F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23E457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0CC584F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1289870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4A6618D2">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1F2B19A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769587F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6D0895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03124D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330AB1A">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E34DD6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2209545">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BED505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r>
      <w:tr w14:paraId="1E5B9D3E">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8C1ADB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left w:w="0" w:type="dxa"/>
              <w:right w:w="0" w:type="dxa"/>
            </w:tcMar>
            <w:vAlign w:val="center"/>
          </w:tcPr>
          <w:p w14:paraId="0A36BA7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良西河（市考）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7FE86A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375F509">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299AA83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26135DB4">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5F3DEBC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08D15E57">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Ⅴ</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6BB0F7F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34F2A69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8ED927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C6F7FEB">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573AEFCE">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0D3FEDA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3A8203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E42296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r>
      <w:tr w14:paraId="0DE6E4A6">
        <w:tblPrEx>
          <w:tblCellMar>
            <w:top w:w="0" w:type="dxa"/>
            <w:left w:w="108" w:type="dxa"/>
            <w:bottom w:w="0" w:type="dxa"/>
            <w:right w:w="108" w:type="dxa"/>
          </w:tblCellMar>
        </w:tblPrEx>
        <w:trPr>
          <w:trHeight w:val="558" w:hRule="exact"/>
          <w:jc w:val="center"/>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A066F9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left w:w="0" w:type="dxa"/>
              <w:right w:w="0" w:type="dxa"/>
            </w:tcMar>
            <w:vAlign w:val="center"/>
          </w:tcPr>
          <w:p w14:paraId="408AF880">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琅哥河（市考）</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70DC3E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C5B503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41028F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131CBC47">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4"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16A0CC6D">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2" w:type="dxa"/>
            <w:tcBorders>
              <w:top w:val="single" w:color="000000" w:sz="4" w:space="0"/>
              <w:left w:val="single" w:color="000000" w:sz="4" w:space="0"/>
              <w:bottom w:val="single" w:color="000000" w:sz="4" w:space="0"/>
              <w:right w:val="single" w:color="000000" w:sz="2" w:space="0"/>
            </w:tcBorders>
            <w:tcMar>
              <w:left w:w="0" w:type="dxa"/>
              <w:right w:w="0" w:type="dxa"/>
            </w:tcMar>
            <w:vAlign w:val="center"/>
          </w:tcPr>
          <w:p w14:paraId="575F756A">
            <w:pPr>
              <w:pStyle w:val="53"/>
              <w:ind w:firstLine="0" w:firstLineChars="0"/>
              <w:jc w:val="center"/>
              <w:rPr>
                <w:rFonts w:hint="eastAsia" w:ascii="方正仿宋_GB2312" w:hAnsi="方正仿宋_GB2312" w:eastAsia="方正仿宋_GB2312" w:cs="方正仿宋_GB2312"/>
                <w:color w:val="FF0000"/>
                <w:lang w:val="en-US" w:eastAsia="zh-CN"/>
              </w:rPr>
            </w:pPr>
            <w:r>
              <w:rPr>
                <w:rFonts w:hint="eastAsia" w:ascii="方正仿宋_GB2312" w:hAnsi="方正仿宋_GB2312" w:eastAsia="方正仿宋_GB2312" w:cs="方正仿宋_GB2312"/>
                <w:color w:val="FF0000"/>
                <w:lang w:val="en-US" w:eastAsia="zh-CN"/>
              </w:rPr>
              <w:t>Ⅴ</w:t>
            </w:r>
          </w:p>
        </w:tc>
        <w:tc>
          <w:tcPr>
            <w:tcW w:w="742" w:type="dxa"/>
            <w:tcBorders>
              <w:top w:val="single" w:color="000000" w:sz="4" w:space="0"/>
              <w:left w:val="single" w:color="000000" w:sz="2" w:space="0"/>
              <w:bottom w:val="single" w:color="000000" w:sz="4" w:space="0"/>
              <w:right w:val="single" w:color="000000" w:sz="2" w:space="0"/>
            </w:tcBorders>
            <w:tcMar>
              <w:left w:w="0" w:type="dxa"/>
              <w:right w:w="0" w:type="dxa"/>
            </w:tcMar>
            <w:vAlign w:val="center"/>
          </w:tcPr>
          <w:p w14:paraId="070DF1DC">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2" w:space="0"/>
              <w:bottom w:val="single" w:color="000000" w:sz="4" w:space="0"/>
              <w:right w:val="single" w:color="000000" w:sz="4" w:space="0"/>
            </w:tcBorders>
            <w:tcMar>
              <w:left w:w="0" w:type="dxa"/>
              <w:right w:w="0" w:type="dxa"/>
            </w:tcMar>
            <w:vAlign w:val="center"/>
          </w:tcPr>
          <w:p w14:paraId="7F27EA3F">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301767B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E21F11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FF0000"/>
                <w:lang w:val="en-US" w:eastAsia="zh-CN"/>
              </w:rPr>
              <w:t>Ⅳ</w:t>
            </w:r>
          </w:p>
        </w:tc>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D4A6B02">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7734D0A8">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w:t>
            </w:r>
          </w:p>
        </w:tc>
        <w:tc>
          <w:tcPr>
            <w:tcW w:w="74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136369B6">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46DB4E73">
            <w:pPr>
              <w:pStyle w:val="53"/>
              <w:ind w:firstLine="0" w:firstLineChars="0"/>
              <w:jc w:val="center"/>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w:t>
            </w:r>
          </w:p>
        </w:tc>
      </w:tr>
    </w:tbl>
    <w:p w14:paraId="54B1A0A8">
      <w:pPr>
        <w:ind w:left="0" w:leftChars="0" w:firstLine="0" w:firstLineChars="0"/>
        <w:rPr>
          <w:rFonts w:hint="eastAsia" w:ascii="方正仿宋_GB2312" w:hAnsi="方正仿宋_GB2312" w:eastAsia="方正仿宋_GB2312" w:cs="方正仿宋_GB2312"/>
        </w:rPr>
        <w:sectPr>
          <w:pgSz w:w="16838" w:h="11906" w:orient="landscape"/>
          <w:pgMar w:top="1588" w:right="2098" w:bottom="1474" w:left="1701"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25C8D7AF">
      <w:pPr>
        <w:ind w:left="0" w:leftChars="0" w:firstLine="640" w:firstLineChars="200"/>
        <w:rPr>
          <w:rFonts w:hint="eastAsia" w:ascii="方正仿宋_GB2312" w:hAnsi="方正仿宋_GB2312" w:eastAsia="方正仿宋_GB2312" w:cs="方正仿宋_GB2312"/>
          <w:color w:val="000000" w:themeColor="text1"/>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eastAsia="zh-CN"/>
          <w14:textFill>
            <w14:solidFill>
              <w14:schemeClr w14:val="tx1"/>
            </w14:solidFill>
          </w14:textFill>
        </w:rPr>
        <w:t>江门市</w:t>
      </w:r>
      <w:r>
        <w:rPr>
          <w:rFonts w:hint="eastAsia" w:ascii="方正仿宋_GB2312" w:hAnsi="方正仿宋_GB2312" w:eastAsia="方正仿宋_GB2312" w:cs="方正仿宋_GB2312"/>
          <w:color w:val="000000" w:themeColor="text1"/>
          <w14:textFill>
            <w14:solidFill>
              <w14:schemeClr w14:val="tx1"/>
            </w14:solidFill>
          </w14:textFill>
        </w:rPr>
        <w:t>生态环境局</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w:t>
      </w:r>
      <w:r>
        <w:rPr>
          <w:rFonts w:hint="eastAsia" w:ascii="方正仿宋_GB2312" w:hAnsi="方正仿宋_GB2312" w:eastAsia="方正仿宋_GB2312" w:cs="方正仿宋_GB2312"/>
          <w:color w:val="000000" w:themeColor="text1"/>
          <w14:textFill>
            <w14:solidFill>
              <w14:schemeClr w14:val="tx1"/>
            </w14:solidFill>
          </w14:textFill>
        </w:rPr>
        <w:t>分局提供的资料，</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2024年恩平市</w:t>
      </w:r>
      <w:r>
        <w:rPr>
          <w:rFonts w:hint="eastAsia" w:ascii="方正仿宋_GB2312" w:hAnsi="方正仿宋_GB2312" w:eastAsia="方正仿宋_GB2312" w:cs="方正仿宋_GB2312"/>
          <w:color w:val="000000" w:themeColor="text1"/>
          <w14:textFill>
            <w14:solidFill>
              <w14:schemeClr w14:val="tx1"/>
            </w14:solidFill>
          </w14:textFill>
        </w:rPr>
        <w:t>国考</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恩城水厂</w:t>
      </w:r>
      <w:r>
        <w:rPr>
          <w:rFonts w:hint="eastAsia" w:ascii="方正仿宋_GB2312" w:hAnsi="方正仿宋_GB2312" w:eastAsia="方正仿宋_GB2312" w:cs="方正仿宋_GB2312"/>
          <w:color w:val="000000" w:themeColor="text1"/>
          <w14:textFill>
            <w14:solidFill>
              <w14:schemeClr w14:val="tx1"/>
            </w14:solidFill>
          </w14:textFill>
        </w:rPr>
        <w:t>断面水质年均值Ⅱ类，达到目标水质Ⅱ类要求；省考</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义兴</w:t>
      </w:r>
      <w:r>
        <w:rPr>
          <w:rFonts w:hint="eastAsia" w:ascii="方正仿宋_GB2312" w:hAnsi="方正仿宋_GB2312" w:eastAsia="方正仿宋_GB2312" w:cs="方正仿宋_GB2312"/>
          <w:color w:val="000000" w:themeColor="text1"/>
          <w14:textFill>
            <w14:solidFill>
              <w14:schemeClr w14:val="tx1"/>
            </w14:solidFill>
          </w14:textFill>
        </w:rPr>
        <w:t>断面水质年均值Ⅲ类，达到目标水质Ⅲ类要求</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省考锦江水库水质年均值Ⅱ类，达到目标水质Ⅱ类要求</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市考莲塘水、公仔河、良西河、琅哥河水质年均值Ⅲ类，达到目标水质Ⅲ类要求，朗底水水质年均值Ⅲ类，未达到目标水质Ⅱ类要求</w:t>
      </w:r>
      <w:r>
        <w:rPr>
          <w:rFonts w:hint="eastAsia" w:ascii="方正仿宋_GB2312" w:hAnsi="方正仿宋_GB2312" w:eastAsia="方正仿宋_GB2312" w:cs="方正仿宋_GB2312"/>
          <w:color w:val="000000" w:themeColor="text1"/>
          <w14:textFill>
            <w14:solidFill>
              <w14:schemeClr w14:val="tx1"/>
            </w14:solidFill>
          </w14:textFill>
        </w:rPr>
        <w:t>。</w:t>
      </w:r>
    </w:p>
    <w:p w14:paraId="25071E88">
      <w:pPr>
        <w:pStyle w:val="5"/>
        <w:numPr>
          <w:ilvl w:val="3"/>
          <w:numId w:val="0"/>
        </w:numPr>
        <w:ind w:left="0" w:leftChars="0" w:firstLine="640" w:firstLineChars="20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28"/>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土壤环境质量状况</w:t>
      </w:r>
    </w:p>
    <w:p w14:paraId="1D2B059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严格落实《关于进一步加强建设用地土壤环境联动监管的通知》（粤环发〔2021〕2号）有关要求，结合重点行业企业用地土壤污染状况调查有关结果，更新土壤污染状况调查名录，按程序推进土壤风险管控和修复活动。加强疑似污染地块、污染地块空间信息与国土空间规划基础数据的匹配，加强地块管理系统中地块的建设用地规划许可证、建设工程规划许可证发放的监督管理。</w:t>
      </w:r>
    </w:p>
    <w:p w14:paraId="16828F48">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重点环境问题</w:t>
      </w:r>
    </w:p>
    <w:p w14:paraId="29BF88B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（1）空气环境问题</w:t>
      </w:r>
    </w:p>
    <w:p w14:paraId="33EB7F03">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环境空气质量总体良好，且畜禽养殖地区主要集中在郊区及农村，虽然存在臭气污染等环境问题，但影响范围主要集中在养殖单位一定范围内。</w:t>
      </w:r>
    </w:p>
    <w:p w14:paraId="6C745CF8">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（2）水环境问题</w:t>
      </w:r>
    </w:p>
    <w:p w14:paraId="471F8FDA">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多个地表水考核断面近5年年度水质监测数据基本能稳定达标，一定程度上反映出</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地表水环境质量整体较好，但是</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个别市考断面</w:t>
      </w:r>
      <w:r>
        <w:rPr>
          <w:rFonts w:hint="eastAsia" w:ascii="方正仿宋_GB2312" w:hAnsi="方正仿宋_GB2312" w:eastAsia="方正仿宋_GB2312" w:cs="方正仿宋_GB2312"/>
          <w:color w:val="000000" w:themeColor="text1"/>
          <w14:textFill>
            <w14:solidFill>
              <w14:schemeClr w14:val="tx1"/>
            </w14:solidFill>
          </w14:textFill>
        </w:rPr>
        <w:t>月度超标情况较严重，从水质超标因子分析可知主要为有机污染类，说明</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潭江</w:t>
      </w:r>
      <w:r>
        <w:rPr>
          <w:rFonts w:hint="eastAsia" w:ascii="方正仿宋_GB2312" w:hAnsi="方正仿宋_GB2312" w:eastAsia="方正仿宋_GB2312" w:cs="方正仿宋_GB2312"/>
          <w:color w:val="000000" w:themeColor="text1"/>
          <w14:textFill>
            <w14:solidFill>
              <w14:schemeClr w14:val="tx1"/>
            </w14:solidFill>
          </w14:textFill>
        </w:rPr>
        <w:t>流域内的畜禽养殖对地表水环境存在一定隐患，</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应继续加强畜禽养殖粪污的收集处理，尤其是</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潭江</w:t>
      </w:r>
      <w:r>
        <w:rPr>
          <w:rFonts w:hint="eastAsia" w:ascii="方正仿宋_GB2312" w:hAnsi="方正仿宋_GB2312" w:eastAsia="方正仿宋_GB2312" w:cs="方正仿宋_GB2312"/>
          <w:color w:val="000000" w:themeColor="text1"/>
          <w14:textFill>
            <w14:solidFill>
              <w14:schemeClr w14:val="tx1"/>
            </w14:solidFill>
          </w14:textFill>
        </w:rPr>
        <w:t>河流域内的畜禽养殖规范整治工作，强化畜禽养殖粪污资源循环利用，确保地表水环境持续稳定达标。</w:t>
      </w:r>
    </w:p>
    <w:p w14:paraId="20DE7E7B">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18" w:name="_Toc7154"/>
      <w:bookmarkStart w:id="19" w:name="_Toc187940518"/>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（五）</w:t>
      </w:r>
      <w:r>
        <w:rPr>
          <w:rFonts w:hint="eastAsia" w:ascii="方正仿宋_GB2312" w:hAnsi="方正仿宋_GB2312" w:eastAsia="方正仿宋_GB2312" w:cs="方正仿宋_GB2312"/>
          <w:color w:val="000000" w:themeColor="text1"/>
          <w14:textFill>
            <w14:solidFill>
              <w14:schemeClr w14:val="tx1"/>
            </w14:solidFill>
          </w14:textFill>
        </w:rPr>
        <w:t>畜禽养殖污染防治现状</w:t>
      </w:r>
      <w:bookmarkEnd w:id="18"/>
      <w:bookmarkEnd w:id="19"/>
    </w:p>
    <w:p w14:paraId="12A6F7D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畜牧业总产值情况</w:t>
      </w:r>
    </w:p>
    <w:p w14:paraId="2A7E038A">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农林牧渔总产值</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57.23亿</w:t>
      </w:r>
      <w:r>
        <w:rPr>
          <w:rFonts w:hint="eastAsia" w:ascii="方正仿宋_GB2312" w:hAnsi="方正仿宋_GB2312" w:eastAsia="方正仿宋_GB2312" w:cs="方正仿宋_GB2312"/>
          <w:color w:val="000000" w:themeColor="text1"/>
          <w14:textFill>
            <w14:solidFill>
              <w14:schemeClr w14:val="tx1"/>
            </w14:solidFill>
          </w14:textFill>
        </w:rPr>
        <w:t>元，其中畜牧业产值</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20.32亿元</w:t>
      </w:r>
      <w:r>
        <w:rPr>
          <w:rFonts w:hint="eastAsia" w:ascii="方正仿宋_GB2312" w:hAnsi="方正仿宋_GB2312" w:eastAsia="方正仿宋_GB2312" w:cs="方正仿宋_GB2312"/>
          <w:color w:val="000000" w:themeColor="text1"/>
          <w14:textFill>
            <w14:solidFill>
              <w14:schemeClr w14:val="tx1"/>
            </w14:solidFill>
          </w14:textFill>
        </w:rPr>
        <w:t>，占比约</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35.5</w:t>
      </w:r>
      <w:r>
        <w:rPr>
          <w:rFonts w:hint="eastAsia" w:ascii="方正仿宋_GB2312" w:hAnsi="方正仿宋_GB2312" w:eastAsia="方正仿宋_GB2312" w:cs="方正仿宋_GB2312"/>
          <w:color w:val="000000" w:themeColor="text1"/>
          <w14:textFill>
            <w14:solidFill>
              <w14:schemeClr w14:val="tx1"/>
            </w14:solidFill>
          </w14:textFill>
        </w:rPr>
        <w:t>%。全年肉类总产量</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66545</w:t>
      </w:r>
      <w:r>
        <w:rPr>
          <w:rFonts w:hint="eastAsia" w:ascii="方正仿宋_GB2312" w:hAnsi="方正仿宋_GB2312" w:eastAsia="方正仿宋_GB2312" w:cs="方正仿宋_GB2312"/>
          <w:color w:val="000000" w:themeColor="text1"/>
          <w14:textFill>
            <w14:solidFill>
              <w14:schemeClr w14:val="tx1"/>
            </w14:solidFill>
          </w14:textFill>
        </w:rPr>
        <w:t>吨，同比增长</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6.91</w:t>
      </w:r>
      <w:r>
        <w:rPr>
          <w:rFonts w:hint="eastAsia" w:ascii="方正仿宋_GB2312" w:hAnsi="方正仿宋_GB2312" w:eastAsia="方正仿宋_GB2312" w:cs="方正仿宋_GB2312"/>
          <w:color w:val="000000" w:themeColor="text1"/>
          <w14:textFill>
            <w14:solidFill>
              <w14:schemeClr w14:val="tx1"/>
            </w14:solidFill>
          </w14:textFill>
        </w:rPr>
        <w:t>%，其中：猪肉产量</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48074</w:t>
      </w:r>
      <w:r>
        <w:rPr>
          <w:rFonts w:hint="eastAsia" w:ascii="方正仿宋_GB2312" w:hAnsi="方正仿宋_GB2312" w:eastAsia="方正仿宋_GB2312" w:cs="方正仿宋_GB2312"/>
          <w:color w:val="000000" w:themeColor="text1"/>
          <w14:textFill>
            <w14:solidFill>
              <w14:schemeClr w14:val="tx1"/>
            </w14:solidFill>
          </w14:textFill>
        </w:rPr>
        <w:t>吨，同比增长</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9.18</w:t>
      </w:r>
      <w:r>
        <w:rPr>
          <w:rFonts w:hint="eastAsia" w:ascii="方正仿宋_GB2312" w:hAnsi="方正仿宋_GB2312" w:eastAsia="方正仿宋_GB2312" w:cs="方正仿宋_GB2312"/>
          <w:color w:val="000000" w:themeColor="text1"/>
          <w14:textFill>
            <w14:solidFill>
              <w14:schemeClr w14:val="tx1"/>
            </w14:solidFill>
          </w14:textFill>
        </w:rPr>
        <w:t>%；禽肉产量</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16547</w:t>
      </w:r>
      <w:r>
        <w:rPr>
          <w:rFonts w:hint="eastAsia" w:ascii="方正仿宋_GB2312" w:hAnsi="方正仿宋_GB2312" w:eastAsia="方正仿宋_GB2312" w:cs="方正仿宋_GB2312"/>
          <w:color w:val="000000" w:themeColor="text1"/>
          <w14:textFill>
            <w14:solidFill>
              <w14:schemeClr w14:val="tx1"/>
            </w14:solidFill>
          </w14:textFill>
        </w:rPr>
        <w:t>吨，同比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减少4.14</w:t>
      </w:r>
      <w:r>
        <w:rPr>
          <w:rFonts w:hint="eastAsia" w:ascii="方正仿宋_GB2312" w:hAnsi="方正仿宋_GB2312" w:eastAsia="方正仿宋_GB2312" w:cs="方正仿宋_GB2312"/>
          <w:color w:val="000000" w:themeColor="text1"/>
          <w14:textFill>
            <w14:solidFill>
              <w14:schemeClr w14:val="tx1"/>
            </w14:solidFill>
          </w14:textFill>
        </w:rPr>
        <w:t>%。</w:t>
      </w:r>
    </w:p>
    <w:p w14:paraId="3F5A8D37">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表5</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年畜牧业产值变化情况（单位：</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亿</w:t>
      </w:r>
      <w:r>
        <w:rPr>
          <w:rFonts w:hint="eastAsia" w:ascii="方正仿宋_GB2312" w:hAnsi="方正仿宋_GB2312" w:eastAsia="方正仿宋_GB2312" w:cs="方正仿宋_GB2312"/>
          <w:color w:val="000000" w:themeColor="text1"/>
          <w14:textFill>
            <w14:solidFill>
              <w14:schemeClr w14:val="tx1"/>
            </w14:solidFill>
          </w14:textFill>
        </w:rPr>
        <w:t>元）</w:t>
      </w:r>
    </w:p>
    <w:tbl>
      <w:tblPr>
        <w:tblStyle w:val="5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2265"/>
        <w:gridCol w:w="2265"/>
        <w:gridCol w:w="2265"/>
      </w:tblGrid>
      <w:tr w14:paraId="50920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0FE846C8">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年份</w:t>
            </w:r>
          </w:p>
        </w:tc>
        <w:tc>
          <w:tcPr>
            <w:tcW w:w="1250" w:type="pct"/>
            <w:vAlign w:val="center"/>
          </w:tcPr>
          <w:p w14:paraId="5CF02B4A">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农林牧渔业总产值</w:t>
            </w:r>
          </w:p>
        </w:tc>
        <w:tc>
          <w:tcPr>
            <w:tcW w:w="1250" w:type="pct"/>
            <w:vAlign w:val="center"/>
          </w:tcPr>
          <w:p w14:paraId="04B99E69">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畜牧业总产值</w:t>
            </w:r>
          </w:p>
        </w:tc>
        <w:tc>
          <w:tcPr>
            <w:tcW w:w="1250" w:type="pct"/>
            <w:vAlign w:val="center"/>
          </w:tcPr>
          <w:p w14:paraId="5FFEE488">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占比</w:t>
            </w:r>
          </w:p>
        </w:tc>
      </w:tr>
      <w:tr w14:paraId="3FFEC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43129F3E">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2020年</w:t>
            </w:r>
          </w:p>
        </w:tc>
        <w:tc>
          <w:tcPr>
            <w:tcW w:w="1250" w:type="pct"/>
            <w:vAlign w:val="center"/>
          </w:tcPr>
          <w:p w14:paraId="3C73D994">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54.31</w:t>
            </w:r>
          </w:p>
        </w:tc>
        <w:tc>
          <w:tcPr>
            <w:tcW w:w="1250" w:type="pct"/>
            <w:vAlign w:val="center"/>
          </w:tcPr>
          <w:p w14:paraId="436EC44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19.67</w:t>
            </w:r>
          </w:p>
        </w:tc>
        <w:tc>
          <w:tcPr>
            <w:tcW w:w="1250" w:type="pct"/>
            <w:vAlign w:val="center"/>
          </w:tcPr>
          <w:p w14:paraId="0B6BC20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36.2</w:t>
            </w:r>
            <w:r>
              <w:rPr>
                <w:rFonts w:hint="eastAsia" w:ascii="方正仿宋_GB2312" w:hAnsi="方正仿宋_GB2312" w:eastAsia="方正仿宋_GB2312" w:cs="方正仿宋_GB2312"/>
                <w:color w:val="000000" w:themeColor="text1"/>
                <w14:textFill>
                  <w14:solidFill>
                    <w14:schemeClr w14:val="tx1"/>
                  </w14:solidFill>
                </w14:textFill>
              </w:rPr>
              <w:t>%</w:t>
            </w:r>
          </w:p>
        </w:tc>
      </w:tr>
      <w:tr w14:paraId="6DB59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2B8FD0BB">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2021年</w:t>
            </w:r>
          </w:p>
        </w:tc>
        <w:tc>
          <w:tcPr>
            <w:tcW w:w="1250" w:type="pct"/>
            <w:vAlign w:val="center"/>
          </w:tcPr>
          <w:p w14:paraId="47475B5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57.12</w:t>
            </w:r>
          </w:p>
        </w:tc>
        <w:tc>
          <w:tcPr>
            <w:tcW w:w="1250" w:type="pct"/>
            <w:vAlign w:val="center"/>
          </w:tcPr>
          <w:p w14:paraId="178713E9">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20.59</w:t>
            </w:r>
          </w:p>
        </w:tc>
        <w:tc>
          <w:tcPr>
            <w:tcW w:w="1250" w:type="pct"/>
            <w:vAlign w:val="center"/>
          </w:tcPr>
          <w:p w14:paraId="3413912F">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36.</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0</w:t>
            </w:r>
            <w:r>
              <w:rPr>
                <w:rFonts w:hint="eastAsia" w:ascii="方正仿宋_GB2312" w:hAnsi="方正仿宋_GB2312" w:eastAsia="方正仿宋_GB2312" w:cs="方正仿宋_GB2312"/>
                <w:color w:val="000000" w:themeColor="text1"/>
                <w14:textFill>
                  <w14:solidFill>
                    <w14:schemeClr w14:val="tx1"/>
                  </w14:solidFill>
                </w14:textFill>
              </w:rPr>
              <w:t>%</w:t>
            </w:r>
          </w:p>
        </w:tc>
      </w:tr>
      <w:tr w14:paraId="69A4B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69D98D9C">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2022年</w:t>
            </w:r>
          </w:p>
        </w:tc>
        <w:tc>
          <w:tcPr>
            <w:tcW w:w="1250" w:type="pct"/>
            <w:vAlign w:val="center"/>
          </w:tcPr>
          <w:p w14:paraId="5A1A7E00">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55.29</w:t>
            </w:r>
          </w:p>
        </w:tc>
        <w:tc>
          <w:tcPr>
            <w:tcW w:w="1250" w:type="pct"/>
            <w:vAlign w:val="center"/>
          </w:tcPr>
          <w:p w14:paraId="4560A82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19.88</w:t>
            </w:r>
          </w:p>
        </w:tc>
        <w:tc>
          <w:tcPr>
            <w:tcW w:w="1250" w:type="pct"/>
            <w:vAlign w:val="center"/>
          </w:tcPr>
          <w:p w14:paraId="281FDE6D">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3</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6.0</w:t>
            </w:r>
            <w:r>
              <w:rPr>
                <w:rFonts w:hint="eastAsia" w:ascii="方正仿宋_GB2312" w:hAnsi="方正仿宋_GB2312" w:eastAsia="方正仿宋_GB2312" w:cs="方正仿宋_GB2312"/>
                <w:color w:val="000000" w:themeColor="text1"/>
                <w14:textFill>
                  <w14:solidFill>
                    <w14:schemeClr w14:val="tx1"/>
                  </w14:solidFill>
                </w14:textFill>
              </w:rPr>
              <w:t>%</w:t>
            </w:r>
          </w:p>
        </w:tc>
      </w:tr>
      <w:tr w14:paraId="664E7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vAlign w:val="center"/>
          </w:tcPr>
          <w:p w14:paraId="499DA5E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2023年</w:t>
            </w:r>
          </w:p>
        </w:tc>
        <w:tc>
          <w:tcPr>
            <w:tcW w:w="1250" w:type="pct"/>
            <w:vAlign w:val="center"/>
          </w:tcPr>
          <w:p w14:paraId="4EAD853B">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57.23</w:t>
            </w:r>
          </w:p>
        </w:tc>
        <w:tc>
          <w:tcPr>
            <w:tcW w:w="1250" w:type="pct"/>
            <w:vAlign w:val="center"/>
          </w:tcPr>
          <w:p w14:paraId="69CB2B6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20.32</w:t>
            </w:r>
          </w:p>
        </w:tc>
        <w:tc>
          <w:tcPr>
            <w:tcW w:w="1250" w:type="pct"/>
            <w:vAlign w:val="center"/>
          </w:tcPr>
          <w:p w14:paraId="02310DE8">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35.5%</w:t>
            </w:r>
          </w:p>
        </w:tc>
      </w:tr>
    </w:tbl>
    <w:p w14:paraId="6E3C194E">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注：以上数据来自20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21—</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14:textFill>
            <w14:solidFill>
              <w14:schemeClr w14:val="tx1"/>
            </w14:solidFill>
          </w14:textFill>
        </w:rPr>
        <w:t>统计年鉴。</w:t>
      </w:r>
    </w:p>
    <w:p w14:paraId="285EA391">
      <w:pPr>
        <w:ind w:firstLine="640"/>
        <w:rPr>
          <w:rFonts w:hint="eastAsia" w:ascii="方正仿宋_GB2312" w:hAnsi="方正仿宋_GB2312" w:eastAsia="方正仿宋_GB2312" w:cs="方正仿宋_GB2312"/>
          <w:color w:val="000000" w:themeColor="text1"/>
          <w:lang w:eastAsia="zh-CN"/>
          <w14:textFill>
            <w14:solidFill>
              <w14:schemeClr w14:val="tx1"/>
            </w14:solidFill>
          </w14:textFill>
        </w:rPr>
      </w:pPr>
    </w:p>
    <w:p w14:paraId="12A3B030">
      <w:pPr>
        <w:spacing w:before="217" w:beforeLines="50" w:line="240" w:lineRule="auto"/>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256530" cy="2988310"/>
            <wp:effectExtent l="5080" t="4445" r="1143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CAAD5D0">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图3</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年畜牧业产值变化情况图</w:t>
      </w:r>
    </w:p>
    <w:p w14:paraId="30D96521">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畜禽养殖总体情况</w:t>
      </w:r>
    </w:p>
    <w:p w14:paraId="06B47F86">
      <w:pP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根据统计，恩平市20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24</w:t>
      </w:r>
      <w:r>
        <w:rPr>
          <w:rFonts w:hint="eastAsia" w:ascii="方正仿宋_GB2312" w:hAnsi="方正仿宋_GB2312" w:eastAsia="方正仿宋_GB2312" w:cs="方正仿宋_GB2312"/>
          <w:color w:val="000000" w:themeColor="text1"/>
          <w14:textFill>
            <w14:solidFill>
              <w14:schemeClr w14:val="tx1"/>
            </w14:solidFill>
          </w14:textFill>
        </w:rPr>
        <w:t>年，年末牛存栏量为</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5794</w:t>
      </w:r>
      <w:r>
        <w:rPr>
          <w:rFonts w:hint="eastAsia" w:ascii="方正仿宋_GB2312" w:hAnsi="方正仿宋_GB2312" w:eastAsia="方正仿宋_GB2312" w:cs="方正仿宋_GB2312"/>
          <w:color w:val="000000" w:themeColor="text1"/>
          <w14:textFill>
            <w14:solidFill>
              <w14:schemeClr w14:val="tx1"/>
            </w14:solidFill>
          </w14:textFill>
        </w:rPr>
        <w:t>头，羊存栏量为</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2228</w:t>
      </w:r>
      <w:r>
        <w:rPr>
          <w:rFonts w:hint="eastAsia" w:ascii="方正仿宋_GB2312" w:hAnsi="方正仿宋_GB2312" w:eastAsia="方正仿宋_GB2312" w:cs="方正仿宋_GB2312"/>
          <w:color w:val="000000" w:themeColor="text1"/>
          <w14:textFill>
            <w14:solidFill>
              <w14:schemeClr w14:val="tx1"/>
            </w14:solidFill>
          </w14:textFill>
        </w:rPr>
        <w:t>头，生猪存栏量为301835头，全年肉猪出栏量为61.15</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万</w:t>
      </w:r>
      <w:r>
        <w:rPr>
          <w:rFonts w:hint="eastAsia" w:ascii="方正仿宋_GB2312" w:hAnsi="方正仿宋_GB2312" w:eastAsia="方正仿宋_GB2312" w:cs="方正仿宋_GB2312"/>
          <w:color w:val="000000" w:themeColor="text1"/>
          <w14:textFill>
            <w14:solidFill>
              <w14:schemeClr w14:val="tx1"/>
            </w14:solidFill>
          </w14:textFill>
        </w:rPr>
        <w:t>头，家禽出售1267.4万只。</w:t>
      </w:r>
    </w:p>
    <w:p w14:paraId="45B7F0C7">
      <w:pP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根据《中华人民共和国农业农村部公告 第927号》，规模化</w:t>
      </w:r>
      <w:r>
        <w:rPr>
          <w:rFonts w:hint="eastAsia" w:ascii="方正仿宋_GB2312" w:hAnsi="方正仿宋_GB2312" w:eastAsia="方正仿宋_GB2312" w:cs="方正仿宋_GB2312"/>
          <w:color w:val="000000" w:themeColor="text1"/>
          <w14:textFill>
            <w14:solidFill>
              <w14:schemeClr w14:val="tx1"/>
            </w14:solidFill>
          </w14:textFill>
        </w:rPr>
        <w:t>畜禽养殖场是指生猪年出栏量五百头以上</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肉鸡年出栏量一万只以上、蛋鸡存栏量二千只以上、肉鸭年出栏量一万只以上、蛋鸭存栏量二千只以上，鹅年出栏量五千只以上</w:t>
      </w:r>
      <w:r>
        <w:rPr>
          <w:rFonts w:hint="eastAsia" w:ascii="方正仿宋_GB2312" w:hAnsi="方正仿宋_GB2312" w:eastAsia="方正仿宋_GB2312" w:cs="方正仿宋_GB2312"/>
          <w:color w:val="000000" w:themeColor="text1"/>
          <w14:textFill>
            <w14:solidFill>
              <w14:schemeClr w14:val="tx1"/>
            </w14:solidFill>
          </w14:textFill>
        </w:rPr>
        <w:t>。</w:t>
      </w:r>
    </w:p>
    <w:p w14:paraId="32CB2880">
      <w:pPr>
        <w:rPr>
          <w:rFonts w:hint="eastAsia" w:ascii="方正仿宋_GB2312" w:hAnsi="方正仿宋_GB2312" w:eastAsia="方正仿宋_GB2312" w:cs="方正仿宋_GB2312"/>
          <w:color w:val="000000"/>
          <w:kern w:val="0"/>
        </w:rPr>
      </w:pPr>
      <w:r>
        <w:rPr>
          <w:rFonts w:hint="eastAsia" w:ascii="方正仿宋_GB2312" w:hAnsi="方正仿宋_GB2312" w:eastAsia="方正仿宋_GB2312" w:cs="方正仿宋_GB2312"/>
          <w:color w:val="000000" w:themeColor="text1"/>
          <w14:textFill>
            <w14:solidFill>
              <w14:schemeClr w14:val="tx1"/>
            </w14:solidFill>
          </w14:textFill>
        </w:rPr>
        <w:t>根据恩平市</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农业农村局提供</w:t>
      </w:r>
      <w:r>
        <w:rPr>
          <w:rFonts w:hint="eastAsia" w:ascii="方正仿宋_GB2312" w:hAnsi="方正仿宋_GB2312" w:eastAsia="方正仿宋_GB2312" w:cs="方正仿宋_GB2312"/>
          <w:color w:val="000000" w:themeColor="text1"/>
          <w14:textFill>
            <w14:solidFill>
              <w14:schemeClr w14:val="tx1"/>
            </w14:solidFill>
          </w14:textFill>
        </w:rPr>
        <w:t>资料，恩平市规模化畜禽养殖种类主要为猪、鸡、鸭、鹅，</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2024年全市共有养殖场2023家，其中规模化养殖场703家，规模以下养殖场1320家，</w:t>
      </w:r>
      <w:r>
        <w:rPr>
          <w:rFonts w:hint="eastAsia" w:ascii="方正仿宋_GB2312" w:hAnsi="方正仿宋_GB2312" w:eastAsia="方正仿宋_GB2312" w:cs="方正仿宋_GB2312"/>
          <w:color w:val="000000" w:themeColor="text1"/>
          <w14:textFill>
            <w14:solidFill>
              <w14:schemeClr w14:val="tx1"/>
            </w14:solidFill>
          </w14:textFill>
        </w:rPr>
        <w:t>生猪</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存栏</w:t>
      </w:r>
      <w:r>
        <w:rPr>
          <w:rFonts w:hint="eastAsia" w:ascii="方正仿宋_GB2312" w:hAnsi="方正仿宋_GB2312" w:eastAsia="方正仿宋_GB2312" w:cs="方正仿宋_GB2312"/>
          <w:color w:val="000000" w:themeColor="text1"/>
          <w14:textFill>
            <w14:solidFill>
              <w14:schemeClr w14:val="tx1"/>
            </w14:solidFill>
          </w14:textFill>
        </w:rPr>
        <w:t>总量为301835头，家禽</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存栏</w:t>
      </w:r>
      <w:r>
        <w:rPr>
          <w:rFonts w:hint="eastAsia" w:ascii="方正仿宋_GB2312" w:hAnsi="方正仿宋_GB2312" w:eastAsia="方正仿宋_GB2312" w:cs="方正仿宋_GB2312"/>
          <w:color w:val="000000" w:themeColor="text1"/>
          <w14:textFill>
            <w14:solidFill>
              <w14:schemeClr w14:val="tx1"/>
            </w14:solidFill>
          </w14:textFill>
        </w:rPr>
        <w:t>总量为616</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1</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w:t>
      </w:r>
      <w:r>
        <w:rPr>
          <w:rFonts w:hint="eastAsia" w:ascii="方正仿宋_GB2312" w:hAnsi="方正仿宋_GB2312" w:eastAsia="方正仿宋_GB2312" w:cs="方正仿宋_GB2312"/>
          <w:color w:val="000000" w:themeColor="text1"/>
          <w14:textFill>
            <w14:solidFill>
              <w14:schemeClr w14:val="tx1"/>
            </w14:solidFill>
          </w14:textFill>
        </w:rPr>
        <w:t>万只，各镇养殖数量见表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w:t>
      </w:r>
    </w:p>
    <w:p w14:paraId="1041A2BA">
      <w:pPr>
        <w:ind w:firstLine="0" w:firstLineChars="0"/>
        <w:jc w:val="center"/>
        <w:rPr>
          <w:rFonts w:hint="eastAsia" w:ascii="方正仿宋_GB2312" w:hAnsi="方正仿宋_GB2312" w:eastAsia="方正仿宋_GB2312" w:cs="方正仿宋_GB2312"/>
          <w:color w:val="000000"/>
        </w:rPr>
      </w:pPr>
    </w:p>
    <w:p w14:paraId="78C87316">
      <w:pPr>
        <w:rPr>
          <w:rFonts w:hint="eastAsia" w:ascii="方正仿宋_GB2312" w:hAnsi="方正仿宋_GB2312" w:eastAsia="方正仿宋_GB2312" w:cs="方正仿宋_GB2312"/>
        </w:rPr>
        <w:sectPr>
          <w:footerReference r:id="rId18" w:type="default"/>
          <w:footerReference r:id="rId19"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6DD1CF03">
      <w:pPr>
        <w:ind w:firstLine="0" w:firstLineChars="0"/>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000000" w:themeColor="text1"/>
          <w:kern w:val="2"/>
          <w:sz w:val="32"/>
          <w:szCs w:val="21"/>
          <w:lang w:val="en-US" w:eastAsia="zh-CN" w:bidi="ar-SA"/>
          <w14:textFill>
            <w14:solidFill>
              <w14:schemeClr w14:val="tx1"/>
            </w14:solidFill>
          </w14:textFill>
        </w:rPr>
        <w:t>表6  各镇养殖场存栏情况统计</w:t>
      </w:r>
    </w:p>
    <w:tbl>
      <w:tblPr>
        <w:tblStyle w:val="21"/>
        <w:tblW w:w="132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1"/>
        <w:gridCol w:w="609"/>
        <w:gridCol w:w="612"/>
        <w:gridCol w:w="1134"/>
        <w:gridCol w:w="1091"/>
        <w:gridCol w:w="1266"/>
        <w:gridCol w:w="1018"/>
        <w:gridCol w:w="1092"/>
        <w:gridCol w:w="1252"/>
        <w:gridCol w:w="1960"/>
        <w:gridCol w:w="992"/>
        <w:gridCol w:w="1050"/>
      </w:tblGrid>
      <w:tr w14:paraId="62141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blHeader/>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5B61A9B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镇</w:t>
            </w:r>
          </w:p>
          <w:p w14:paraId="6AFAE0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（街道）</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901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家禽类型</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199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养殖场数</w:t>
            </w:r>
          </w:p>
        </w:tc>
        <w:tc>
          <w:tcPr>
            <w:tcW w:w="1092" w:type="dxa"/>
            <w:tcBorders>
              <w:top w:val="single" w:color="000000" w:sz="4" w:space="0"/>
              <w:left w:val="single" w:color="000000" w:sz="4" w:space="0"/>
              <w:right w:val="single" w:color="000000" w:sz="4" w:space="0"/>
            </w:tcBorders>
            <w:shd w:val="clear" w:color="auto" w:fill="auto"/>
            <w:vAlign w:val="center"/>
          </w:tcPr>
          <w:p w14:paraId="2BAC151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存栏量</w:t>
            </w:r>
          </w:p>
          <w:p w14:paraId="2E5BD87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（羽）</w:t>
            </w:r>
          </w:p>
        </w:tc>
        <w:tc>
          <w:tcPr>
            <w:tcW w:w="1233" w:type="dxa"/>
            <w:tcBorders>
              <w:top w:val="single" w:color="000000" w:sz="4" w:space="0"/>
              <w:left w:val="single" w:color="000000" w:sz="4" w:space="0"/>
              <w:right w:val="single" w:color="000000" w:sz="4" w:space="0"/>
            </w:tcBorders>
            <w:shd w:val="clear" w:color="auto" w:fill="auto"/>
            <w:vAlign w:val="center"/>
          </w:tcPr>
          <w:p w14:paraId="31C37FD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折算猪当量</w:t>
            </w:r>
          </w:p>
          <w:p w14:paraId="092E0A5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（头）</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0A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规模以上养殖场数</w:t>
            </w:r>
          </w:p>
        </w:tc>
        <w:tc>
          <w:tcPr>
            <w:tcW w:w="1092" w:type="dxa"/>
            <w:tcBorders>
              <w:top w:val="single" w:color="000000" w:sz="4" w:space="0"/>
              <w:left w:val="single" w:color="000000" w:sz="4" w:space="0"/>
              <w:right w:val="single" w:color="000000" w:sz="4" w:space="0"/>
            </w:tcBorders>
            <w:shd w:val="clear" w:color="auto" w:fill="auto"/>
            <w:vAlign w:val="center"/>
          </w:tcPr>
          <w:p w14:paraId="414CBD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存栏量</w:t>
            </w:r>
          </w:p>
          <w:p w14:paraId="4729D91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（羽）</w:t>
            </w:r>
          </w:p>
        </w:tc>
        <w:tc>
          <w:tcPr>
            <w:tcW w:w="1233" w:type="dxa"/>
            <w:tcBorders>
              <w:top w:val="single" w:color="000000" w:sz="4" w:space="0"/>
              <w:left w:val="single" w:color="000000" w:sz="4" w:space="0"/>
              <w:right w:val="single" w:color="000000" w:sz="4" w:space="0"/>
            </w:tcBorders>
            <w:shd w:val="clear" w:color="auto" w:fill="auto"/>
            <w:vAlign w:val="center"/>
          </w:tcPr>
          <w:p w14:paraId="6E2F57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折算猪当量</w:t>
            </w:r>
          </w:p>
          <w:p w14:paraId="56AF64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（头）</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28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规模以下养殖场数</w:t>
            </w:r>
          </w:p>
        </w:tc>
        <w:tc>
          <w:tcPr>
            <w:tcW w:w="993" w:type="dxa"/>
            <w:tcBorders>
              <w:top w:val="single" w:color="000000" w:sz="4" w:space="0"/>
              <w:left w:val="single" w:color="000000" w:sz="4" w:space="0"/>
              <w:right w:val="single" w:color="000000" w:sz="4" w:space="0"/>
            </w:tcBorders>
            <w:shd w:val="clear" w:color="auto" w:fill="auto"/>
            <w:vAlign w:val="center"/>
          </w:tcPr>
          <w:p w14:paraId="33CACDA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存栏量</w:t>
            </w:r>
          </w:p>
          <w:p w14:paraId="43CDA1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（羽）</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45D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折算猪当量</w:t>
            </w:r>
          </w:p>
          <w:p w14:paraId="146A6E7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（头）</w:t>
            </w:r>
          </w:p>
        </w:tc>
      </w:tr>
      <w:tr w14:paraId="2D380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50CC08E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东成</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A15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72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0AB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60970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ED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60970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D3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C06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60970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82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60970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B3D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63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76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BB0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D0059FA">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7AB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DEE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97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4E7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313200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F3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15660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0FA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E23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311400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861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15570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47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F1D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205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90</w:t>
            </w:r>
          </w:p>
        </w:tc>
      </w:tr>
      <w:tr w14:paraId="3666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28574A22">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327A1">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76B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CF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57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331752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B3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33175.2</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0C6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346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323952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5BD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32395.2</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EFB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BB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6E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780</w:t>
            </w:r>
          </w:p>
        </w:tc>
      </w:tr>
      <w:tr w14:paraId="5A59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047F882">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DD9B8">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831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153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97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31225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B26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4683.75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80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7D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9530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02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1429.5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A11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13E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21695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259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3254.25</w:t>
            </w:r>
          </w:p>
        </w:tc>
      </w:tr>
      <w:tr w14:paraId="5E2B9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1D6227C">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EF8A9">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B9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98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123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676177</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95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53518.95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77F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D0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644882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2C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49394.7</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6BC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21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31295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BE3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4124.25</w:t>
            </w:r>
          </w:p>
        </w:tc>
      </w:tr>
      <w:tr w14:paraId="195C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3BE49E3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A89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2C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347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C66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B5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114488.95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61B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047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824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110364.7</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A8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263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124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2D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4124.25</w:t>
            </w:r>
          </w:p>
        </w:tc>
      </w:tr>
      <w:tr w14:paraId="606F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37703B9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恩城</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CEA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09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BB7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23768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8B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23768</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EF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B7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23710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6C8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23710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836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64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DAB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58</w:t>
            </w:r>
          </w:p>
        </w:tc>
      </w:tr>
      <w:tr w14:paraId="64477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B6D275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054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70B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49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C3A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70600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93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3530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117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63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70600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53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3530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EA4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996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58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156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43585D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92B4A">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041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3F4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A4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66050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E84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6605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227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46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54600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98C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5460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2E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BF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11450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DB3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1145</w:t>
            </w:r>
          </w:p>
        </w:tc>
      </w:tr>
      <w:tr w14:paraId="3E6C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745CA41">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0ECF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00A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42D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7CA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4BD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05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A2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587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CF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E8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1D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600</w:t>
            </w:r>
          </w:p>
        </w:tc>
      </w:tr>
      <w:tr w14:paraId="369D3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5B40009">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8FEB0">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AFE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06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021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144650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79C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11335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B3C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F94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129200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78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9590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6DA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5C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15450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7C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1745</w:t>
            </w:r>
          </w:p>
        </w:tc>
      </w:tr>
      <w:tr w14:paraId="6B1C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0AFA40A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65D7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C9B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185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84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CA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35103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B0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15E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30C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33300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3E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165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399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A6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1803</w:t>
            </w:r>
          </w:p>
        </w:tc>
      </w:tr>
      <w:tr w14:paraId="6012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0D9CD5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大田</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790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F60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47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DA3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509</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F1C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A6E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E13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87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76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179</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A2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179</w:t>
            </w:r>
          </w:p>
        </w:tc>
      </w:tr>
      <w:tr w14:paraId="3C7B6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A491F2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9DB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731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720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84B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304000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C0B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15200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D5C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20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304000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34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15200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96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31E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AA7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229E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13C3F28">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9A106">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09C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47B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27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804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5A3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D5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63000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C35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6300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45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F3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C7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700</w:t>
            </w:r>
          </w:p>
        </w:tc>
      </w:tr>
      <w:tr w14:paraId="341A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C4AC44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24E1A">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FDA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B8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BF6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24400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AA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7BD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96A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6D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40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815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21900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A3C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3285</w:t>
            </w:r>
          </w:p>
        </w:tc>
      </w:tr>
      <w:tr w14:paraId="01759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C2D81B9">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76E44">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B91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08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90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398400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01D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25860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B6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E8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369500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F41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21875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E5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0F4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28900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7A9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3985</w:t>
            </w:r>
          </w:p>
        </w:tc>
      </w:tr>
      <w:tr w14:paraId="40E36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0B2DB09F">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16E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1BC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109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28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A36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26369</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22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E9E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70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22205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EB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AB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636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4164</w:t>
            </w:r>
          </w:p>
        </w:tc>
      </w:tr>
      <w:tr w14:paraId="0AF6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01B7BB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君堂</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06E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31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A59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19008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7BB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19008</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C1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BBE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19008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64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19008</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6A6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B8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B7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31A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65D950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C98C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9B4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AC3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E27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278442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95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13922.1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106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9BA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278442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4C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13922.1</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562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49D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9F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00432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961108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867A5">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52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14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9C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346030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CF0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34603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91A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1B7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322680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F68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32268</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DB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91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23350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C4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2335</w:t>
            </w:r>
          </w:p>
        </w:tc>
      </w:tr>
      <w:tr w14:paraId="3777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3A896AE">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854A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80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98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11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37210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074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5581.5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412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D02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35810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D9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5371.5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AE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96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72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210</w:t>
            </w:r>
          </w:p>
        </w:tc>
      </w:tr>
      <w:tr w14:paraId="6823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CAE6D96">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D8E50">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2C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F3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0F7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661682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C88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54106.6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58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6C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636932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29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51561.6</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2EB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C0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24750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A56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2545</w:t>
            </w:r>
          </w:p>
        </w:tc>
      </w:tr>
      <w:tr w14:paraId="23D93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5615DC3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7348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50A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180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D8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8E9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73114.6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24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60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BE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48B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70569.6</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B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598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238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2545</w:t>
            </w:r>
          </w:p>
        </w:tc>
      </w:tr>
      <w:tr w14:paraId="0486D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1CD7925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那吉</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F4A7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E10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0BD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22769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5FF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22769</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65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0C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22769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4F3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22769</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D8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91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2F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C38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395138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C5F9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CA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138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A94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F0B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A47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EC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23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CB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7EA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C6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125</w:t>
            </w:r>
          </w:p>
        </w:tc>
      </w:tr>
      <w:tr w14:paraId="42375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8FC152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C1FF4">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618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F06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1A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09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C6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DE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B52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2950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FF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D9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284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650</w:t>
            </w:r>
          </w:p>
        </w:tc>
      </w:tr>
      <w:tr w14:paraId="11F38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A686E16">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F5387">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9FC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E3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F4B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84900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ADB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12735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9B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D4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7E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9225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8B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2A0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DD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3510</w:t>
            </w:r>
          </w:p>
        </w:tc>
      </w:tr>
      <w:tr w14:paraId="66FE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667924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AB517">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89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9B0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566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123400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7AE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16460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27D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82D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91000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7BC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12175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346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33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268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4285</w:t>
            </w:r>
          </w:p>
        </w:tc>
      </w:tr>
      <w:tr w14:paraId="49584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5990996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FDC8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69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114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683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4E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39229</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120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287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A5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34944</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69A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66C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BBC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4285</w:t>
            </w:r>
          </w:p>
        </w:tc>
      </w:tr>
      <w:tr w14:paraId="25328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308BF4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大槐</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85F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5C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41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61803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954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61803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DC8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03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61125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54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61125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95A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FA7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678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670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678</w:t>
            </w:r>
          </w:p>
        </w:tc>
      </w:tr>
      <w:tr w14:paraId="5500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EC86EF8">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F8E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F05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15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B7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114500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906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5725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BE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347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89000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E99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4450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E0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2F8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4E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1275</w:t>
            </w:r>
          </w:p>
        </w:tc>
      </w:tr>
      <w:tr w14:paraId="4D10C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CA219B5">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435AF">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E0B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57F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772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123900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5B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12390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078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753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123900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9D1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12390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F77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FA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04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445A6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333D2F5">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46A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A0D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FB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975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168000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B1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25200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B82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F98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151200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116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22680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B65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DD8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8E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2520</w:t>
            </w:r>
          </w:p>
        </w:tc>
      </w:tr>
      <w:tr w14:paraId="009AD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2249F9AF">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C1F63">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29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90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D23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406400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14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43315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2DE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4A0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364100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B5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39520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1A3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EF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42300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55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3795</w:t>
            </w:r>
          </w:p>
        </w:tc>
      </w:tr>
      <w:tr w14:paraId="4B7E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45DA98C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867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6F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6C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64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105118</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A24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66F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45D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100645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87D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121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B6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94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4473</w:t>
            </w:r>
          </w:p>
        </w:tc>
      </w:tr>
      <w:tr w14:paraId="6EF0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620603C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良西</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4C6C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B3B9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349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1260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66A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618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8E2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1260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715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1260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BD3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20E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65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5CBC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030960B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9F55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A9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C5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3F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568300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FB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28415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02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B9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568300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FB7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28415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20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73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D9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528F8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38F18AC1">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08DF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01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29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684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68750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EF2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6875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6AB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7FA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57250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DB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5725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0BA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4E1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4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1150</w:t>
            </w:r>
          </w:p>
        </w:tc>
      </w:tr>
      <w:tr w14:paraId="52A2D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B362EF1">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4C4BB">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A5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14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749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49600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0E0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7440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3C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8C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28200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C3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4230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B9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94C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D21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3210</w:t>
            </w:r>
          </w:p>
        </w:tc>
      </w:tr>
      <w:tr w14:paraId="501A2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6738E2C">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F7E9B">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83C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D8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E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686650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558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42730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52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44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653750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BC3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38370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B61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3F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32900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23F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4360</w:t>
            </w:r>
          </w:p>
        </w:tc>
      </w:tr>
      <w:tr w14:paraId="041D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3E2B0E3C">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4FA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1A8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143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F2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506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43990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E2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52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F0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76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39630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D9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91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31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E27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4360</w:t>
            </w:r>
          </w:p>
        </w:tc>
      </w:tr>
      <w:tr w14:paraId="442C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75481E5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横陂</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A17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7B2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3B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50524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AF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50524</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B1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1AD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50291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F9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50291</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DA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35B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78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233</w:t>
            </w:r>
          </w:p>
        </w:tc>
      </w:tr>
      <w:tr w14:paraId="0F7D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435F365">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D4AE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D6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C24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F2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447624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896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22381.2</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0C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061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442626</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771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22131.3</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691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545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4998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987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249.9</w:t>
            </w:r>
          </w:p>
        </w:tc>
      </w:tr>
      <w:tr w14:paraId="1D401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261386A">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54965">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6F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86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D9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62320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142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6232</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FF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63A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47320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6F8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4732</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298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B51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296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1500</w:t>
            </w:r>
          </w:p>
        </w:tc>
      </w:tr>
      <w:tr w14:paraId="4E4F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2D8EC46A">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5E361">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8A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593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6D0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55050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08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8257.5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04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8F5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40045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97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6006.75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E31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9C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15005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67B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2250.75</w:t>
            </w:r>
          </w:p>
        </w:tc>
      </w:tr>
      <w:tr w14:paraId="6E7B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5719A2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AF8F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4C4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28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4E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564994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7D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36870.7</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20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2D7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529991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326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32870.05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0B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02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35003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2C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4000.65</w:t>
            </w:r>
          </w:p>
        </w:tc>
      </w:tr>
      <w:tr w14:paraId="0E37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7F2A1AAA">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BF3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C2E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185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8B0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05E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87394.7</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0C6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56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15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88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83161.05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FD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129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A22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B2B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4233.65</w:t>
            </w:r>
          </w:p>
        </w:tc>
      </w:tr>
      <w:tr w14:paraId="7048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48DD42D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牛江</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AF27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CD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A77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3253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E2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3253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D5E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D21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3253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4FC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3253</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FF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D8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26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22F4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00523FBF">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E8F0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44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47B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EF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182000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75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9100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F2F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F8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182000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A5A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9100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1B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72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DB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3521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0917CBD8">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E4CDF">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D99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49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A99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93300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AD2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9330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2EB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83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77000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FEA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7700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8B2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91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A6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1630</w:t>
            </w:r>
          </w:p>
        </w:tc>
      </w:tr>
      <w:tr w14:paraId="64257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8B9030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52F00">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2B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72D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11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36000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CB4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5400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F5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AE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B60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4800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950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3C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17F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600</w:t>
            </w:r>
          </w:p>
        </w:tc>
      </w:tr>
      <w:tr w14:paraId="520FE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31A845C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6396C">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69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95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9D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311300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149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23830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202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AA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291000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25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21600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D8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A4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D46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2230</w:t>
            </w:r>
          </w:p>
        </w:tc>
      </w:tr>
      <w:tr w14:paraId="490D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38DA1FCD">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807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D4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68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464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AC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27083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68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83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B31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24853</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DF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39</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5BB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DB2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2230</w:t>
            </w:r>
          </w:p>
        </w:tc>
      </w:tr>
      <w:tr w14:paraId="00B7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525EAF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圣堂</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6D4E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FA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F19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25210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5C0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25210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DB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25A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24931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A5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24931</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A3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97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279</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E2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279</w:t>
            </w:r>
          </w:p>
        </w:tc>
      </w:tr>
      <w:tr w14:paraId="43A19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F41B364">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7BE1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08A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ADD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300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10700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E49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535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93F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5E6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10700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038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535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7E3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ED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49A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0</w:t>
            </w:r>
          </w:p>
        </w:tc>
      </w:tr>
      <w:tr w14:paraId="64B42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0B69B202">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3E2A4">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0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893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9B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80300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BF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8030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361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8E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69300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7DB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6930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D01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A22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F6B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1100</w:t>
            </w:r>
          </w:p>
        </w:tc>
      </w:tr>
      <w:tr w14:paraId="79E6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D3F142B">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F4122">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94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FB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FE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39D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2145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BC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B1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EB9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750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77D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74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C6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1395</w:t>
            </w:r>
          </w:p>
        </w:tc>
      </w:tr>
      <w:tr w14:paraId="5332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2BBE0B40">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AD4A">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B1E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511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83B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105300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9D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10710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76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8E3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85000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E9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8215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4E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5E9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C9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2495</w:t>
            </w:r>
          </w:p>
        </w:tc>
      </w:tr>
      <w:tr w14:paraId="725A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4C4739F7">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4619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C2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88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76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02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35920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238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D0D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9C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33146</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D1C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63</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5D6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2E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2774</w:t>
            </w:r>
          </w:p>
        </w:tc>
      </w:tr>
      <w:tr w14:paraId="2F8A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7BF701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沙湖</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821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EA3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51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32761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54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32761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80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5A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32470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4C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32470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EED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9C6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B77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291</w:t>
            </w:r>
          </w:p>
        </w:tc>
      </w:tr>
      <w:tr w14:paraId="0225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378E4FF5">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FDD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B9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291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713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1494060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4D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74703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620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92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1490900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1E4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74545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02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4DB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3E5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158</w:t>
            </w:r>
          </w:p>
        </w:tc>
      </w:tr>
      <w:tr w14:paraId="45C41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25D4D43F">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8A3C">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AA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C1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42C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417500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51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41750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05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E36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311900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540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31190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DD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25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105600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1EC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10560</w:t>
            </w:r>
          </w:p>
        </w:tc>
      </w:tr>
      <w:tr w14:paraId="08A7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7AC5CB75">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0BB6">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B8C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C4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34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171380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C2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25707</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4AA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E12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83200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F07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12480</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A1A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A9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88180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CE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13227</w:t>
            </w:r>
          </w:p>
        </w:tc>
      </w:tr>
      <w:tr w14:paraId="6987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5C915E07">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6593C">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50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F1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98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2082940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7C0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142160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C8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20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1886000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BBA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118215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6E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87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00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196940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6D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23945</w:t>
            </w:r>
          </w:p>
        </w:tc>
      </w:tr>
      <w:tr w14:paraId="7BF19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vAlign w:val="center"/>
          </w:tcPr>
          <w:p w14:paraId="4291CB63">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221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17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404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F82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80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174921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B7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240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4A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BE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150685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6B1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164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38C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B0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24236</w:t>
            </w:r>
          </w:p>
        </w:tc>
      </w:tr>
      <w:tr w14:paraId="40A94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restart"/>
            <w:tcBorders>
              <w:top w:val="single" w:color="000000" w:sz="4" w:space="0"/>
              <w:left w:val="single" w:color="000000" w:sz="4" w:space="0"/>
              <w:right w:val="single" w:color="000000" w:sz="4" w:space="0"/>
            </w:tcBorders>
            <w:shd w:val="clear" w:color="auto" w:fill="auto"/>
            <w:vAlign w:val="center"/>
          </w:tcPr>
          <w:p w14:paraId="12A7B04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3E5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生猪</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0DB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1093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EA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301835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F1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301835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46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714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300117</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8DD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300117</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6B0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964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D6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1718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47B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1718</w:t>
            </w:r>
          </w:p>
        </w:tc>
      </w:tr>
      <w:tr w14:paraId="6B4B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4A4D7E87">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AE30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家禽</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B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24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274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E72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3785926</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93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189296.3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96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A5B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3747968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D26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187398.4</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A3B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72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AF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37958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E2A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1897.9</w:t>
            </w:r>
          </w:p>
        </w:tc>
      </w:tr>
      <w:tr w14:paraId="52AB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626045A4">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1510F">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90F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鸭</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2D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335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96B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1695902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8B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169590.2</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30F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2A5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1480402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7C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148040.2</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04F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127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41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215500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B77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21550</w:t>
            </w:r>
          </w:p>
        </w:tc>
      </w:tr>
      <w:tr w14:paraId="1EC49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36591EAD">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FE7E4">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FE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鹅</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F0A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321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87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680065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7E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102009.75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DFE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164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634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452985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791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67947.75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EDD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157</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55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227080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D22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34062</w:t>
            </w:r>
          </w:p>
        </w:tc>
      </w:tr>
      <w:tr w14:paraId="5CA18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right w:val="single" w:color="000000" w:sz="4" w:space="0"/>
            </w:tcBorders>
            <w:shd w:val="clear" w:color="auto" w:fill="auto"/>
            <w:vAlign w:val="center"/>
          </w:tcPr>
          <w:p w14:paraId="170211AF">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EA85E">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A3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1C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930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BFD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6161893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9A3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460896.25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888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E71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5681355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3F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403386.35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BEB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356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D37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480538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D9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57509.9</w:t>
            </w:r>
          </w:p>
        </w:tc>
      </w:tr>
      <w:tr w14:paraId="090D6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90" w:type="dxa"/>
            <w:vMerge w:val="continue"/>
            <w:tcBorders>
              <w:left w:val="single" w:color="000000" w:sz="4" w:space="0"/>
              <w:bottom w:val="single" w:color="000000" w:sz="4" w:space="0"/>
              <w:right w:val="single" w:color="000000" w:sz="4" w:space="0"/>
            </w:tcBorders>
            <w:shd w:val="clear" w:color="auto" w:fill="auto"/>
            <w:noWrap/>
            <w:vAlign w:val="center"/>
          </w:tcPr>
          <w:p w14:paraId="50242E5C">
            <w:pPr>
              <w:snapToGrid w:val="0"/>
              <w:ind w:left="0" w:leftChars="0" w:right="0" w:rightChars="0" w:firstLine="0" w:firstLineChars="0"/>
              <w:jc w:val="center"/>
              <w:rPr>
                <w:rFonts w:hint="eastAsia" w:ascii="方正仿宋_GB2312" w:hAnsi="方正仿宋_GB2312" w:eastAsia="方正仿宋_GB2312" w:cs="方正仿宋_GB2312"/>
                <w:b w:val="0"/>
                <w:bCs w:val="0"/>
                <w:i w:val="0"/>
                <w:iCs w:val="0"/>
                <w:color w:val="000000"/>
                <w:sz w:val="24"/>
                <w:szCs w:val="24"/>
                <w:u w:val="none"/>
              </w:rPr>
            </w:pPr>
          </w:p>
        </w:tc>
        <w:tc>
          <w:tcPr>
            <w:tcW w:w="12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98F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合计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0B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2023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02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6FD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762731.25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749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703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26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78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703503.35</w:t>
            </w:r>
          </w:p>
        </w:tc>
        <w:tc>
          <w:tcPr>
            <w:tcW w:w="1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E19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1320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3F4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A61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59227.9</w:t>
            </w:r>
          </w:p>
        </w:tc>
      </w:tr>
    </w:tbl>
    <w:p w14:paraId="43B76940">
      <w:pPr>
        <w:ind w:left="0" w:leftChars="0" w:firstLine="0" w:firstLineChars="0"/>
        <w:rPr>
          <w:rFonts w:hint="eastAsia" w:ascii="方正仿宋_GB2312" w:hAnsi="方正仿宋_GB2312" w:eastAsia="方正仿宋_GB2312" w:cs="方正仿宋_GB2312"/>
        </w:rPr>
        <w:sectPr>
          <w:pgSz w:w="16838" w:h="11906" w:orient="landscape"/>
          <w:pgMar w:top="1588" w:right="2098" w:bottom="1474" w:left="1701"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484BF69A">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规模化养殖场共</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703</w:t>
      </w:r>
      <w:r>
        <w:rPr>
          <w:rFonts w:hint="eastAsia" w:ascii="方正仿宋_GB2312" w:hAnsi="方正仿宋_GB2312" w:eastAsia="方正仿宋_GB2312" w:cs="方正仿宋_GB2312"/>
          <w:color w:val="000000" w:themeColor="text1"/>
          <w14:textFill>
            <w14:solidFill>
              <w14:schemeClr w14:val="tx1"/>
            </w14:solidFill>
          </w14:textFill>
        </w:rPr>
        <w:t>家，规模化畜禽养殖存栏总量约</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70.35</w:t>
      </w:r>
      <w:r>
        <w:rPr>
          <w:rFonts w:hint="eastAsia" w:ascii="方正仿宋_GB2312" w:hAnsi="方正仿宋_GB2312" w:eastAsia="方正仿宋_GB2312" w:cs="方正仿宋_GB2312"/>
          <w:color w:val="000000" w:themeColor="text1"/>
          <w14:textFill>
            <w14:solidFill>
              <w14:schemeClr w14:val="tx1"/>
            </w14:solidFill>
          </w14:textFill>
        </w:rPr>
        <w:t>万头（以猪当量计），从畜禽养殖的区域分布来看，规模化畜禽养殖主要集中在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沙湖镇</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镇和</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w:t>
      </w:r>
      <w:r>
        <w:rPr>
          <w:rFonts w:hint="eastAsia" w:ascii="方正仿宋_GB2312" w:hAnsi="方正仿宋_GB2312" w:eastAsia="方正仿宋_GB2312" w:cs="方正仿宋_GB2312"/>
          <w:color w:val="000000" w:themeColor="text1"/>
          <w14:textFill>
            <w14:solidFill>
              <w14:schemeClr w14:val="tx1"/>
            </w14:solidFill>
          </w14:textFill>
        </w:rPr>
        <w:t>镇，其中</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14:textFill>
            <w14:solidFill>
              <w14:schemeClr w14:val="tx1"/>
            </w14:solidFill>
          </w14:textFill>
        </w:rPr>
        <w:t>镇规模化畜禽养殖存栏总量150685头（以猪当量计），占比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21.41</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镇规模化畜禽养殖存栏总量110364.7头（以猪当量计），占比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15.69</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w:t>
      </w:r>
      <w:r>
        <w:rPr>
          <w:rFonts w:hint="eastAsia" w:ascii="方正仿宋_GB2312" w:hAnsi="方正仿宋_GB2312" w:eastAsia="方正仿宋_GB2312" w:cs="方正仿宋_GB2312"/>
          <w:color w:val="000000" w:themeColor="text1"/>
          <w14:textFill>
            <w14:solidFill>
              <w14:schemeClr w14:val="tx1"/>
            </w14:solidFill>
          </w14:textFill>
        </w:rPr>
        <w:t>镇规模化畜禽养殖存栏总量100645头（以猪当量计），占比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14.31</w:t>
      </w:r>
      <w:r>
        <w:rPr>
          <w:rFonts w:hint="eastAsia" w:ascii="方正仿宋_GB2312" w:hAnsi="方正仿宋_GB2312" w:eastAsia="方正仿宋_GB2312" w:cs="方正仿宋_GB2312"/>
          <w:color w:val="000000" w:themeColor="text1"/>
          <w14:textFill>
            <w14:solidFill>
              <w14:schemeClr w14:val="tx1"/>
            </w14:solidFill>
          </w14:textFill>
        </w:rPr>
        <w:t>%，三镇合计占比约</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51.41</w:t>
      </w:r>
      <w:r>
        <w:rPr>
          <w:rFonts w:hint="eastAsia" w:ascii="方正仿宋_GB2312" w:hAnsi="方正仿宋_GB2312" w:eastAsia="方正仿宋_GB2312" w:cs="方正仿宋_GB2312"/>
          <w:color w:val="000000" w:themeColor="text1"/>
          <w14:textFill>
            <w14:solidFill>
              <w14:schemeClr w14:val="tx1"/>
            </w14:solidFill>
          </w14:textFill>
        </w:rPr>
        <w:t>%。</w:t>
      </w:r>
    </w:p>
    <w:p w14:paraId="2540602B">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将各类畜禽折算为猪当量分析，规模养殖场中以生猪和肉鸡养殖为主，合计共</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331</w:t>
      </w:r>
      <w:r>
        <w:rPr>
          <w:rFonts w:hint="eastAsia" w:ascii="方正仿宋_GB2312" w:hAnsi="方正仿宋_GB2312" w:eastAsia="方正仿宋_GB2312" w:cs="方正仿宋_GB2312"/>
          <w:color w:val="000000" w:themeColor="text1"/>
          <w14:textFill>
            <w14:solidFill>
              <w14:schemeClr w14:val="tx1"/>
            </w14:solidFill>
          </w14:textFill>
        </w:rPr>
        <w:t>家。其中生猪养殖</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129</w:t>
      </w:r>
      <w:r>
        <w:rPr>
          <w:rFonts w:hint="eastAsia" w:ascii="方正仿宋_GB2312" w:hAnsi="方正仿宋_GB2312" w:eastAsia="方正仿宋_GB2312" w:cs="方正仿宋_GB2312"/>
          <w:color w:val="000000" w:themeColor="text1"/>
          <w14:textFill>
            <w14:solidFill>
              <w14:schemeClr w14:val="tx1"/>
            </w14:solidFill>
          </w14:textFill>
        </w:rPr>
        <w:t>家，生猪存栏量300117头，占比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42.66</w:t>
      </w:r>
      <w:r>
        <w:rPr>
          <w:rFonts w:hint="eastAsia" w:ascii="方正仿宋_GB2312" w:hAnsi="方正仿宋_GB2312" w:eastAsia="方正仿宋_GB2312" w:cs="方正仿宋_GB2312"/>
          <w:color w:val="000000" w:themeColor="text1"/>
          <w14:textFill>
            <w14:solidFill>
              <w14:schemeClr w14:val="tx1"/>
            </w14:solidFill>
          </w14:textFill>
        </w:rPr>
        <w:t>%，主要集中在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大槐镇</w:t>
      </w:r>
      <w:r>
        <w:rPr>
          <w:rFonts w:hint="eastAsia" w:ascii="方正仿宋_GB2312" w:hAnsi="方正仿宋_GB2312" w:eastAsia="方正仿宋_GB2312" w:cs="方正仿宋_GB2312"/>
          <w:color w:val="000000" w:themeColor="text1"/>
          <w14:textFill>
            <w14:solidFill>
              <w14:schemeClr w14:val="tx1"/>
            </w14:solidFill>
          </w14:textFill>
        </w:rPr>
        <w:t>和</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镇；肉鸡养殖场2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02</w:t>
      </w:r>
      <w:r>
        <w:rPr>
          <w:rFonts w:hint="eastAsia" w:ascii="方正仿宋_GB2312" w:hAnsi="方正仿宋_GB2312" w:eastAsia="方正仿宋_GB2312" w:cs="方正仿宋_GB2312"/>
          <w:color w:val="000000" w:themeColor="text1"/>
          <w14:textFill>
            <w14:solidFill>
              <w14:schemeClr w14:val="tx1"/>
            </w14:solidFill>
          </w14:textFill>
        </w:rPr>
        <w:t>家，存栏量为187398.4头（以猪当量计），占比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26.64</w:t>
      </w:r>
      <w:r>
        <w:rPr>
          <w:rFonts w:hint="eastAsia" w:ascii="方正仿宋_GB2312" w:hAnsi="方正仿宋_GB2312" w:eastAsia="方正仿宋_GB2312" w:cs="方正仿宋_GB2312"/>
          <w:color w:val="000000" w:themeColor="text1"/>
          <w14:textFill>
            <w14:solidFill>
              <w14:schemeClr w14:val="tx1"/>
            </w14:solidFill>
          </w14:textFill>
        </w:rPr>
        <w:t>%，主要集中在沙湖镇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和</w:t>
      </w:r>
      <w:r>
        <w:rPr>
          <w:rFonts w:hint="eastAsia" w:ascii="方正仿宋_GB2312" w:hAnsi="方正仿宋_GB2312" w:eastAsia="方正仿宋_GB2312" w:cs="方正仿宋_GB2312"/>
          <w:color w:val="000000" w:themeColor="text1"/>
          <w14:textFill>
            <w14:solidFill>
              <w14:schemeClr w14:val="tx1"/>
            </w14:solidFill>
          </w14:textFill>
        </w:rPr>
        <w:t>良西镇。</w:t>
      </w:r>
    </w:p>
    <w:p w14:paraId="300AF4F4">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规模以下养殖户共1320家，畜禽养殖存栏总量为59227.9头（以猪当量计），其中以</w:t>
      </w:r>
      <w:r>
        <w:rPr>
          <w:rFonts w:hint="eastAsia" w:ascii="方正仿宋_GB2312" w:hAnsi="方正仿宋_GB2312" w:eastAsia="方正仿宋_GB2312" w:cs="方正仿宋_GB2312"/>
          <w:color w:val="000000" w:themeColor="text1"/>
          <w:lang w:eastAsia="zh-CN"/>
          <w14:textFill>
            <w14:solidFill>
              <w14:schemeClr w14:val="tx1"/>
            </w14:solidFill>
          </w14:textFill>
        </w:rPr>
        <w:t>鹅</w:t>
      </w:r>
      <w:r>
        <w:rPr>
          <w:rFonts w:hint="eastAsia" w:ascii="方正仿宋_GB2312" w:hAnsi="方正仿宋_GB2312" w:eastAsia="方正仿宋_GB2312" w:cs="方正仿宋_GB2312"/>
          <w:color w:val="000000" w:themeColor="text1"/>
          <w14:textFill>
            <w14:solidFill>
              <w14:schemeClr w14:val="tx1"/>
            </w14:solidFill>
          </w14:textFill>
        </w:rPr>
        <w:t>养殖为主，</w:t>
      </w:r>
      <w:r>
        <w:rPr>
          <w:rFonts w:hint="eastAsia" w:ascii="方正仿宋_GB2312" w:hAnsi="方正仿宋_GB2312" w:eastAsia="方正仿宋_GB2312" w:cs="方正仿宋_GB2312"/>
          <w:color w:val="000000" w:themeColor="text1"/>
          <w:lang w:eastAsia="zh-CN"/>
          <w14:textFill>
            <w14:solidFill>
              <w14:schemeClr w14:val="tx1"/>
            </w14:solidFill>
          </w14:textFill>
        </w:rPr>
        <w:t>鹅</w:t>
      </w:r>
      <w:r>
        <w:rPr>
          <w:rFonts w:hint="eastAsia" w:ascii="方正仿宋_GB2312" w:hAnsi="方正仿宋_GB2312" w:eastAsia="方正仿宋_GB2312" w:cs="方正仿宋_GB2312"/>
          <w:color w:val="000000" w:themeColor="text1"/>
          <w14:textFill>
            <w14:solidFill>
              <w14:schemeClr w14:val="tx1"/>
            </w14:solidFill>
          </w14:textFill>
        </w:rPr>
        <w:t>养殖</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157</w:t>
      </w:r>
      <w:r>
        <w:rPr>
          <w:rFonts w:hint="eastAsia" w:ascii="方正仿宋_GB2312" w:hAnsi="方正仿宋_GB2312" w:eastAsia="方正仿宋_GB2312" w:cs="方正仿宋_GB2312"/>
          <w:color w:val="000000" w:themeColor="text1"/>
          <w14:textFill>
            <w14:solidFill>
              <w14:schemeClr w14:val="tx1"/>
            </w14:solidFill>
          </w14:textFill>
        </w:rPr>
        <w:t>家，畜禽养殖存栏总量为34062头（以猪当量计），占比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57.49</w:t>
      </w:r>
      <w:r>
        <w:rPr>
          <w:rFonts w:hint="eastAsia" w:ascii="方正仿宋_GB2312" w:hAnsi="方正仿宋_GB2312" w:eastAsia="方正仿宋_GB2312" w:cs="方正仿宋_GB2312"/>
          <w:color w:val="000000" w:themeColor="text1"/>
          <w14:textFill>
            <w14:solidFill>
              <w14:schemeClr w14:val="tx1"/>
            </w14:solidFill>
          </w14:textFill>
        </w:rPr>
        <w:t>%，主要集中在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14:textFill>
            <w14:solidFill>
              <w14:schemeClr w14:val="tx1"/>
            </w14:solidFill>
          </w14:textFill>
        </w:rPr>
        <w:t>镇。</w:t>
      </w:r>
    </w:p>
    <w:p w14:paraId="2F63F5AE">
      <w:pPr>
        <w:numPr>
          <w:ilvl w:val="0"/>
          <w:numId w:val="0"/>
        </w:numPr>
        <w:ind w:left="0" w:leftChars="0" w:firstLine="64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畜禽养殖分布特征</w:t>
      </w:r>
    </w:p>
    <w:p w14:paraId="28D4E12A">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畜禽养殖以生猪和肉鸡为主，</w:t>
      </w:r>
      <w:r>
        <w:rPr>
          <w:rFonts w:hint="eastAsia" w:ascii="方正仿宋_GB2312" w:hAnsi="方正仿宋_GB2312" w:eastAsia="方正仿宋_GB2312" w:cs="方正仿宋_GB2312"/>
          <w:color w:val="000000" w:themeColor="text1"/>
          <w:lang w:eastAsia="zh-CN"/>
          <w14:textFill>
            <w14:solidFill>
              <w14:schemeClr w14:val="tx1"/>
            </w14:solidFill>
          </w14:textFill>
        </w:rPr>
        <w:t>其他畜禽</w:t>
      </w:r>
      <w:r>
        <w:rPr>
          <w:rFonts w:hint="eastAsia" w:ascii="方正仿宋_GB2312" w:hAnsi="方正仿宋_GB2312" w:eastAsia="方正仿宋_GB2312" w:cs="方正仿宋_GB2312"/>
          <w:color w:val="000000" w:themeColor="text1"/>
          <w14:textFill>
            <w14:solidFill>
              <w14:schemeClr w14:val="tx1"/>
            </w14:solidFill>
          </w14:textFill>
        </w:rPr>
        <w:t>包括肉鸭、肉鹅、肉鸽、肉羊、</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肉</w:t>
      </w:r>
      <w:r>
        <w:rPr>
          <w:rFonts w:hint="eastAsia" w:ascii="方正仿宋_GB2312" w:hAnsi="方正仿宋_GB2312" w:eastAsia="方正仿宋_GB2312" w:cs="方正仿宋_GB2312"/>
          <w:color w:val="000000" w:themeColor="text1"/>
          <w14:textFill>
            <w14:solidFill>
              <w14:schemeClr w14:val="tx1"/>
            </w14:solidFill>
          </w14:textFill>
        </w:rPr>
        <w:t>牛等养殖数量相对较少，从养殖区域分布情况看，</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14:textFill>
            <w14:solidFill>
              <w14:schemeClr w14:val="tx1"/>
            </w14:solidFill>
          </w14:textFill>
        </w:rPr>
        <w:t>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镇和</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w:t>
      </w:r>
      <w:r>
        <w:rPr>
          <w:rFonts w:hint="eastAsia" w:ascii="方正仿宋_GB2312" w:hAnsi="方正仿宋_GB2312" w:eastAsia="方正仿宋_GB2312" w:cs="方正仿宋_GB2312"/>
          <w:color w:val="000000" w:themeColor="text1"/>
          <w14:textFill>
            <w14:solidFill>
              <w14:schemeClr w14:val="tx1"/>
            </w14:solidFill>
          </w14:textFill>
        </w:rPr>
        <w:t>镇，其中生猪规模养殖主要集中在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大槐镇</w:t>
      </w:r>
      <w:r>
        <w:rPr>
          <w:rFonts w:hint="eastAsia" w:ascii="方正仿宋_GB2312" w:hAnsi="方正仿宋_GB2312" w:eastAsia="方正仿宋_GB2312" w:cs="方正仿宋_GB2312"/>
          <w:color w:val="000000" w:themeColor="text1"/>
          <w14:textFill>
            <w14:solidFill>
              <w14:schemeClr w14:val="tx1"/>
            </w14:solidFill>
          </w14:textFill>
        </w:rPr>
        <w:t>和</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东成</w:t>
      </w:r>
      <w:r>
        <w:rPr>
          <w:rFonts w:hint="eastAsia" w:ascii="方正仿宋_GB2312" w:hAnsi="方正仿宋_GB2312" w:eastAsia="方正仿宋_GB2312" w:cs="方正仿宋_GB2312"/>
          <w:color w:val="000000" w:themeColor="text1"/>
          <w14:textFill>
            <w14:solidFill>
              <w14:schemeClr w14:val="tx1"/>
            </w14:solidFill>
          </w14:textFill>
        </w:rPr>
        <w:t>镇，肉鸡规模养殖主要集中在沙湖镇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和</w:t>
      </w:r>
      <w:r>
        <w:rPr>
          <w:rFonts w:hint="eastAsia" w:ascii="方正仿宋_GB2312" w:hAnsi="方正仿宋_GB2312" w:eastAsia="方正仿宋_GB2312" w:cs="方正仿宋_GB2312"/>
          <w:color w:val="000000" w:themeColor="text1"/>
          <w14:textFill>
            <w14:solidFill>
              <w14:schemeClr w14:val="tx1"/>
            </w14:solidFill>
          </w14:textFill>
        </w:rPr>
        <w:t>良西镇</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从水系流域情况分析，</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畜禽养殖尤其是生猪养殖主要分布在珠江三角洲河流域范围内。</w:t>
      </w:r>
    </w:p>
    <w:p w14:paraId="09CED0A4">
      <w:pPr>
        <w:numPr>
          <w:ilvl w:val="0"/>
          <w:numId w:val="0"/>
        </w:numPr>
        <w:ind w:left="0" w:leftChars="0" w:firstLine="64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畜禽养殖污染防治现状</w:t>
      </w:r>
    </w:p>
    <w:p w14:paraId="5E26E8E3">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粪污是畜禽养殖主要的污染来源，由粪便、尿液、水及散落的饲料等组成，含有大量氮、磷、钾、铜、锌等元素和</w:t>
      </w:r>
      <w:r>
        <w:rPr>
          <w:rFonts w:hint="eastAsia" w:ascii="方正仿宋_GB2312" w:hAnsi="方正仿宋_GB2312" w:eastAsia="方正仿宋_GB2312" w:cs="方正仿宋_GB2312"/>
          <w:color w:val="000000" w:themeColor="text1"/>
          <w:lang w:eastAsia="zh-CN"/>
          <w14:textFill>
            <w14:solidFill>
              <w14:schemeClr w14:val="tx1"/>
            </w14:solidFill>
          </w14:textFill>
        </w:rPr>
        <w:t>致病性微生物</w:t>
      </w:r>
      <w:r>
        <w:rPr>
          <w:rFonts w:hint="eastAsia" w:ascii="方正仿宋_GB2312" w:hAnsi="方正仿宋_GB2312" w:eastAsia="方正仿宋_GB2312" w:cs="方正仿宋_GB2312"/>
          <w:color w:val="000000" w:themeColor="text1"/>
          <w14:textFill>
            <w14:solidFill>
              <w14:schemeClr w14:val="tx1"/>
            </w14:solidFill>
          </w14:textFill>
        </w:rPr>
        <w:t>、寄生虫等，如果未经有效处理或处理不当，不仅会导致水体富营养化，还会破坏土壤生产能力，影响农作物生长效果。</w:t>
      </w:r>
    </w:p>
    <w:p w14:paraId="15C126FB">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从总体上看，</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畜禽养殖主要为生猪和肉鸡，肉鸡养殖采用干清粪工艺，生猪养殖主要采用干清粪工艺，少部分采用水冲粪、水泡粪工艺，粪污去向</w:t>
      </w:r>
      <w:r>
        <w:rPr>
          <w:rFonts w:hint="eastAsia" w:ascii="方正仿宋_GB2312" w:hAnsi="方正仿宋_GB2312" w:eastAsia="方正仿宋_GB2312" w:cs="方正仿宋_GB2312"/>
          <w:color w:val="000000" w:themeColor="text1"/>
          <w:lang w:eastAsia="zh-CN"/>
          <w14:textFill>
            <w14:solidFill>
              <w14:schemeClr w14:val="tx1"/>
            </w14:solidFill>
          </w14:textFill>
        </w:rPr>
        <w:t>为农林还田为主</w:t>
      </w:r>
      <w:r>
        <w:rPr>
          <w:rFonts w:hint="eastAsia" w:ascii="方正仿宋_GB2312" w:hAnsi="方正仿宋_GB2312" w:eastAsia="方正仿宋_GB2312" w:cs="方正仿宋_GB2312"/>
          <w:color w:val="000000" w:themeColor="text1"/>
          <w14:textFill>
            <w14:solidFill>
              <w14:schemeClr w14:val="tx1"/>
            </w14:solidFill>
          </w14:textFill>
        </w:rPr>
        <w:t>。</w:t>
      </w:r>
    </w:p>
    <w:p w14:paraId="2E012ED8">
      <w:pPr>
        <w:numPr>
          <w:ilvl w:val="0"/>
          <w:numId w:val="0"/>
        </w:numPr>
        <w:ind w:left="0" w:leftChars="0" w:firstLine="64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5.</w:t>
      </w:r>
      <w:r>
        <w:rPr>
          <w:rFonts w:hint="eastAsia" w:ascii="方正仿宋_GB2312" w:hAnsi="方正仿宋_GB2312" w:eastAsia="方正仿宋_GB2312" w:cs="方正仿宋_GB2312"/>
          <w:color w:val="000000" w:themeColor="text1"/>
          <w14:textFill>
            <w14:solidFill>
              <w14:schemeClr w14:val="tx1"/>
            </w14:solidFill>
          </w14:textFill>
        </w:rPr>
        <w:t>种养结合现状</w:t>
      </w:r>
    </w:p>
    <w:p w14:paraId="7E6EEF21">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近年来，</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通过开展种养循环实践等措施，积极探索推进种养结合，通过有机肥商品化推动畜禽粪污资源化利用，并取得一定的成效，加快畜禽粪污循环利用，</w:t>
      </w:r>
      <w:r>
        <w:rPr>
          <w:rFonts w:hint="eastAsia" w:ascii="方正仿宋_GB2312" w:hAnsi="方正仿宋_GB2312" w:eastAsia="方正仿宋_GB2312" w:cs="方正仿宋_GB2312"/>
          <w:color w:val="000000" w:themeColor="text1"/>
          <w:szCs w:val="24"/>
          <w14:textFill>
            <w14:solidFill>
              <w14:schemeClr w14:val="tx1"/>
            </w14:solidFill>
          </w14:textFill>
        </w:rPr>
        <w:t>根据</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szCs w:val="24"/>
          <w14:textFill>
            <w14:solidFill>
              <w14:schemeClr w14:val="tx1"/>
            </w14:solidFill>
          </w14:textFill>
        </w:rPr>
        <w:t>农业农村局提供资料，</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szCs w:val="24"/>
          <w14:textFill>
            <w14:solidFill>
              <w14:schemeClr w14:val="tx1"/>
            </w14:solidFill>
          </w14:textFill>
        </w:rPr>
        <w:t>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年规模养殖场粪污综合利用率为</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81.03</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szCs w:val="24"/>
          <w14:textFill>
            <w14:solidFill>
              <w14:schemeClr w14:val="tx1"/>
            </w14:solidFill>
          </w14:textFill>
        </w:rPr>
        <w:t>。</w:t>
      </w:r>
    </w:p>
    <w:p w14:paraId="00D8BCF4">
      <w:pPr>
        <w:numPr>
          <w:ilvl w:val="0"/>
          <w:numId w:val="0"/>
        </w:numPr>
        <w:ind w:left="0" w:leftChars="0" w:firstLine="64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畜禽养殖禁养区划定现状</w:t>
      </w:r>
    </w:p>
    <w:p w14:paraId="15D588C7">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《恩平市人民政府关于划定畜禽养殖禁养区的通告》（恩府告〔2025〕223号）</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人民政府对行政区域内畜禽养殖禁养区进行了划定，依法依规将饮用水水源保护区、自然保护区、城镇居民区和文化教育科学研究区、法律法规规定应当划定的区域等划入</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畜禽养殖禁养区。</w:t>
      </w:r>
    </w:p>
    <w:p w14:paraId="5C512B70">
      <w:pPr>
        <w:numPr>
          <w:ilvl w:val="0"/>
          <w:numId w:val="0"/>
        </w:numPr>
        <w:tabs>
          <w:tab w:val="left" w:pos="709"/>
        </w:tabs>
        <w:spacing w:beforeLines="50" w:afterLines="50"/>
        <w:ind w:left="0" w:leftChars="0" w:firstLine="640" w:firstLineChars="200"/>
        <w:outlineLvl w:val="9"/>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.1</w:t>
      </w:r>
      <w:bookmarkStart w:id="20" w:name="_Toc13032"/>
      <w:r>
        <w:rPr>
          <w:rFonts w:hint="eastAsia" w:ascii="方正仿宋_GB2312" w:hAnsi="方正仿宋_GB2312" w:eastAsia="方正仿宋_GB2312" w:cs="方正仿宋_GB2312"/>
          <w:sz w:val="30"/>
          <w:szCs w:val="30"/>
        </w:rPr>
        <w:t>人口集中区</w:t>
      </w:r>
      <w:bookmarkEnd w:id="20"/>
    </w:p>
    <w:p w14:paraId="31C1B862">
      <w:pPr>
        <w:ind w:firstLine="600"/>
        <w:outlineLvl w:val="9"/>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sz w:val="30"/>
          <w:szCs w:val="30"/>
        </w:rPr>
        <w:t>主要包括恩平市中心城区建成区（恩城街道办辖下居委会）、其他建制镇建成区（辖下居委会）、文教科研区、医疗区。其中恩平市中心城区建成区主要指：恩平市中心城区建成区范围。其他10个镇的镇圩情况如下：</w:t>
      </w:r>
    </w:p>
    <w:p w14:paraId="361C4E80">
      <w:pPr>
        <w:ind w:firstLine="600"/>
        <w:jc w:val="center"/>
        <w:outlineLvl w:val="9"/>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7</w:t>
      </w:r>
      <w:r>
        <w:rPr>
          <w:rFonts w:hint="eastAsia" w:ascii="方正仿宋_GB2312" w:hAnsi="方正仿宋_GB2312" w:eastAsia="方正仿宋_GB2312" w:cs="方正仿宋_GB2312"/>
          <w:b w:val="0"/>
          <w:bCs/>
          <w:sz w:val="32"/>
          <w:szCs w:val="32"/>
        </w:rPr>
        <w:t xml:space="preserve">  恩平市镇街建成区一览表</w:t>
      </w:r>
    </w:p>
    <w:tbl>
      <w:tblPr>
        <w:tblStyle w:val="22"/>
        <w:tblW w:w="10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896"/>
        <w:gridCol w:w="896"/>
        <w:gridCol w:w="896"/>
        <w:gridCol w:w="896"/>
        <w:gridCol w:w="896"/>
        <w:gridCol w:w="896"/>
        <w:gridCol w:w="896"/>
        <w:gridCol w:w="896"/>
        <w:gridCol w:w="676"/>
        <w:gridCol w:w="676"/>
        <w:gridCol w:w="676"/>
        <w:gridCol w:w="768"/>
      </w:tblGrid>
      <w:tr w14:paraId="4C2F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42" w:type="dxa"/>
            <w:vAlign w:val="center"/>
          </w:tcPr>
          <w:p w14:paraId="6AAC506C">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镇街</w:t>
            </w:r>
          </w:p>
        </w:tc>
        <w:tc>
          <w:tcPr>
            <w:tcW w:w="896" w:type="dxa"/>
            <w:vAlign w:val="center"/>
          </w:tcPr>
          <w:p w14:paraId="35015D1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中心城区</w:t>
            </w:r>
          </w:p>
        </w:tc>
        <w:tc>
          <w:tcPr>
            <w:tcW w:w="896" w:type="dxa"/>
            <w:vAlign w:val="center"/>
          </w:tcPr>
          <w:p w14:paraId="5BF4E4A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沙湖镇</w:t>
            </w:r>
          </w:p>
        </w:tc>
        <w:tc>
          <w:tcPr>
            <w:tcW w:w="896" w:type="dxa"/>
            <w:vAlign w:val="center"/>
          </w:tcPr>
          <w:p w14:paraId="25BC4B4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牛江镇</w:t>
            </w:r>
          </w:p>
        </w:tc>
        <w:tc>
          <w:tcPr>
            <w:tcW w:w="896" w:type="dxa"/>
            <w:vAlign w:val="center"/>
          </w:tcPr>
          <w:p w14:paraId="1DD0DB60">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君堂镇</w:t>
            </w:r>
          </w:p>
        </w:tc>
        <w:tc>
          <w:tcPr>
            <w:tcW w:w="896" w:type="dxa"/>
            <w:vAlign w:val="center"/>
          </w:tcPr>
          <w:p w14:paraId="7A385520">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圣堂镇</w:t>
            </w:r>
          </w:p>
        </w:tc>
        <w:tc>
          <w:tcPr>
            <w:tcW w:w="896" w:type="dxa"/>
            <w:vAlign w:val="center"/>
          </w:tcPr>
          <w:p w14:paraId="64FCD3C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良西镇</w:t>
            </w:r>
          </w:p>
        </w:tc>
        <w:tc>
          <w:tcPr>
            <w:tcW w:w="896" w:type="dxa"/>
            <w:vAlign w:val="center"/>
          </w:tcPr>
          <w:p w14:paraId="6DAF9EEC">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东成镇</w:t>
            </w:r>
          </w:p>
        </w:tc>
        <w:tc>
          <w:tcPr>
            <w:tcW w:w="896" w:type="dxa"/>
            <w:vAlign w:val="center"/>
          </w:tcPr>
          <w:p w14:paraId="34501A6B">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大田镇</w:t>
            </w:r>
          </w:p>
        </w:tc>
        <w:tc>
          <w:tcPr>
            <w:tcW w:w="676" w:type="dxa"/>
            <w:vAlign w:val="center"/>
          </w:tcPr>
          <w:p w14:paraId="535CFC9D">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横陂镇</w:t>
            </w:r>
          </w:p>
        </w:tc>
        <w:tc>
          <w:tcPr>
            <w:tcW w:w="676" w:type="dxa"/>
            <w:vAlign w:val="center"/>
          </w:tcPr>
          <w:p w14:paraId="0B6030A0">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大槐镇</w:t>
            </w:r>
          </w:p>
        </w:tc>
        <w:tc>
          <w:tcPr>
            <w:tcW w:w="676" w:type="dxa"/>
            <w:vAlign w:val="center"/>
          </w:tcPr>
          <w:p w14:paraId="1157AF8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那吉镇</w:t>
            </w:r>
          </w:p>
        </w:tc>
        <w:tc>
          <w:tcPr>
            <w:tcW w:w="768" w:type="dxa"/>
            <w:vAlign w:val="center"/>
          </w:tcPr>
          <w:p w14:paraId="2D2DFB1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合计</w:t>
            </w:r>
          </w:p>
        </w:tc>
      </w:tr>
      <w:tr w14:paraId="69D4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2" w:type="dxa"/>
            <w:vAlign w:val="center"/>
          </w:tcPr>
          <w:p w14:paraId="0E124624">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rPr>
              <w:t>建成区面积（平方千米）</w:t>
            </w:r>
          </w:p>
        </w:tc>
        <w:tc>
          <w:tcPr>
            <w:tcW w:w="896" w:type="dxa"/>
            <w:vAlign w:val="center"/>
          </w:tcPr>
          <w:p w14:paraId="0E092616">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lang w:val="en-US" w:eastAsia="zh-CN"/>
              </w:rPr>
            </w:pPr>
            <w:r>
              <w:rPr>
                <w:rFonts w:hint="eastAsia" w:ascii="方正仿宋_GB2312" w:hAnsi="方正仿宋_GB2312" w:eastAsia="方正仿宋_GB2312" w:cs="方正仿宋_GB2312"/>
                <w:color w:val="000000"/>
                <w:kern w:val="0"/>
                <w:sz w:val="24"/>
                <w:szCs w:val="24"/>
                <w:lang w:val="en-US" w:eastAsia="zh-CN" w:bidi="ar"/>
              </w:rPr>
              <w:t>33.8</w:t>
            </w:r>
          </w:p>
        </w:tc>
        <w:tc>
          <w:tcPr>
            <w:tcW w:w="896" w:type="dxa"/>
            <w:vAlign w:val="center"/>
          </w:tcPr>
          <w:p w14:paraId="61A4480A">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4.44</w:t>
            </w:r>
          </w:p>
        </w:tc>
        <w:tc>
          <w:tcPr>
            <w:tcW w:w="896" w:type="dxa"/>
            <w:vAlign w:val="center"/>
          </w:tcPr>
          <w:p w14:paraId="750DD708">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1.61</w:t>
            </w:r>
          </w:p>
        </w:tc>
        <w:tc>
          <w:tcPr>
            <w:tcW w:w="896" w:type="dxa"/>
            <w:vAlign w:val="center"/>
          </w:tcPr>
          <w:p w14:paraId="3FD9CD1B">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1.61</w:t>
            </w:r>
          </w:p>
        </w:tc>
        <w:tc>
          <w:tcPr>
            <w:tcW w:w="896" w:type="dxa"/>
            <w:vAlign w:val="center"/>
          </w:tcPr>
          <w:p w14:paraId="483F2B42">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6.84</w:t>
            </w:r>
          </w:p>
        </w:tc>
        <w:tc>
          <w:tcPr>
            <w:tcW w:w="896" w:type="dxa"/>
            <w:vAlign w:val="center"/>
          </w:tcPr>
          <w:p w14:paraId="43FC3CEB">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5.78</w:t>
            </w:r>
          </w:p>
        </w:tc>
        <w:tc>
          <w:tcPr>
            <w:tcW w:w="896" w:type="dxa"/>
            <w:vAlign w:val="center"/>
          </w:tcPr>
          <w:p w14:paraId="563D701B">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4.72</w:t>
            </w:r>
          </w:p>
        </w:tc>
        <w:tc>
          <w:tcPr>
            <w:tcW w:w="896" w:type="dxa"/>
            <w:vAlign w:val="center"/>
          </w:tcPr>
          <w:p w14:paraId="4B104558">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2.60</w:t>
            </w:r>
          </w:p>
        </w:tc>
        <w:tc>
          <w:tcPr>
            <w:tcW w:w="676" w:type="dxa"/>
            <w:vAlign w:val="center"/>
          </w:tcPr>
          <w:p w14:paraId="0C061229">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2.32</w:t>
            </w:r>
          </w:p>
        </w:tc>
        <w:tc>
          <w:tcPr>
            <w:tcW w:w="676" w:type="dxa"/>
            <w:vAlign w:val="center"/>
          </w:tcPr>
          <w:p w14:paraId="309F404B">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1.87</w:t>
            </w:r>
          </w:p>
        </w:tc>
        <w:tc>
          <w:tcPr>
            <w:tcW w:w="676" w:type="dxa"/>
            <w:vAlign w:val="center"/>
          </w:tcPr>
          <w:p w14:paraId="3FC8AACB">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rPr>
            </w:pPr>
            <w:r>
              <w:rPr>
                <w:rFonts w:hint="eastAsia" w:ascii="方正仿宋_GB2312" w:hAnsi="方正仿宋_GB2312" w:eastAsia="方正仿宋_GB2312" w:cs="方正仿宋_GB2312"/>
                <w:color w:val="000000"/>
                <w:kern w:val="0"/>
                <w:sz w:val="24"/>
                <w:szCs w:val="24"/>
                <w:lang w:bidi="ar"/>
              </w:rPr>
              <w:t>0.66</w:t>
            </w:r>
          </w:p>
        </w:tc>
        <w:tc>
          <w:tcPr>
            <w:tcW w:w="768" w:type="dxa"/>
            <w:vAlign w:val="center"/>
          </w:tcPr>
          <w:p w14:paraId="5B447302">
            <w:pPr>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kern w:val="0"/>
                <w:sz w:val="24"/>
                <w:szCs w:val="24"/>
                <w:lang w:val="en-US" w:eastAsia="zh-CN"/>
              </w:rPr>
            </w:pPr>
            <w:r>
              <w:rPr>
                <w:rFonts w:hint="eastAsia" w:ascii="方正仿宋_GB2312" w:hAnsi="方正仿宋_GB2312" w:eastAsia="方正仿宋_GB2312" w:cs="方正仿宋_GB2312"/>
                <w:color w:val="000000"/>
                <w:kern w:val="0"/>
                <w:sz w:val="24"/>
                <w:szCs w:val="24"/>
                <w:lang w:val="en-US" w:eastAsia="zh-CN"/>
              </w:rPr>
              <w:t>66.25</w:t>
            </w:r>
          </w:p>
        </w:tc>
      </w:tr>
    </w:tbl>
    <w:p w14:paraId="5AAD9F7D">
      <w:pPr>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 xml:space="preserve"> </w:t>
      </w:r>
    </w:p>
    <w:p w14:paraId="7D34717D">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6.2</w:t>
      </w:r>
      <w:r>
        <w:rPr>
          <w:rFonts w:hint="eastAsia" w:ascii="方正仿宋_GB2312" w:hAnsi="方正仿宋_GB2312" w:eastAsia="方正仿宋_GB2312" w:cs="方正仿宋_GB2312"/>
          <w:color w:val="000000" w:themeColor="text1"/>
          <w14:textFill>
            <w14:solidFill>
              <w14:schemeClr w14:val="tx1"/>
            </w14:solidFill>
          </w14:textFill>
        </w:rPr>
        <w:t>饮用水源保护区</w:t>
      </w:r>
    </w:p>
    <w:p w14:paraId="1895CEB2">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目前恩平市共有县级饮用水源保护区3个，镇级饮用水源保护区4个，其中一级保护区面积20.98平方公里，二级保护区面积91.188平方公里，合计112.16平方公里，本次禁养区调整全部纳入禁养区范围。</w:t>
      </w:r>
    </w:p>
    <w:p w14:paraId="6809C1C2">
      <w:pPr>
        <w:keepNext/>
        <w:jc w:val="center"/>
        <w:outlineLvl w:val="9"/>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8</w:t>
      </w:r>
      <w:r>
        <w:rPr>
          <w:rFonts w:hint="eastAsia" w:ascii="方正仿宋_GB2312" w:hAnsi="方正仿宋_GB2312" w:eastAsia="方正仿宋_GB2312" w:cs="方正仿宋_GB2312"/>
          <w:b w:val="0"/>
          <w:bCs/>
          <w:sz w:val="32"/>
          <w:szCs w:val="32"/>
        </w:rPr>
        <w:t xml:space="preserve">  恩平市饮用水源保护区一览表</w:t>
      </w:r>
    </w:p>
    <w:tbl>
      <w:tblPr>
        <w:tblStyle w:val="21"/>
        <w:tblW w:w="9131" w:type="dxa"/>
        <w:jc w:val="center"/>
        <w:tblLayout w:type="autofit"/>
        <w:tblCellMar>
          <w:top w:w="0" w:type="dxa"/>
          <w:left w:w="0" w:type="dxa"/>
          <w:bottom w:w="0" w:type="dxa"/>
          <w:right w:w="0" w:type="dxa"/>
        </w:tblCellMar>
      </w:tblPr>
      <w:tblGrid>
        <w:gridCol w:w="900"/>
        <w:gridCol w:w="1340"/>
        <w:gridCol w:w="730"/>
        <w:gridCol w:w="840"/>
        <w:gridCol w:w="2321"/>
        <w:gridCol w:w="3000"/>
      </w:tblGrid>
      <w:tr w14:paraId="4A4328FD">
        <w:tblPrEx>
          <w:tblCellMar>
            <w:top w:w="0" w:type="dxa"/>
            <w:left w:w="0" w:type="dxa"/>
            <w:bottom w:w="0" w:type="dxa"/>
            <w:right w:w="0" w:type="dxa"/>
          </w:tblCellMar>
        </w:tblPrEx>
        <w:trPr>
          <w:trHeight w:val="0" w:hRule="atLeast"/>
          <w:tblHeader/>
          <w:jc w:val="center"/>
        </w:trPr>
        <w:tc>
          <w:tcPr>
            <w:tcW w:w="9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F40DB23">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保护区所在地</w:t>
            </w:r>
          </w:p>
        </w:tc>
        <w:tc>
          <w:tcPr>
            <w:tcW w:w="13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AEC5E1B">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保护区名称</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599247AC">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保护区级别</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5DAA249">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水质保护目标</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6E57FD3">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水域保护范围</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5CB7B15">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color w:val="000000"/>
                <w:sz w:val="24"/>
                <w:szCs w:val="24"/>
              </w:rPr>
            </w:pPr>
            <w:r>
              <w:rPr>
                <w:rFonts w:hint="eastAsia" w:ascii="方正仿宋_GB2312" w:hAnsi="方正仿宋_GB2312" w:eastAsia="方正仿宋_GB2312" w:cs="方正仿宋_GB2312"/>
                <w:b/>
                <w:color w:val="000000"/>
                <w:kern w:val="0"/>
                <w:sz w:val="24"/>
                <w:szCs w:val="24"/>
              </w:rPr>
              <w:t>陆域保护范围</w:t>
            </w:r>
          </w:p>
        </w:tc>
      </w:tr>
      <w:tr w14:paraId="22C08476">
        <w:tblPrEx>
          <w:tblCellMar>
            <w:top w:w="0" w:type="dxa"/>
            <w:left w:w="0" w:type="dxa"/>
            <w:bottom w:w="0" w:type="dxa"/>
            <w:right w:w="0" w:type="dxa"/>
          </w:tblCellMar>
        </w:tblPrEx>
        <w:trPr>
          <w:trHeight w:val="0" w:hRule="atLeast"/>
          <w:jc w:val="center"/>
        </w:trPr>
        <w:tc>
          <w:tcPr>
            <w:tcW w:w="9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0C0911B1">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恩平市</w:t>
            </w:r>
          </w:p>
        </w:tc>
        <w:tc>
          <w:tcPr>
            <w:tcW w:w="13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0E3A0145">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恩平市饮用水源一级保护区</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3C08B462">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一级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5C7D4DA">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3923586D">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恩平市吸水点下游300米起至河排干渠上游水占陂的水域；凤子山水库水域。</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0C2C191">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相应一级保护区水域两岸河堤外坡脚向外纵深30米陆域范围；凤子山水库沿岸河堤外坡脚向外纵深200米水域范围。</w:t>
            </w:r>
          </w:p>
        </w:tc>
      </w:tr>
      <w:tr w14:paraId="26C5CD04">
        <w:tblPrEx>
          <w:tblCellMar>
            <w:top w:w="0" w:type="dxa"/>
            <w:left w:w="0" w:type="dxa"/>
            <w:bottom w:w="0" w:type="dxa"/>
            <w:right w:w="0" w:type="dxa"/>
          </w:tblCellMar>
        </w:tblPrEx>
        <w:trPr>
          <w:trHeight w:val="0" w:hRule="atLeast"/>
          <w:jc w:val="center"/>
        </w:trPr>
        <w:tc>
          <w:tcPr>
            <w:tcW w:w="9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F38E50E">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恩平市</w:t>
            </w:r>
          </w:p>
        </w:tc>
        <w:tc>
          <w:tcPr>
            <w:tcW w:w="13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6450A89">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恩平市饮用水源二级保护区</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2EC45DE">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二级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C388983">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8139136">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锦江水库水域；河排干渠明渠输水道两岸坡脚向外纵深200米水域。</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46D864C">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锦江水库沿岸河堤外坡脚向外纵深200米陆域范围；凤子山水库周边2公里陆地范围；河排干渠明渠输水道两岸坡脚向外纵深200米陆域范围。</w:t>
            </w:r>
          </w:p>
        </w:tc>
      </w:tr>
      <w:tr w14:paraId="7DC9EE4F">
        <w:tblPrEx>
          <w:tblCellMar>
            <w:top w:w="0" w:type="dxa"/>
            <w:left w:w="0" w:type="dxa"/>
            <w:bottom w:w="0" w:type="dxa"/>
            <w:right w:w="0" w:type="dxa"/>
          </w:tblCellMar>
        </w:tblPrEx>
        <w:trPr>
          <w:trHeight w:val="0" w:hRule="atLeast"/>
          <w:jc w:val="center"/>
        </w:trPr>
        <w:tc>
          <w:tcPr>
            <w:tcW w:w="90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7CA1D12">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牛江镇</w:t>
            </w:r>
          </w:p>
        </w:tc>
        <w:tc>
          <w:tcPr>
            <w:tcW w:w="134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0C68994">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西坑水库饮用水源保护区</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AC7EABE">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一级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41DCD6F">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AEF20A7">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水库取水口半径300米范围内的水域。</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5F3F8A3">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取水口侧正常水位线（高程62米）以上200米范围内的陆域。</w:t>
            </w:r>
          </w:p>
        </w:tc>
      </w:tr>
      <w:tr w14:paraId="71D5E77E">
        <w:tblPrEx>
          <w:tblCellMar>
            <w:top w:w="0" w:type="dxa"/>
            <w:left w:w="0" w:type="dxa"/>
            <w:bottom w:w="0" w:type="dxa"/>
            <w:right w:w="0" w:type="dxa"/>
          </w:tblCellMar>
        </w:tblPrEx>
        <w:trPr>
          <w:trHeight w:val="0" w:hRule="atLeast"/>
          <w:jc w:val="center"/>
        </w:trPr>
        <w:tc>
          <w:tcPr>
            <w:tcW w:w="900" w:type="dxa"/>
            <w:vMerge w:val="continue"/>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76FEED0">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color w:val="000000"/>
                <w:sz w:val="24"/>
                <w:szCs w:val="24"/>
              </w:rPr>
            </w:pPr>
          </w:p>
        </w:tc>
        <w:tc>
          <w:tcPr>
            <w:tcW w:w="1340" w:type="dxa"/>
            <w:vMerge w:val="continue"/>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E46C820">
            <w:pPr>
              <w:keepNext/>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color w:val="000000"/>
                <w:sz w:val="24"/>
                <w:szCs w:val="24"/>
              </w:rPr>
            </w:pP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CCC7D91">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二级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276B92A">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C338AB8">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水库除一级保护区水域以外的其他水域，以及入库河流上溯3000米水域。</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80B2073">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水库集雨区除一级水源保护区陆域以外的其他陆域。</w:t>
            </w:r>
          </w:p>
        </w:tc>
      </w:tr>
      <w:tr w14:paraId="0A147BB9">
        <w:tblPrEx>
          <w:tblCellMar>
            <w:top w:w="0" w:type="dxa"/>
            <w:left w:w="0" w:type="dxa"/>
            <w:bottom w:w="0" w:type="dxa"/>
            <w:right w:w="0" w:type="dxa"/>
          </w:tblCellMar>
        </w:tblPrEx>
        <w:trPr>
          <w:trHeight w:val="0" w:hRule="atLeast"/>
          <w:jc w:val="center"/>
        </w:trPr>
        <w:tc>
          <w:tcPr>
            <w:tcW w:w="90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687A6B0">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那吉镇</w:t>
            </w:r>
          </w:p>
        </w:tc>
        <w:tc>
          <w:tcPr>
            <w:tcW w:w="134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306BBDF7">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牛仔岭水库饮用水源保护区</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F46A500">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一级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80E4699">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71CD3532">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水库正常水位线（高程90米）以下的全部水域范围。</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C19AC76">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水库相应一级保护区水域向陆域纵深200米范围内陆域，但不超过流域分水岭范围。</w:t>
            </w:r>
          </w:p>
        </w:tc>
      </w:tr>
      <w:tr w14:paraId="1BC24D21">
        <w:tblPrEx>
          <w:tblCellMar>
            <w:top w:w="0" w:type="dxa"/>
            <w:left w:w="0" w:type="dxa"/>
            <w:bottom w:w="0" w:type="dxa"/>
            <w:right w:w="0" w:type="dxa"/>
          </w:tblCellMar>
        </w:tblPrEx>
        <w:trPr>
          <w:trHeight w:val="0" w:hRule="atLeast"/>
          <w:jc w:val="center"/>
        </w:trPr>
        <w:tc>
          <w:tcPr>
            <w:tcW w:w="900" w:type="dxa"/>
            <w:vMerge w:val="continue"/>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0530A2E3">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color w:val="000000"/>
                <w:sz w:val="24"/>
                <w:szCs w:val="24"/>
              </w:rPr>
            </w:pPr>
          </w:p>
        </w:tc>
        <w:tc>
          <w:tcPr>
            <w:tcW w:w="1340" w:type="dxa"/>
            <w:vMerge w:val="continue"/>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14738DD">
            <w:pPr>
              <w:keepNext/>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color w:val="000000"/>
                <w:sz w:val="24"/>
                <w:szCs w:val="24"/>
              </w:rPr>
            </w:pP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82F711F">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二级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5AA7B095">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172471EB">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水库除一级保护区水域外的其他水域。</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26286F8">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水库集雨区除一级水源保护区陆域以外的其他陆域。</w:t>
            </w:r>
          </w:p>
        </w:tc>
      </w:tr>
      <w:tr w14:paraId="19441172">
        <w:tblPrEx>
          <w:tblCellMar>
            <w:top w:w="0" w:type="dxa"/>
            <w:left w:w="0" w:type="dxa"/>
            <w:bottom w:w="0" w:type="dxa"/>
            <w:right w:w="0" w:type="dxa"/>
          </w:tblCellMar>
        </w:tblPrEx>
        <w:trPr>
          <w:trHeight w:val="0" w:hRule="atLeast"/>
          <w:jc w:val="center"/>
        </w:trPr>
        <w:tc>
          <w:tcPr>
            <w:tcW w:w="90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1828CFD">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横陂镇</w:t>
            </w:r>
          </w:p>
        </w:tc>
        <w:tc>
          <w:tcPr>
            <w:tcW w:w="1340" w:type="dxa"/>
            <w:vMerge w:val="restart"/>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575D0336">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南宅水库饮用水源保护区</w:t>
            </w:r>
          </w:p>
        </w:tc>
        <w:tc>
          <w:tcPr>
            <w:tcW w:w="73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27EAD413">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一级</w:t>
            </w:r>
          </w:p>
        </w:tc>
        <w:tc>
          <w:tcPr>
            <w:tcW w:w="84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078CF8B6">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3FC6934E">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水库正常水位线（高程20米）以下的全部水域范围。</w:t>
            </w:r>
          </w:p>
        </w:tc>
        <w:tc>
          <w:tcPr>
            <w:tcW w:w="3000" w:type="dxa"/>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6D193FE4">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水库相应一级保护区水域向陆域纵深200米范围内陆域，但不超过流域分水岭范围。</w:t>
            </w:r>
          </w:p>
        </w:tc>
      </w:tr>
      <w:tr w14:paraId="508570F6">
        <w:tblPrEx>
          <w:tblCellMar>
            <w:top w:w="0" w:type="dxa"/>
            <w:left w:w="0" w:type="dxa"/>
            <w:bottom w:w="0" w:type="dxa"/>
            <w:right w:w="0" w:type="dxa"/>
          </w:tblCellMar>
        </w:tblPrEx>
        <w:trPr>
          <w:trHeight w:val="0" w:hRule="atLeast"/>
          <w:jc w:val="center"/>
        </w:trPr>
        <w:tc>
          <w:tcPr>
            <w:tcW w:w="900" w:type="dxa"/>
            <w:vMerge w:val="continue"/>
            <w:tcBorders>
              <w:top w:val="single" w:color="505050" w:sz="4" w:space="0"/>
              <w:left w:val="single" w:color="505050" w:sz="4" w:space="0"/>
              <w:bottom w:val="single" w:color="505050" w:sz="4" w:space="0"/>
              <w:right w:val="single" w:color="505050" w:sz="4" w:space="0"/>
            </w:tcBorders>
            <w:shd w:val="clear" w:color="auto" w:fill="auto"/>
            <w:tcMar>
              <w:top w:w="15" w:type="dxa"/>
              <w:left w:w="15" w:type="dxa"/>
              <w:right w:w="15" w:type="dxa"/>
            </w:tcMar>
            <w:vAlign w:val="center"/>
          </w:tcPr>
          <w:p w14:paraId="46ECF265">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color w:val="000000"/>
                <w:sz w:val="24"/>
                <w:szCs w:val="24"/>
              </w:rPr>
            </w:pPr>
          </w:p>
        </w:tc>
        <w:tc>
          <w:tcPr>
            <w:tcW w:w="1340" w:type="dxa"/>
            <w:vMerge w:val="continue"/>
            <w:tcBorders>
              <w:top w:val="single" w:color="505050"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702ED700">
            <w:pPr>
              <w:keepNext/>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color w:val="000000"/>
                <w:sz w:val="24"/>
                <w:szCs w:val="24"/>
              </w:rPr>
            </w:pPr>
          </w:p>
        </w:tc>
        <w:tc>
          <w:tcPr>
            <w:tcW w:w="730" w:type="dxa"/>
            <w:tcBorders>
              <w:top w:val="single" w:color="505050"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24061DA7">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二级</w:t>
            </w:r>
          </w:p>
        </w:tc>
        <w:tc>
          <w:tcPr>
            <w:tcW w:w="840" w:type="dxa"/>
            <w:tcBorders>
              <w:top w:val="single" w:color="505050"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65886973">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505050"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02CFD812">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水库除一级保护区水域外的其他水域。</w:t>
            </w:r>
          </w:p>
        </w:tc>
        <w:tc>
          <w:tcPr>
            <w:tcW w:w="3000" w:type="dxa"/>
            <w:tcBorders>
              <w:top w:val="single" w:color="505050"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797BB37C">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水库集雨区除一级水源保护区陆域以外的其他陆域。</w:t>
            </w:r>
          </w:p>
        </w:tc>
      </w:tr>
      <w:tr w14:paraId="31CB0F06">
        <w:tblPrEx>
          <w:tblCellMar>
            <w:top w:w="0" w:type="dxa"/>
            <w:left w:w="0" w:type="dxa"/>
            <w:bottom w:w="0" w:type="dxa"/>
            <w:right w:w="0" w:type="dxa"/>
          </w:tblCellMar>
        </w:tblPrEx>
        <w:trPr>
          <w:trHeight w:val="0" w:hRule="atLeast"/>
          <w:jc w:val="center"/>
        </w:trPr>
        <w:tc>
          <w:tcPr>
            <w:tcW w:w="900" w:type="dxa"/>
            <w:tcBorders>
              <w:top w:val="single" w:color="505050" w:sz="4" w:space="0"/>
              <w:left w:val="single" w:color="505050" w:sz="4" w:space="0"/>
              <w:bottom w:val="single" w:color="505050" w:sz="4" w:space="0"/>
              <w:right w:val="single" w:color="auto" w:sz="4" w:space="0"/>
            </w:tcBorders>
            <w:shd w:val="clear" w:color="auto" w:fill="auto"/>
            <w:tcMar>
              <w:top w:w="15" w:type="dxa"/>
              <w:left w:w="15" w:type="dxa"/>
              <w:right w:w="15" w:type="dxa"/>
            </w:tcMar>
            <w:vAlign w:val="center"/>
          </w:tcPr>
          <w:p w14:paraId="6533980F">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大田镇</w:t>
            </w:r>
          </w:p>
        </w:tc>
        <w:tc>
          <w:tcPr>
            <w:tcW w:w="1340" w:type="dxa"/>
            <w:tcBorders>
              <w:top w:val="single" w:color="auto" w:sz="4" w:space="0"/>
              <w:left w:val="single" w:color="auto" w:sz="4" w:space="0"/>
              <w:bottom w:val="single" w:color="auto" w:sz="4" w:space="0"/>
              <w:right w:val="single" w:color="505050" w:sz="4" w:space="0"/>
            </w:tcBorders>
            <w:shd w:val="clear" w:color="auto" w:fill="auto"/>
            <w:tcMar>
              <w:top w:w="15" w:type="dxa"/>
              <w:left w:w="15" w:type="dxa"/>
              <w:right w:w="15" w:type="dxa"/>
            </w:tcMar>
            <w:vAlign w:val="center"/>
          </w:tcPr>
          <w:p w14:paraId="3D797542">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锦 江</w:t>
            </w:r>
          </w:p>
          <w:p w14:paraId="39F90623">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水 库</w:t>
            </w:r>
          </w:p>
          <w:p w14:paraId="71606A8B">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大 田</w:t>
            </w:r>
          </w:p>
          <w:p w14:paraId="6AD64D01">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镇 饮</w:t>
            </w:r>
          </w:p>
          <w:p w14:paraId="196FFDDE">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用 水</w:t>
            </w:r>
          </w:p>
          <w:p w14:paraId="61039B0D">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水 源</w:t>
            </w:r>
          </w:p>
          <w:p w14:paraId="68495DF2">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保 护</w:t>
            </w:r>
          </w:p>
          <w:p w14:paraId="0E6F579E">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区</w:t>
            </w:r>
          </w:p>
        </w:tc>
        <w:tc>
          <w:tcPr>
            <w:tcW w:w="730" w:type="dxa"/>
            <w:tcBorders>
              <w:top w:val="single" w:color="auto" w:sz="4" w:space="0"/>
              <w:left w:val="single" w:color="505050" w:sz="4" w:space="0"/>
              <w:bottom w:val="single" w:color="auto" w:sz="4" w:space="0"/>
              <w:right w:val="single" w:color="505050" w:sz="4" w:space="0"/>
            </w:tcBorders>
            <w:shd w:val="clear" w:color="auto" w:fill="auto"/>
            <w:tcMar>
              <w:top w:w="15" w:type="dxa"/>
              <w:left w:w="15" w:type="dxa"/>
              <w:right w:w="15" w:type="dxa"/>
            </w:tcMar>
            <w:vAlign w:val="center"/>
          </w:tcPr>
          <w:p w14:paraId="593C1C57">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rPr>
              <w:t>一级</w:t>
            </w:r>
          </w:p>
        </w:tc>
        <w:tc>
          <w:tcPr>
            <w:tcW w:w="840" w:type="dxa"/>
            <w:tcBorders>
              <w:top w:val="single" w:color="auto" w:sz="4" w:space="0"/>
              <w:left w:val="single" w:color="505050" w:sz="4" w:space="0"/>
              <w:bottom w:val="single" w:color="auto" w:sz="4" w:space="0"/>
              <w:right w:val="single" w:color="auto" w:sz="4" w:space="0"/>
            </w:tcBorders>
            <w:shd w:val="clear" w:color="auto" w:fill="auto"/>
            <w:tcMar>
              <w:top w:w="15" w:type="dxa"/>
              <w:left w:w="15" w:type="dxa"/>
              <w:right w:w="15" w:type="dxa"/>
            </w:tcMar>
            <w:vAlign w:val="center"/>
          </w:tcPr>
          <w:p w14:paraId="2377A787">
            <w:pPr>
              <w:keepNext/>
              <w:widowControl/>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kern w:val="0"/>
                <w:sz w:val="24"/>
                <w:szCs w:val="24"/>
                <w:lang w:eastAsia="zh-CN"/>
              </w:rPr>
              <w:t>Ⅱ</w:t>
            </w:r>
            <w:r>
              <w:rPr>
                <w:rFonts w:hint="eastAsia" w:ascii="方正仿宋_GB2312" w:hAnsi="方正仿宋_GB2312" w:eastAsia="方正仿宋_GB2312" w:cs="方正仿宋_GB2312"/>
                <w:color w:val="000000"/>
                <w:kern w:val="0"/>
                <w:sz w:val="24"/>
                <w:szCs w:val="24"/>
              </w:rPr>
              <w:t>类</w:t>
            </w:r>
          </w:p>
        </w:tc>
        <w:tc>
          <w:tcPr>
            <w:tcW w:w="232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D3FFC2">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取水口半径500米水库</w:t>
            </w:r>
          </w:p>
          <w:p w14:paraId="7905B6E7">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多年平均水位对应的</w:t>
            </w:r>
          </w:p>
          <w:p w14:paraId="078E3216">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高程线以下的水域范</w:t>
            </w:r>
          </w:p>
          <w:p w14:paraId="31BC54AD">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围。</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9242DB">
            <w:pPr>
              <w:keepNext/>
              <w:widowControl/>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一级保护区水域向陆</w:t>
            </w:r>
            <w:r>
              <w:rPr>
                <w:rFonts w:hint="eastAsia" w:ascii="方正仿宋_GB2312" w:hAnsi="方正仿宋_GB2312" w:eastAsia="方正仿宋_GB2312" w:cs="方正仿宋_GB2312"/>
                <w:color w:val="000000"/>
                <w:sz w:val="24"/>
                <w:szCs w:val="24"/>
                <w:lang w:eastAsia="zh-CN"/>
              </w:rPr>
              <w:t>纵深</w:t>
            </w:r>
            <w:r>
              <w:rPr>
                <w:rFonts w:hint="eastAsia" w:ascii="方正仿宋_GB2312" w:hAnsi="方正仿宋_GB2312" w:eastAsia="方正仿宋_GB2312" w:cs="方正仿宋_GB2312"/>
                <w:color w:val="000000"/>
                <w:sz w:val="24"/>
                <w:szCs w:val="24"/>
              </w:rPr>
              <w:t>至水库</w:t>
            </w:r>
            <w:r>
              <w:rPr>
                <w:rFonts w:hint="eastAsia" w:ascii="方正仿宋_GB2312" w:hAnsi="方正仿宋_GB2312" w:eastAsia="方正仿宋_GB2312" w:cs="方正仿宋_GB2312"/>
                <w:color w:val="000000"/>
                <w:sz w:val="24"/>
                <w:szCs w:val="24"/>
                <w:lang w:eastAsia="zh-CN"/>
              </w:rPr>
              <w:t>环湖</w:t>
            </w:r>
            <w:r>
              <w:rPr>
                <w:rFonts w:hint="eastAsia" w:ascii="方正仿宋_GB2312" w:hAnsi="方正仿宋_GB2312" w:eastAsia="方正仿宋_GB2312" w:cs="方正仿宋_GB2312"/>
                <w:color w:val="000000"/>
                <w:sz w:val="24"/>
                <w:szCs w:val="24"/>
              </w:rPr>
              <w:t>路临水侧路肩线的</w:t>
            </w:r>
            <w:r>
              <w:rPr>
                <w:rFonts w:hint="eastAsia" w:ascii="方正仿宋_GB2312" w:hAnsi="方正仿宋_GB2312" w:eastAsia="方正仿宋_GB2312" w:cs="方正仿宋_GB2312"/>
                <w:color w:val="000000"/>
                <w:sz w:val="24"/>
                <w:szCs w:val="24"/>
                <w:lang w:eastAsia="zh-CN"/>
              </w:rPr>
              <w:t>集水</w:t>
            </w:r>
            <w:r>
              <w:rPr>
                <w:rFonts w:hint="eastAsia" w:ascii="方正仿宋_GB2312" w:hAnsi="方正仿宋_GB2312" w:eastAsia="方正仿宋_GB2312" w:cs="方正仿宋_GB2312"/>
                <w:color w:val="000000"/>
                <w:sz w:val="24"/>
                <w:szCs w:val="24"/>
              </w:rPr>
              <w:t>范围（河排林场</w:t>
            </w:r>
            <w:r>
              <w:rPr>
                <w:rFonts w:hint="eastAsia" w:ascii="方正仿宋_GB2312" w:hAnsi="方正仿宋_GB2312" w:eastAsia="方正仿宋_GB2312" w:cs="方正仿宋_GB2312"/>
                <w:color w:val="000000"/>
                <w:sz w:val="24"/>
                <w:szCs w:val="24"/>
                <w:lang w:eastAsia="zh-CN"/>
              </w:rPr>
              <w:t>管理站</w:t>
            </w:r>
            <w:r>
              <w:rPr>
                <w:rFonts w:hint="eastAsia" w:ascii="方正仿宋_GB2312" w:hAnsi="方正仿宋_GB2312" w:eastAsia="方正仿宋_GB2312" w:cs="方正仿宋_GB2312"/>
                <w:color w:val="000000"/>
                <w:sz w:val="24"/>
                <w:szCs w:val="24"/>
              </w:rPr>
              <w:t>建筑红线除外）。</w:t>
            </w:r>
          </w:p>
        </w:tc>
      </w:tr>
    </w:tbl>
    <w:p w14:paraId="463A43AD">
      <w:pPr>
        <w:numPr>
          <w:ilvl w:val="0"/>
          <w:numId w:val="0"/>
        </w:numPr>
        <w:tabs>
          <w:tab w:val="left" w:pos="709"/>
        </w:tabs>
        <w:spacing w:beforeLines="50" w:afterLines="50"/>
        <w:ind w:left="0" w:leftChars="0" w:firstLine="0" w:firstLineChars="0"/>
        <w:outlineLvl w:val="9"/>
        <w:rPr>
          <w:rFonts w:hint="eastAsia" w:ascii="方正仿宋_GB2312" w:hAnsi="方正仿宋_GB2312" w:eastAsia="方正仿宋_GB2312" w:cs="方正仿宋_GB2312"/>
          <w:b/>
          <w:sz w:val="24"/>
          <w:lang w:val="zh-CN"/>
        </w:rPr>
      </w:pPr>
      <w:r>
        <w:rPr>
          <w:rFonts w:hint="eastAsia" w:ascii="方正仿宋_GB2312" w:hAnsi="方正仿宋_GB2312" w:eastAsia="方正仿宋_GB2312" w:cs="方正仿宋_GB2312"/>
          <w:b w:val="0"/>
          <w:bCs/>
          <w:i w:val="0"/>
          <w:kern w:val="2"/>
          <w:sz w:val="32"/>
          <w:szCs w:val="32"/>
          <w:u w:val="none"/>
          <w:lang w:val="en-US" w:eastAsia="zh-CN" w:bidi="ar-SA"/>
        </w:rPr>
        <w:t xml:space="preserve">    </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6.3</w:t>
      </w:r>
      <w:bookmarkStart w:id="21" w:name="_Toc26582"/>
      <w:r>
        <w:rPr>
          <w:rFonts w:hint="eastAsia" w:ascii="方正仿宋_GB2312" w:hAnsi="方正仿宋_GB2312" w:eastAsia="方正仿宋_GB2312" w:cs="方正仿宋_GB2312"/>
          <w:sz w:val="30"/>
          <w:szCs w:val="30"/>
          <w:lang w:val="en-US"/>
        </w:rPr>
        <w:t>重要水库</w:t>
      </w:r>
      <w:bookmarkEnd w:id="21"/>
      <w:r>
        <w:rPr>
          <w:rFonts w:hint="eastAsia" w:ascii="方正仿宋_GB2312" w:hAnsi="方正仿宋_GB2312" w:eastAsia="方正仿宋_GB2312" w:cs="方正仿宋_GB2312"/>
          <w:sz w:val="30"/>
          <w:szCs w:val="30"/>
        </w:rPr>
        <w:t xml:space="preserve">     </w:t>
      </w:r>
    </w:p>
    <w:p w14:paraId="3CE98533">
      <w:pPr>
        <w:ind w:firstLine="600" w:firstLineChars="200"/>
        <w:outlineLvl w:val="9"/>
        <w:rPr>
          <w:rFonts w:hint="eastAsia" w:ascii="方正仿宋_GB2312" w:hAnsi="方正仿宋_GB2312" w:eastAsia="方正仿宋_GB2312" w:cs="方正仿宋_GB2312"/>
          <w:b/>
          <w:sz w:val="24"/>
          <w:lang w:val="zh-CN"/>
        </w:rPr>
      </w:pPr>
      <w:r>
        <w:rPr>
          <w:rFonts w:hint="eastAsia" w:ascii="方正仿宋_GB2312" w:hAnsi="方正仿宋_GB2312" w:eastAsia="方正仿宋_GB2312" w:cs="方正仿宋_GB2312"/>
          <w:sz w:val="30"/>
          <w:szCs w:val="30"/>
        </w:rPr>
        <w:t>根据恩平市水利局的说明，恩平市辖区有江门市管大型水库1宗（锦江水库），恩平市属中型水库6宗（西坑、凤子山、青南角、良西、宝鸭仔、马山），恩平市属小型水库2宗（大带水库、茶山坑水库），具有重要的灌溉、防洪或供水作用，为我市重要水库</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上述9宗水库集雨范围</w:t>
      </w:r>
      <w:r>
        <w:rPr>
          <w:rFonts w:hint="eastAsia" w:ascii="方正仿宋_GB2312" w:hAnsi="方正仿宋_GB2312" w:eastAsia="方正仿宋_GB2312" w:cs="方正仿宋_GB2312"/>
          <w:sz w:val="30"/>
          <w:szCs w:val="30"/>
          <w:lang w:eastAsia="zh-CN"/>
        </w:rPr>
        <w:t>纳入</w:t>
      </w:r>
      <w:r>
        <w:rPr>
          <w:rFonts w:hint="eastAsia" w:ascii="方正仿宋_GB2312" w:hAnsi="方正仿宋_GB2312" w:eastAsia="方正仿宋_GB2312" w:cs="方正仿宋_GB2312"/>
          <w:sz w:val="30"/>
          <w:szCs w:val="30"/>
        </w:rPr>
        <w:t>禁养区</w:t>
      </w:r>
      <w:r>
        <w:rPr>
          <w:rFonts w:hint="eastAsia" w:ascii="方正仿宋_GB2312" w:hAnsi="方正仿宋_GB2312" w:eastAsia="方正仿宋_GB2312" w:cs="方正仿宋_GB2312"/>
          <w:sz w:val="30"/>
          <w:szCs w:val="30"/>
          <w:lang w:val="en-US" w:eastAsia="zh-CN"/>
        </w:rPr>
        <w:t>范围。</w:t>
      </w:r>
    </w:p>
    <w:p w14:paraId="41BBC208">
      <w:pPr>
        <w:jc w:val="center"/>
        <w:outlineLvl w:val="9"/>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8</w:t>
      </w:r>
      <w:r>
        <w:rPr>
          <w:rFonts w:hint="eastAsia" w:ascii="方正仿宋_GB2312" w:hAnsi="方正仿宋_GB2312" w:eastAsia="方正仿宋_GB2312" w:cs="方正仿宋_GB2312"/>
          <w:b w:val="0"/>
          <w:bCs/>
          <w:sz w:val="32"/>
          <w:szCs w:val="32"/>
        </w:rPr>
        <w:t xml:space="preserve">  恩平市</w:t>
      </w:r>
      <w:r>
        <w:rPr>
          <w:rFonts w:hint="eastAsia" w:ascii="方正仿宋_GB2312" w:hAnsi="方正仿宋_GB2312" w:eastAsia="方正仿宋_GB2312" w:cs="方正仿宋_GB2312"/>
          <w:b w:val="0"/>
          <w:bCs/>
          <w:sz w:val="32"/>
          <w:szCs w:val="32"/>
          <w:lang w:val="en-US" w:eastAsia="zh-CN"/>
        </w:rPr>
        <w:t>重要水库</w:t>
      </w:r>
      <w:r>
        <w:rPr>
          <w:rFonts w:hint="eastAsia" w:ascii="方正仿宋_GB2312" w:hAnsi="方正仿宋_GB2312" w:eastAsia="方正仿宋_GB2312" w:cs="方正仿宋_GB2312"/>
          <w:b w:val="0"/>
          <w:bCs/>
          <w:sz w:val="32"/>
          <w:szCs w:val="32"/>
        </w:rPr>
        <w:t>一览表</w:t>
      </w:r>
    </w:p>
    <w:tbl>
      <w:tblPr>
        <w:tblStyle w:val="22"/>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436"/>
        <w:gridCol w:w="1106"/>
        <w:gridCol w:w="896"/>
        <w:gridCol w:w="1536"/>
        <w:gridCol w:w="1135"/>
        <w:gridCol w:w="735"/>
        <w:gridCol w:w="1190"/>
      </w:tblGrid>
      <w:tr w14:paraId="1840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1" w:type="dxa"/>
            <w:vAlign w:val="center"/>
          </w:tcPr>
          <w:p w14:paraId="2774A2F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序号</w:t>
            </w:r>
          </w:p>
        </w:tc>
        <w:tc>
          <w:tcPr>
            <w:tcW w:w="1436" w:type="dxa"/>
            <w:vAlign w:val="center"/>
          </w:tcPr>
          <w:p w14:paraId="7AA1DC8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水库名称</w:t>
            </w:r>
          </w:p>
        </w:tc>
        <w:tc>
          <w:tcPr>
            <w:tcW w:w="1106" w:type="dxa"/>
            <w:vAlign w:val="center"/>
          </w:tcPr>
          <w:p w14:paraId="32B796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规模</w:t>
            </w:r>
          </w:p>
        </w:tc>
        <w:tc>
          <w:tcPr>
            <w:tcW w:w="896" w:type="dxa"/>
            <w:vAlign w:val="center"/>
          </w:tcPr>
          <w:p w14:paraId="701BE98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集雨面积</w:t>
            </w:r>
          </w:p>
        </w:tc>
        <w:tc>
          <w:tcPr>
            <w:tcW w:w="1536" w:type="dxa"/>
            <w:vAlign w:val="center"/>
          </w:tcPr>
          <w:p w14:paraId="0DD7AE0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建成时间</w:t>
            </w:r>
          </w:p>
        </w:tc>
        <w:tc>
          <w:tcPr>
            <w:tcW w:w="1135" w:type="dxa"/>
            <w:vAlign w:val="center"/>
          </w:tcPr>
          <w:p w14:paraId="27E6E6E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0"/>
                <w:sz w:val="24"/>
                <w:szCs w:val="24"/>
                <w:u w:val="none"/>
                <w:lang w:val="en-US" w:eastAsia="zh-CN" w:bidi="ar"/>
              </w:rPr>
            </w:pPr>
            <w:r>
              <w:rPr>
                <w:rFonts w:hint="eastAsia" w:ascii="方正仿宋_GB2312" w:hAnsi="方正仿宋_GB2312" w:eastAsia="方正仿宋_GB2312" w:cs="方正仿宋_GB2312"/>
                <w:b/>
                <w:i w:val="0"/>
                <w:color w:val="000000"/>
                <w:kern w:val="0"/>
                <w:sz w:val="24"/>
                <w:szCs w:val="24"/>
                <w:u w:val="none"/>
                <w:lang w:val="en-US" w:eastAsia="zh-CN" w:bidi="ar"/>
              </w:rPr>
              <w:t>总库容</w:t>
            </w:r>
          </w:p>
          <w:p w14:paraId="3EA20F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（万m²）</w:t>
            </w:r>
          </w:p>
        </w:tc>
        <w:tc>
          <w:tcPr>
            <w:tcW w:w="735" w:type="dxa"/>
            <w:vAlign w:val="center"/>
          </w:tcPr>
          <w:p w14:paraId="57FAF76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管理级别</w:t>
            </w:r>
          </w:p>
        </w:tc>
        <w:tc>
          <w:tcPr>
            <w:tcW w:w="1190" w:type="dxa"/>
            <w:vAlign w:val="center"/>
          </w:tcPr>
          <w:p w14:paraId="6DB2EF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2"/>
                <w:sz w:val="24"/>
                <w:szCs w:val="24"/>
                <w:u w:val="none"/>
                <w:lang w:val="en-US" w:eastAsia="zh-CN" w:bidi="ar-SA"/>
              </w:rPr>
            </w:pPr>
            <w:r>
              <w:rPr>
                <w:rFonts w:hint="eastAsia" w:ascii="方正仿宋_GB2312" w:hAnsi="方正仿宋_GB2312" w:eastAsia="方正仿宋_GB2312" w:cs="方正仿宋_GB2312"/>
                <w:b/>
                <w:i w:val="0"/>
                <w:color w:val="000000"/>
                <w:kern w:val="0"/>
                <w:sz w:val="24"/>
                <w:szCs w:val="24"/>
                <w:u w:val="none"/>
                <w:lang w:val="en-US" w:eastAsia="zh-CN" w:bidi="ar"/>
              </w:rPr>
              <w:t>水质目标</w:t>
            </w:r>
          </w:p>
        </w:tc>
      </w:tr>
      <w:tr w14:paraId="14DA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4D78B46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w:t>
            </w:r>
          </w:p>
        </w:tc>
        <w:tc>
          <w:tcPr>
            <w:tcW w:w="1436" w:type="dxa"/>
            <w:vAlign w:val="center"/>
          </w:tcPr>
          <w:p w14:paraId="7CEED23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凤子山水库</w:t>
            </w:r>
          </w:p>
        </w:tc>
        <w:tc>
          <w:tcPr>
            <w:tcW w:w="1106" w:type="dxa"/>
            <w:vAlign w:val="center"/>
          </w:tcPr>
          <w:p w14:paraId="34BFADC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618D8B2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25</w:t>
            </w:r>
          </w:p>
        </w:tc>
        <w:tc>
          <w:tcPr>
            <w:tcW w:w="1536" w:type="dxa"/>
            <w:vAlign w:val="center"/>
          </w:tcPr>
          <w:p w14:paraId="641F4D6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1975年6月</w:t>
            </w:r>
          </w:p>
        </w:tc>
        <w:tc>
          <w:tcPr>
            <w:tcW w:w="1135" w:type="dxa"/>
            <w:vAlign w:val="center"/>
          </w:tcPr>
          <w:p w14:paraId="260238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2960</w:t>
            </w:r>
          </w:p>
        </w:tc>
        <w:tc>
          <w:tcPr>
            <w:tcW w:w="735" w:type="dxa"/>
            <w:vAlign w:val="center"/>
          </w:tcPr>
          <w:p w14:paraId="11CF00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0342DE8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4046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0249F0A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w:t>
            </w:r>
          </w:p>
        </w:tc>
        <w:tc>
          <w:tcPr>
            <w:tcW w:w="1436" w:type="dxa"/>
            <w:vAlign w:val="center"/>
          </w:tcPr>
          <w:p w14:paraId="1F403B6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大带水库</w:t>
            </w:r>
          </w:p>
        </w:tc>
        <w:tc>
          <w:tcPr>
            <w:tcW w:w="1106" w:type="dxa"/>
            <w:vAlign w:val="center"/>
          </w:tcPr>
          <w:p w14:paraId="6CB2ADE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小（</w:t>
            </w:r>
            <w:r>
              <w:rPr>
                <w:rFonts w:hint="eastAsia" w:ascii="方正仿宋_GB2312" w:hAnsi="方正仿宋_GB2312" w:eastAsia="方正仿宋_GB2312" w:cs="方正仿宋_GB2312"/>
                <w:sz w:val="24"/>
                <w:szCs w:val="24"/>
                <w:lang w:val="en-US" w:eastAsia="zh-CN" w:bidi="ar"/>
              </w:rPr>
              <w:t>1）</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7AE76A8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22</w:t>
            </w:r>
          </w:p>
        </w:tc>
        <w:tc>
          <w:tcPr>
            <w:tcW w:w="1536" w:type="dxa"/>
            <w:vAlign w:val="center"/>
          </w:tcPr>
          <w:p w14:paraId="24A57E7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1975年5月</w:t>
            </w:r>
          </w:p>
        </w:tc>
        <w:tc>
          <w:tcPr>
            <w:tcW w:w="1135" w:type="dxa"/>
            <w:vAlign w:val="center"/>
          </w:tcPr>
          <w:p w14:paraId="3B0726C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950</w:t>
            </w:r>
          </w:p>
        </w:tc>
        <w:tc>
          <w:tcPr>
            <w:tcW w:w="735" w:type="dxa"/>
            <w:vAlign w:val="center"/>
          </w:tcPr>
          <w:p w14:paraId="49C5720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5626538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63D8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3355ADF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3</w:t>
            </w:r>
          </w:p>
        </w:tc>
        <w:tc>
          <w:tcPr>
            <w:tcW w:w="1436" w:type="dxa"/>
            <w:vAlign w:val="center"/>
          </w:tcPr>
          <w:p w14:paraId="741D6C7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良西水库</w:t>
            </w:r>
          </w:p>
        </w:tc>
        <w:tc>
          <w:tcPr>
            <w:tcW w:w="1106" w:type="dxa"/>
            <w:vAlign w:val="center"/>
          </w:tcPr>
          <w:p w14:paraId="13617DA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7B1A3AC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34.63</w:t>
            </w:r>
          </w:p>
        </w:tc>
        <w:tc>
          <w:tcPr>
            <w:tcW w:w="1536" w:type="dxa"/>
            <w:vAlign w:val="center"/>
          </w:tcPr>
          <w:p w14:paraId="70ACB55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1969年1月</w:t>
            </w:r>
          </w:p>
        </w:tc>
        <w:tc>
          <w:tcPr>
            <w:tcW w:w="1135" w:type="dxa"/>
            <w:vAlign w:val="center"/>
          </w:tcPr>
          <w:p w14:paraId="1E5312A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3667</w:t>
            </w:r>
          </w:p>
        </w:tc>
        <w:tc>
          <w:tcPr>
            <w:tcW w:w="735" w:type="dxa"/>
            <w:vAlign w:val="center"/>
          </w:tcPr>
          <w:p w14:paraId="3904C2A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46B38E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7D19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3F217FA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4</w:t>
            </w:r>
          </w:p>
        </w:tc>
        <w:tc>
          <w:tcPr>
            <w:tcW w:w="1436" w:type="dxa"/>
            <w:vAlign w:val="center"/>
          </w:tcPr>
          <w:p w14:paraId="52A1866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西坑水库</w:t>
            </w:r>
          </w:p>
        </w:tc>
        <w:tc>
          <w:tcPr>
            <w:tcW w:w="1106" w:type="dxa"/>
            <w:vAlign w:val="center"/>
          </w:tcPr>
          <w:p w14:paraId="70B8CDF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571EDB8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76.1</w:t>
            </w:r>
          </w:p>
        </w:tc>
        <w:tc>
          <w:tcPr>
            <w:tcW w:w="1536" w:type="dxa"/>
            <w:vAlign w:val="center"/>
          </w:tcPr>
          <w:p w14:paraId="1A6D851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1963年4月</w:t>
            </w:r>
          </w:p>
        </w:tc>
        <w:tc>
          <w:tcPr>
            <w:tcW w:w="1135" w:type="dxa"/>
            <w:vAlign w:val="center"/>
          </w:tcPr>
          <w:p w14:paraId="714ADF1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7215</w:t>
            </w:r>
          </w:p>
        </w:tc>
        <w:tc>
          <w:tcPr>
            <w:tcW w:w="735" w:type="dxa"/>
            <w:vAlign w:val="center"/>
          </w:tcPr>
          <w:p w14:paraId="2E78FC0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0AF8051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5C1C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0260DAA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5</w:t>
            </w:r>
          </w:p>
        </w:tc>
        <w:tc>
          <w:tcPr>
            <w:tcW w:w="1436" w:type="dxa"/>
            <w:vAlign w:val="center"/>
          </w:tcPr>
          <w:p w14:paraId="71A24B4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马山水库</w:t>
            </w:r>
          </w:p>
        </w:tc>
        <w:tc>
          <w:tcPr>
            <w:tcW w:w="1106" w:type="dxa"/>
            <w:vAlign w:val="center"/>
          </w:tcPr>
          <w:p w14:paraId="030078B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593AA8E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8.5</w:t>
            </w:r>
          </w:p>
        </w:tc>
        <w:tc>
          <w:tcPr>
            <w:tcW w:w="1536" w:type="dxa"/>
            <w:vAlign w:val="center"/>
          </w:tcPr>
          <w:p w14:paraId="5F86DC0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1958年3月</w:t>
            </w:r>
          </w:p>
        </w:tc>
        <w:tc>
          <w:tcPr>
            <w:tcW w:w="1135" w:type="dxa"/>
            <w:vAlign w:val="center"/>
          </w:tcPr>
          <w:p w14:paraId="5CC91F8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1453</w:t>
            </w:r>
          </w:p>
        </w:tc>
        <w:tc>
          <w:tcPr>
            <w:tcW w:w="735" w:type="dxa"/>
            <w:vAlign w:val="center"/>
          </w:tcPr>
          <w:p w14:paraId="312F138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7FBA17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6913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681F1E4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6</w:t>
            </w:r>
          </w:p>
        </w:tc>
        <w:tc>
          <w:tcPr>
            <w:tcW w:w="1436" w:type="dxa"/>
            <w:vAlign w:val="center"/>
          </w:tcPr>
          <w:p w14:paraId="1A3CFF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宝鸭仔水库</w:t>
            </w:r>
          </w:p>
        </w:tc>
        <w:tc>
          <w:tcPr>
            <w:tcW w:w="1106" w:type="dxa"/>
            <w:vAlign w:val="center"/>
          </w:tcPr>
          <w:p w14:paraId="5E7FAE0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6ED299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25</w:t>
            </w:r>
          </w:p>
        </w:tc>
        <w:tc>
          <w:tcPr>
            <w:tcW w:w="1536" w:type="dxa"/>
            <w:vAlign w:val="center"/>
          </w:tcPr>
          <w:p w14:paraId="152592D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1964年1月</w:t>
            </w:r>
          </w:p>
        </w:tc>
        <w:tc>
          <w:tcPr>
            <w:tcW w:w="1135" w:type="dxa"/>
            <w:vAlign w:val="center"/>
          </w:tcPr>
          <w:p w14:paraId="24144AF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3182</w:t>
            </w:r>
          </w:p>
        </w:tc>
        <w:tc>
          <w:tcPr>
            <w:tcW w:w="735" w:type="dxa"/>
            <w:vAlign w:val="center"/>
          </w:tcPr>
          <w:p w14:paraId="21E4613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6B5B50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2EB1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0510C01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7</w:t>
            </w:r>
          </w:p>
        </w:tc>
        <w:tc>
          <w:tcPr>
            <w:tcW w:w="1436" w:type="dxa"/>
            <w:vAlign w:val="center"/>
          </w:tcPr>
          <w:p w14:paraId="10E312D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青南角水库</w:t>
            </w:r>
          </w:p>
        </w:tc>
        <w:tc>
          <w:tcPr>
            <w:tcW w:w="1106" w:type="dxa"/>
            <w:vAlign w:val="center"/>
          </w:tcPr>
          <w:p w14:paraId="0301099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中</w:t>
            </w:r>
            <w:r>
              <w:rPr>
                <w:rFonts w:hint="eastAsia" w:ascii="方正仿宋_GB2312" w:hAnsi="方正仿宋_GB2312" w:eastAsia="方正仿宋_GB2312" w:cs="方正仿宋_GB2312"/>
                <w:sz w:val="24"/>
                <w:szCs w:val="24"/>
                <w:lang w:val="en-US" w:eastAsia="zh-CN" w:bidi="ar"/>
              </w:rPr>
              <w:t xml:space="preserve"> </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29F7B9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20.4</w:t>
            </w:r>
          </w:p>
        </w:tc>
        <w:tc>
          <w:tcPr>
            <w:tcW w:w="1536" w:type="dxa"/>
            <w:vAlign w:val="center"/>
          </w:tcPr>
          <w:p w14:paraId="3AEA224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1956年11月</w:t>
            </w:r>
          </w:p>
        </w:tc>
        <w:tc>
          <w:tcPr>
            <w:tcW w:w="1135" w:type="dxa"/>
            <w:vAlign w:val="center"/>
          </w:tcPr>
          <w:p w14:paraId="2E7062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1801</w:t>
            </w:r>
          </w:p>
        </w:tc>
        <w:tc>
          <w:tcPr>
            <w:tcW w:w="735" w:type="dxa"/>
            <w:vAlign w:val="center"/>
          </w:tcPr>
          <w:p w14:paraId="23B7D32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3050887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r w14:paraId="0E3D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1" w:type="dxa"/>
            <w:vAlign w:val="center"/>
          </w:tcPr>
          <w:p w14:paraId="7939FEF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8</w:t>
            </w:r>
          </w:p>
        </w:tc>
        <w:tc>
          <w:tcPr>
            <w:tcW w:w="1436" w:type="dxa"/>
            <w:vAlign w:val="center"/>
          </w:tcPr>
          <w:p w14:paraId="5E8C04E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茶山坑水库</w:t>
            </w:r>
          </w:p>
        </w:tc>
        <w:tc>
          <w:tcPr>
            <w:tcW w:w="1106" w:type="dxa"/>
            <w:vAlign w:val="center"/>
          </w:tcPr>
          <w:p w14:paraId="1F696B4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Style w:val="143"/>
                <w:rFonts w:hint="eastAsia" w:ascii="方正仿宋_GB2312" w:hAnsi="方正仿宋_GB2312" w:eastAsia="方正仿宋_GB2312" w:cs="方正仿宋_GB2312"/>
                <w:sz w:val="24"/>
                <w:szCs w:val="24"/>
                <w:lang w:val="en-US" w:eastAsia="zh-CN" w:bidi="ar"/>
              </w:rPr>
              <w:t>小（</w:t>
            </w:r>
            <w:r>
              <w:rPr>
                <w:rFonts w:hint="eastAsia" w:ascii="方正仿宋_GB2312" w:hAnsi="方正仿宋_GB2312" w:eastAsia="方正仿宋_GB2312" w:cs="方正仿宋_GB2312"/>
                <w:sz w:val="24"/>
                <w:szCs w:val="24"/>
                <w:lang w:val="en-US" w:eastAsia="zh-CN" w:bidi="ar"/>
              </w:rPr>
              <w:t>1）</w:t>
            </w:r>
            <w:r>
              <w:rPr>
                <w:rStyle w:val="143"/>
                <w:rFonts w:hint="eastAsia" w:ascii="方正仿宋_GB2312" w:hAnsi="方正仿宋_GB2312" w:eastAsia="方正仿宋_GB2312" w:cs="方正仿宋_GB2312"/>
                <w:sz w:val="24"/>
                <w:szCs w:val="24"/>
                <w:lang w:val="en-US" w:eastAsia="zh-CN" w:bidi="ar"/>
              </w:rPr>
              <w:t>型</w:t>
            </w:r>
          </w:p>
        </w:tc>
        <w:tc>
          <w:tcPr>
            <w:tcW w:w="896" w:type="dxa"/>
            <w:vAlign w:val="center"/>
          </w:tcPr>
          <w:p w14:paraId="259B047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7.4</w:t>
            </w:r>
          </w:p>
        </w:tc>
        <w:tc>
          <w:tcPr>
            <w:tcW w:w="1536" w:type="dxa"/>
            <w:vAlign w:val="center"/>
          </w:tcPr>
          <w:p w14:paraId="20A6311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1984年1月</w:t>
            </w:r>
          </w:p>
        </w:tc>
        <w:tc>
          <w:tcPr>
            <w:tcW w:w="1135" w:type="dxa"/>
            <w:vAlign w:val="center"/>
          </w:tcPr>
          <w:p w14:paraId="0730850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680</w:t>
            </w:r>
          </w:p>
        </w:tc>
        <w:tc>
          <w:tcPr>
            <w:tcW w:w="735" w:type="dxa"/>
            <w:vAlign w:val="center"/>
          </w:tcPr>
          <w:p w14:paraId="70F89C5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县级</w:t>
            </w:r>
          </w:p>
        </w:tc>
        <w:tc>
          <w:tcPr>
            <w:tcW w:w="1190" w:type="dxa"/>
            <w:vAlign w:val="center"/>
          </w:tcPr>
          <w:p w14:paraId="66B8F5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Ⅱ</w:t>
            </w:r>
          </w:p>
        </w:tc>
      </w:tr>
    </w:tbl>
    <w:p w14:paraId="2C1F1A94">
      <w:pPr>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p>
    <w:p w14:paraId="24B9A882">
      <w:pPr>
        <w:numPr>
          <w:ilvl w:val="0"/>
          <w:numId w:val="0"/>
        </w:numPr>
        <w:tabs>
          <w:tab w:val="left" w:pos="709"/>
        </w:tabs>
        <w:spacing w:beforeLines="50" w:afterLines="50"/>
        <w:ind w:left="0" w:leftChars="0" w:firstLine="0" w:firstLineChars="0"/>
        <w:outlineLvl w:val="9"/>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val="0"/>
          <w:bCs/>
          <w:i w:val="0"/>
          <w:kern w:val="2"/>
          <w:sz w:val="32"/>
          <w:szCs w:val="30"/>
          <w:u w:val="none"/>
          <w:lang w:val="en-US" w:eastAsia="zh-CN" w:bidi="ar-SA"/>
        </w:rPr>
        <w:t xml:space="preserve">    </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6.4自</w:t>
      </w:r>
      <w:r>
        <w:rPr>
          <w:rFonts w:hint="eastAsia" w:ascii="方正仿宋_GB2312" w:hAnsi="方正仿宋_GB2312" w:eastAsia="方正仿宋_GB2312" w:cs="方正仿宋_GB2312"/>
          <w:sz w:val="30"/>
          <w:szCs w:val="30"/>
          <w:lang w:val="en-US"/>
        </w:rPr>
        <w:t>然保护区</w:t>
      </w:r>
    </w:p>
    <w:p w14:paraId="08F50326">
      <w:pPr>
        <w:ind w:firstLine="600"/>
        <w:outlineLvl w:val="9"/>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目前，恩平市共有县级以上自然保护区4个，分别为广东七星坑自然保护区（省级）、锦江源市级自然保护区（市级）、恩平市镇海湾红树林自然保护区（县级）、恩平市君子山自然保护区（县级）。本次禁养区调整把4个自然保护区的核心区和缓冲区列入禁养区范围，面积合计166.91平方公里。</w:t>
      </w:r>
    </w:p>
    <w:p w14:paraId="2ED3C608">
      <w:pPr>
        <w:ind w:firstLine="600"/>
        <w:jc w:val="center"/>
        <w:outlineLvl w:val="9"/>
        <w:rPr>
          <w:rFonts w:hint="eastAsia" w:ascii="方正仿宋_GB2312" w:hAnsi="方正仿宋_GB2312" w:eastAsia="方正仿宋_GB2312" w:cs="方正仿宋_GB2312"/>
          <w:b w:val="0"/>
          <w:bCs/>
          <w:sz w:val="24"/>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9</w:t>
      </w:r>
      <w:r>
        <w:rPr>
          <w:rFonts w:hint="eastAsia" w:ascii="方正仿宋_GB2312" w:hAnsi="方正仿宋_GB2312" w:eastAsia="方正仿宋_GB2312" w:cs="方正仿宋_GB2312"/>
          <w:b w:val="0"/>
          <w:bCs/>
          <w:sz w:val="32"/>
          <w:szCs w:val="32"/>
        </w:rPr>
        <w:t xml:space="preserve">  恩平市自然保护区一览表</w:t>
      </w:r>
    </w:p>
    <w:tbl>
      <w:tblPr>
        <w:tblStyle w:val="22"/>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777"/>
        <w:gridCol w:w="845"/>
        <w:gridCol w:w="1661"/>
        <w:gridCol w:w="1661"/>
        <w:gridCol w:w="1661"/>
        <w:gridCol w:w="1661"/>
      </w:tblGrid>
      <w:tr w14:paraId="14DC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622" w:type="dxa"/>
            <w:vAlign w:val="center"/>
          </w:tcPr>
          <w:p w14:paraId="7D65F58F">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名称</w:t>
            </w:r>
          </w:p>
        </w:tc>
        <w:tc>
          <w:tcPr>
            <w:tcW w:w="777" w:type="dxa"/>
            <w:vAlign w:val="center"/>
          </w:tcPr>
          <w:p w14:paraId="2C37FD6A">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级别</w:t>
            </w:r>
          </w:p>
        </w:tc>
        <w:tc>
          <w:tcPr>
            <w:tcW w:w="845" w:type="dxa"/>
            <w:vAlign w:val="center"/>
          </w:tcPr>
          <w:p w14:paraId="007BFCF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设立时间</w:t>
            </w:r>
          </w:p>
        </w:tc>
        <w:tc>
          <w:tcPr>
            <w:tcW w:w="1661" w:type="dxa"/>
            <w:vAlign w:val="center"/>
          </w:tcPr>
          <w:p w14:paraId="2F671884">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核心区面积</w:t>
            </w:r>
          </w:p>
          <w:p w14:paraId="594F38F2">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（平方千米）</w:t>
            </w:r>
          </w:p>
        </w:tc>
        <w:tc>
          <w:tcPr>
            <w:tcW w:w="1661" w:type="dxa"/>
            <w:vAlign w:val="center"/>
          </w:tcPr>
          <w:p w14:paraId="2806092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缓冲区面积</w:t>
            </w:r>
          </w:p>
          <w:p w14:paraId="78871DC9">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（平方千米）</w:t>
            </w:r>
          </w:p>
        </w:tc>
        <w:tc>
          <w:tcPr>
            <w:tcW w:w="1661" w:type="dxa"/>
            <w:vAlign w:val="center"/>
          </w:tcPr>
          <w:p w14:paraId="6A95375F">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实验区面积</w:t>
            </w:r>
          </w:p>
          <w:p w14:paraId="42AC7AB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（平方千米）</w:t>
            </w:r>
          </w:p>
        </w:tc>
        <w:tc>
          <w:tcPr>
            <w:tcW w:w="1661" w:type="dxa"/>
            <w:vAlign w:val="center"/>
          </w:tcPr>
          <w:p w14:paraId="044A494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总面积</w:t>
            </w:r>
          </w:p>
          <w:p w14:paraId="7FA7740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（平方千米）</w:t>
            </w:r>
          </w:p>
        </w:tc>
      </w:tr>
      <w:tr w14:paraId="1A3B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22" w:type="dxa"/>
            <w:vAlign w:val="center"/>
          </w:tcPr>
          <w:p w14:paraId="05451855">
            <w:pPr>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广东七星坑自然保护区</w:t>
            </w:r>
          </w:p>
        </w:tc>
        <w:tc>
          <w:tcPr>
            <w:tcW w:w="777" w:type="dxa"/>
            <w:vAlign w:val="center"/>
          </w:tcPr>
          <w:p w14:paraId="585ABBC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省级</w:t>
            </w:r>
          </w:p>
        </w:tc>
        <w:tc>
          <w:tcPr>
            <w:tcW w:w="845" w:type="dxa"/>
            <w:vAlign w:val="center"/>
          </w:tcPr>
          <w:p w14:paraId="26BEA57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2007</w:t>
            </w:r>
          </w:p>
        </w:tc>
        <w:tc>
          <w:tcPr>
            <w:tcW w:w="1661" w:type="dxa"/>
            <w:vAlign w:val="center"/>
          </w:tcPr>
          <w:p w14:paraId="767C115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32.84</w:t>
            </w:r>
          </w:p>
        </w:tc>
        <w:tc>
          <w:tcPr>
            <w:tcW w:w="1661" w:type="dxa"/>
            <w:vAlign w:val="center"/>
          </w:tcPr>
          <w:p w14:paraId="1090D3B7">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19.55</w:t>
            </w:r>
          </w:p>
        </w:tc>
        <w:tc>
          <w:tcPr>
            <w:tcW w:w="1661" w:type="dxa"/>
            <w:vAlign w:val="center"/>
          </w:tcPr>
          <w:p w14:paraId="7127DDA2">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28.21</w:t>
            </w:r>
          </w:p>
        </w:tc>
        <w:tc>
          <w:tcPr>
            <w:tcW w:w="1661" w:type="dxa"/>
            <w:vAlign w:val="center"/>
          </w:tcPr>
          <w:p w14:paraId="2CBB3568">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 sum(D2:F2)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80.6</w:t>
            </w:r>
            <w:r>
              <w:rPr>
                <w:rFonts w:hint="eastAsia" w:ascii="方正仿宋_GB2312" w:hAnsi="方正仿宋_GB2312" w:eastAsia="方正仿宋_GB2312" w:cs="方正仿宋_GB2312"/>
                <w:sz w:val="24"/>
                <w:szCs w:val="24"/>
              </w:rPr>
              <w:fldChar w:fldCharType="end"/>
            </w:r>
          </w:p>
        </w:tc>
      </w:tr>
      <w:tr w14:paraId="273D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22" w:type="dxa"/>
            <w:vAlign w:val="center"/>
          </w:tcPr>
          <w:p w14:paraId="28EA0A06">
            <w:pPr>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锦江源市级自然保护区</w:t>
            </w:r>
          </w:p>
        </w:tc>
        <w:tc>
          <w:tcPr>
            <w:tcW w:w="777" w:type="dxa"/>
            <w:vAlign w:val="center"/>
          </w:tcPr>
          <w:p w14:paraId="7F01A790">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市级</w:t>
            </w:r>
          </w:p>
        </w:tc>
        <w:tc>
          <w:tcPr>
            <w:tcW w:w="845" w:type="dxa"/>
            <w:vAlign w:val="center"/>
          </w:tcPr>
          <w:p w14:paraId="0EA4989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2006</w:t>
            </w:r>
          </w:p>
        </w:tc>
        <w:tc>
          <w:tcPr>
            <w:tcW w:w="1661" w:type="dxa"/>
            <w:vAlign w:val="center"/>
          </w:tcPr>
          <w:p w14:paraId="4DACF8D8">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33.83</w:t>
            </w:r>
          </w:p>
        </w:tc>
        <w:tc>
          <w:tcPr>
            <w:tcW w:w="1661" w:type="dxa"/>
            <w:vAlign w:val="center"/>
          </w:tcPr>
          <w:p w14:paraId="237A967B">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20.03</w:t>
            </w:r>
          </w:p>
        </w:tc>
        <w:tc>
          <w:tcPr>
            <w:tcW w:w="1661" w:type="dxa"/>
            <w:vAlign w:val="center"/>
          </w:tcPr>
          <w:p w14:paraId="64D24B1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21.70</w:t>
            </w:r>
          </w:p>
        </w:tc>
        <w:tc>
          <w:tcPr>
            <w:tcW w:w="1661" w:type="dxa"/>
            <w:vAlign w:val="center"/>
          </w:tcPr>
          <w:p w14:paraId="3270EB99">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 sum(D3:F3)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75.56</w:t>
            </w:r>
            <w:r>
              <w:rPr>
                <w:rFonts w:hint="eastAsia" w:ascii="方正仿宋_GB2312" w:hAnsi="方正仿宋_GB2312" w:eastAsia="方正仿宋_GB2312" w:cs="方正仿宋_GB2312"/>
                <w:sz w:val="24"/>
                <w:szCs w:val="24"/>
              </w:rPr>
              <w:fldChar w:fldCharType="end"/>
            </w:r>
          </w:p>
        </w:tc>
      </w:tr>
      <w:tr w14:paraId="285C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22" w:type="dxa"/>
            <w:vAlign w:val="center"/>
          </w:tcPr>
          <w:p w14:paraId="5595216E">
            <w:pPr>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恩平市镇海湾红树林自然保护区</w:t>
            </w:r>
          </w:p>
        </w:tc>
        <w:tc>
          <w:tcPr>
            <w:tcW w:w="777" w:type="dxa"/>
            <w:vAlign w:val="center"/>
          </w:tcPr>
          <w:p w14:paraId="60111D7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县级</w:t>
            </w:r>
          </w:p>
        </w:tc>
        <w:tc>
          <w:tcPr>
            <w:tcW w:w="845" w:type="dxa"/>
            <w:vAlign w:val="center"/>
          </w:tcPr>
          <w:p w14:paraId="28AA8499">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2005</w:t>
            </w:r>
          </w:p>
        </w:tc>
        <w:tc>
          <w:tcPr>
            <w:tcW w:w="1661" w:type="dxa"/>
            <w:vAlign w:val="center"/>
          </w:tcPr>
          <w:p w14:paraId="24C75D1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1.32</w:t>
            </w:r>
          </w:p>
        </w:tc>
        <w:tc>
          <w:tcPr>
            <w:tcW w:w="1661" w:type="dxa"/>
            <w:vAlign w:val="center"/>
          </w:tcPr>
          <w:p w14:paraId="092E377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3.34</w:t>
            </w:r>
          </w:p>
        </w:tc>
        <w:tc>
          <w:tcPr>
            <w:tcW w:w="1661" w:type="dxa"/>
            <w:vAlign w:val="center"/>
          </w:tcPr>
          <w:p w14:paraId="7FC03AE7">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2.01</w:t>
            </w:r>
          </w:p>
        </w:tc>
        <w:tc>
          <w:tcPr>
            <w:tcW w:w="1661" w:type="dxa"/>
            <w:vAlign w:val="center"/>
          </w:tcPr>
          <w:p w14:paraId="33AE44E7">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 sum(D4:F4)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6.67</w:t>
            </w:r>
            <w:r>
              <w:rPr>
                <w:rFonts w:hint="eastAsia" w:ascii="方正仿宋_GB2312" w:hAnsi="方正仿宋_GB2312" w:eastAsia="方正仿宋_GB2312" w:cs="方正仿宋_GB2312"/>
                <w:sz w:val="24"/>
                <w:szCs w:val="24"/>
              </w:rPr>
              <w:fldChar w:fldCharType="end"/>
            </w:r>
          </w:p>
        </w:tc>
      </w:tr>
      <w:tr w14:paraId="0876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22" w:type="dxa"/>
            <w:vAlign w:val="center"/>
          </w:tcPr>
          <w:p w14:paraId="74A9A810">
            <w:pPr>
              <w:snapToGrid w:val="0"/>
              <w:spacing w:line="240" w:lineRule="auto"/>
              <w:ind w:left="0" w:leftChars="0" w:right="0" w:rightChars="0" w:firstLine="0" w:firstLineChars="0"/>
              <w:jc w:val="left"/>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恩平市君子山自然保护区</w:t>
            </w:r>
          </w:p>
        </w:tc>
        <w:tc>
          <w:tcPr>
            <w:tcW w:w="777" w:type="dxa"/>
            <w:vAlign w:val="center"/>
          </w:tcPr>
          <w:p w14:paraId="27D05C8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县级</w:t>
            </w:r>
          </w:p>
        </w:tc>
        <w:tc>
          <w:tcPr>
            <w:tcW w:w="845" w:type="dxa"/>
            <w:vAlign w:val="center"/>
          </w:tcPr>
          <w:p w14:paraId="3864AE6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2004</w:t>
            </w:r>
          </w:p>
        </w:tc>
        <w:tc>
          <w:tcPr>
            <w:tcW w:w="1661" w:type="dxa"/>
            <w:vAlign w:val="center"/>
          </w:tcPr>
          <w:p w14:paraId="5E26746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w:t>
            </w:r>
          </w:p>
        </w:tc>
        <w:tc>
          <w:tcPr>
            <w:tcW w:w="1661" w:type="dxa"/>
            <w:vAlign w:val="center"/>
          </w:tcPr>
          <w:p w14:paraId="2EEEDFD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35</w:t>
            </w:r>
          </w:p>
        </w:tc>
        <w:tc>
          <w:tcPr>
            <w:tcW w:w="1661" w:type="dxa"/>
            <w:vAlign w:val="center"/>
          </w:tcPr>
          <w:p w14:paraId="6A3D7E6F">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w:t>
            </w:r>
          </w:p>
        </w:tc>
        <w:tc>
          <w:tcPr>
            <w:tcW w:w="1661" w:type="dxa"/>
            <w:vAlign w:val="center"/>
          </w:tcPr>
          <w:p w14:paraId="4B3E6C98">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fldChar w:fldCharType="begin"/>
            </w:r>
            <w:r>
              <w:rPr>
                <w:rFonts w:hint="eastAsia" w:ascii="方正仿宋_GB2312" w:hAnsi="方正仿宋_GB2312" w:eastAsia="方正仿宋_GB2312" w:cs="方正仿宋_GB2312"/>
                <w:sz w:val="24"/>
                <w:szCs w:val="24"/>
              </w:rPr>
              <w:instrText xml:space="preserve"> = sum(D5:F5) \* MERGEFORMAT </w:instrText>
            </w:r>
            <w:r>
              <w:rPr>
                <w:rFonts w:hint="eastAsia" w:ascii="方正仿宋_GB2312" w:hAnsi="方正仿宋_GB2312" w:eastAsia="方正仿宋_GB2312" w:cs="方正仿宋_GB2312"/>
                <w:sz w:val="24"/>
                <w:szCs w:val="24"/>
              </w:rPr>
              <w:fldChar w:fldCharType="separate"/>
            </w:r>
            <w:r>
              <w:rPr>
                <w:rFonts w:hint="eastAsia" w:ascii="方正仿宋_GB2312" w:hAnsi="方正仿宋_GB2312" w:eastAsia="方正仿宋_GB2312" w:cs="方正仿宋_GB2312"/>
                <w:sz w:val="24"/>
                <w:szCs w:val="24"/>
              </w:rPr>
              <w:t>70</w:t>
            </w:r>
            <w:r>
              <w:rPr>
                <w:rFonts w:hint="eastAsia" w:ascii="方正仿宋_GB2312" w:hAnsi="方正仿宋_GB2312" w:eastAsia="方正仿宋_GB2312" w:cs="方正仿宋_GB2312"/>
                <w:sz w:val="24"/>
                <w:szCs w:val="24"/>
              </w:rPr>
              <w:fldChar w:fldCharType="end"/>
            </w:r>
          </w:p>
        </w:tc>
      </w:tr>
      <w:tr w14:paraId="204E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gridSpan w:val="3"/>
            <w:vAlign w:val="center"/>
          </w:tcPr>
          <w:p w14:paraId="53F94CB2">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合计</w:t>
            </w:r>
          </w:p>
        </w:tc>
        <w:tc>
          <w:tcPr>
            <w:tcW w:w="1661" w:type="dxa"/>
            <w:vAlign w:val="center"/>
          </w:tcPr>
          <w:p w14:paraId="0EC7DE0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fldChar w:fldCharType="begin"/>
            </w:r>
            <w:r>
              <w:rPr>
                <w:rFonts w:hint="eastAsia" w:ascii="方正仿宋_GB2312" w:hAnsi="方正仿宋_GB2312" w:eastAsia="方正仿宋_GB2312" w:cs="方正仿宋_GB2312"/>
                <w:b/>
                <w:sz w:val="24"/>
                <w:szCs w:val="24"/>
              </w:rPr>
              <w:instrText xml:space="preserve"> = sum(D2:D5) \* MERGEFORMAT </w:instrText>
            </w:r>
            <w:r>
              <w:rPr>
                <w:rFonts w:hint="eastAsia" w:ascii="方正仿宋_GB2312" w:hAnsi="方正仿宋_GB2312" w:eastAsia="方正仿宋_GB2312" w:cs="方正仿宋_GB2312"/>
                <w:b/>
                <w:sz w:val="24"/>
                <w:szCs w:val="24"/>
              </w:rPr>
              <w:fldChar w:fldCharType="separate"/>
            </w:r>
            <w:r>
              <w:rPr>
                <w:rFonts w:hint="eastAsia" w:ascii="方正仿宋_GB2312" w:hAnsi="方正仿宋_GB2312" w:eastAsia="方正仿宋_GB2312" w:cs="方正仿宋_GB2312"/>
                <w:b/>
                <w:sz w:val="24"/>
                <w:szCs w:val="24"/>
              </w:rPr>
              <w:t>88.99</w:t>
            </w:r>
            <w:r>
              <w:rPr>
                <w:rFonts w:hint="eastAsia" w:ascii="方正仿宋_GB2312" w:hAnsi="方正仿宋_GB2312" w:eastAsia="方正仿宋_GB2312" w:cs="方正仿宋_GB2312"/>
                <w:b/>
                <w:sz w:val="24"/>
                <w:szCs w:val="24"/>
              </w:rPr>
              <w:fldChar w:fldCharType="end"/>
            </w:r>
          </w:p>
        </w:tc>
        <w:tc>
          <w:tcPr>
            <w:tcW w:w="1661" w:type="dxa"/>
            <w:vAlign w:val="center"/>
          </w:tcPr>
          <w:p w14:paraId="477E30C9">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fldChar w:fldCharType="begin"/>
            </w:r>
            <w:r>
              <w:rPr>
                <w:rFonts w:hint="eastAsia" w:ascii="方正仿宋_GB2312" w:hAnsi="方正仿宋_GB2312" w:eastAsia="方正仿宋_GB2312" w:cs="方正仿宋_GB2312"/>
                <w:b/>
                <w:sz w:val="24"/>
                <w:szCs w:val="24"/>
              </w:rPr>
              <w:instrText xml:space="preserve"> = sum(E2:E5) \* MERGEFORMAT </w:instrText>
            </w:r>
            <w:r>
              <w:rPr>
                <w:rFonts w:hint="eastAsia" w:ascii="方正仿宋_GB2312" w:hAnsi="方正仿宋_GB2312" w:eastAsia="方正仿宋_GB2312" w:cs="方正仿宋_GB2312"/>
                <w:b/>
                <w:sz w:val="24"/>
                <w:szCs w:val="24"/>
              </w:rPr>
              <w:fldChar w:fldCharType="separate"/>
            </w:r>
            <w:r>
              <w:rPr>
                <w:rFonts w:hint="eastAsia" w:ascii="方正仿宋_GB2312" w:hAnsi="方正仿宋_GB2312" w:eastAsia="方正仿宋_GB2312" w:cs="方正仿宋_GB2312"/>
                <w:b/>
                <w:sz w:val="24"/>
                <w:szCs w:val="24"/>
              </w:rPr>
              <w:t>77.92</w:t>
            </w:r>
            <w:r>
              <w:rPr>
                <w:rFonts w:hint="eastAsia" w:ascii="方正仿宋_GB2312" w:hAnsi="方正仿宋_GB2312" w:eastAsia="方正仿宋_GB2312" w:cs="方正仿宋_GB2312"/>
                <w:b/>
                <w:sz w:val="24"/>
                <w:szCs w:val="24"/>
              </w:rPr>
              <w:fldChar w:fldCharType="end"/>
            </w:r>
          </w:p>
        </w:tc>
        <w:tc>
          <w:tcPr>
            <w:tcW w:w="1661" w:type="dxa"/>
            <w:vAlign w:val="center"/>
          </w:tcPr>
          <w:p w14:paraId="72F54BF8">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fldChar w:fldCharType="begin"/>
            </w:r>
            <w:r>
              <w:rPr>
                <w:rFonts w:hint="eastAsia" w:ascii="方正仿宋_GB2312" w:hAnsi="方正仿宋_GB2312" w:eastAsia="方正仿宋_GB2312" w:cs="方正仿宋_GB2312"/>
                <w:b/>
                <w:sz w:val="24"/>
                <w:szCs w:val="24"/>
              </w:rPr>
              <w:instrText xml:space="preserve"> = sum(F2:F5) \* MERGEFORMAT </w:instrText>
            </w:r>
            <w:r>
              <w:rPr>
                <w:rFonts w:hint="eastAsia" w:ascii="方正仿宋_GB2312" w:hAnsi="方正仿宋_GB2312" w:eastAsia="方正仿宋_GB2312" w:cs="方正仿宋_GB2312"/>
                <w:b/>
                <w:sz w:val="24"/>
                <w:szCs w:val="24"/>
              </w:rPr>
              <w:fldChar w:fldCharType="separate"/>
            </w:r>
            <w:r>
              <w:rPr>
                <w:rFonts w:hint="eastAsia" w:ascii="方正仿宋_GB2312" w:hAnsi="方正仿宋_GB2312" w:eastAsia="方正仿宋_GB2312" w:cs="方正仿宋_GB2312"/>
                <w:b/>
                <w:sz w:val="24"/>
                <w:szCs w:val="24"/>
              </w:rPr>
              <w:t>65.92</w:t>
            </w:r>
            <w:r>
              <w:rPr>
                <w:rFonts w:hint="eastAsia" w:ascii="方正仿宋_GB2312" w:hAnsi="方正仿宋_GB2312" w:eastAsia="方正仿宋_GB2312" w:cs="方正仿宋_GB2312"/>
                <w:b/>
                <w:sz w:val="24"/>
                <w:szCs w:val="24"/>
              </w:rPr>
              <w:fldChar w:fldCharType="end"/>
            </w:r>
          </w:p>
        </w:tc>
        <w:tc>
          <w:tcPr>
            <w:tcW w:w="1661" w:type="dxa"/>
            <w:vAlign w:val="center"/>
          </w:tcPr>
          <w:p w14:paraId="37400C6D">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fldChar w:fldCharType="begin"/>
            </w:r>
            <w:r>
              <w:rPr>
                <w:rFonts w:hint="eastAsia" w:ascii="方正仿宋_GB2312" w:hAnsi="方正仿宋_GB2312" w:eastAsia="方正仿宋_GB2312" w:cs="方正仿宋_GB2312"/>
                <w:b/>
                <w:sz w:val="24"/>
                <w:szCs w:val="24"/>
              </w:rPr>
              <w:instrText xml:space="preserve"> = sum(G2:G5) \* MERGEFORMAT </w:instrText>
            </w:r>
            <w:r>
              <w:rPr>
                <w:rFonts w:hint="eastAsia" w:ascii="方正仿宋_GB2312" w:hAnsi="方正仿宋_GB2312" w:eastAsia="方正仿宋_GB2312" w:cs="方正仿宋_GB2312"/>
                <w:b/>
                <w:sz w:val="24"/>
                <w:szCs w:val="24"/>
              </w:rPr>
              <w:fldChar w:fldCharType="separate"/>
            </w:r>
            <w:r>
              <w:rPr>
                <w:rFonts w:hint="eastAsia" w:ascii="方正仿宋_GB2312" w:hAnsi="方正仿宋_GB2312" w:eastAsia="方正仿宋_GB2312" w:cs="方正仿宋_GB2312"/>
                <w:b/>
                <w:sz w:val="24"/>
                <w:szCs w:val="24"/>
              </w:rPr>
              <w:t>232.83</w:t>
            </w:r>
            <w:r>
              <w:rPr>
                <w:rFonts w:hint="eastAsia" w:ascii="方正仿宋_GB2312" w:hAnsi="方正仿宋_GB2312" w:eastAsia="方正仿宋_GB2312" w:cs="方正仿宋_GB2312"/>
                <w:b/>
                <w:sz w:val="24"/>
                <w:szCs w:val="24"/>
              </w:rPr>
              <w:fldChar w:fldCharType="end"/>
            </w:r>
          </w:p>
        </w:tc>
      </w:tr>
    </w:tbl>
    <w:p w14:paraId="289D1698">
      <w:pPr>
        <w:ind w:firstLine="600"/>
        <w:jc w:val="center"/>
        <w:outlineLvl w:val="9"/>
        <w:rPr>
          <w:rFonts w:hint="eastAsia" w:ascii="方正仿宋_GB2312" w:hAnsi="方正仿宋_GB2312" w:eastAsia="方正仿宋_GB2312" w:cs="方正仿宋_GB2312"/>
          <w:b/>
          <w:sz w:val="24"/>
        </w:rPr>
      </w:pPr>
    </w:p>
    <w:p w14:paraId="41395A4E">
      <w:pPr>
        <w:ind w:firstLine="600"/>
        <w:outlineLvl w:val="9"/>
        <w:rPr>
          <w:rFonts w:hint="eastAsia" w:ascii="方正仿宋_GB2312" w:hAnsi="方正仿宋_GB2312" w:eastAsia="方正仿宋_GB2312" w:cs="方正仿宋_GB2312"/>
          <w:sz w:val="30"/>
          <w:szCs w:val="30"/>
          <w:lang w:val="en-US"/>
        </w:rPr>
      </w:pPr>
      <w:r>
        <w:rPr>
          <w:rFonts w:hint="eastAsia" w:ascii="方正仿宋_GB2312" w:hAnsi="方正仿宋_GB2312" w:eastAsia="方正仿宋_GB2312" w:cs="方正仿宋_GB2312"/>
          <w:bCs/>
          <w:sz w:val="30"/>
          <w:szCs w:val="30"/>
          <w:lang w:val="en-US" w:eastAsia="zh-CN"/>
        </w:rPr>
        <w:t>6.5</w:t>
      </w:r>
      <w:bookmarkStart w:id="22" w:name="_Toc17373"/>
      <w:r>
        <w:rPr>
          <w:rFonts w:hint="eastAsia" w:ascii="方正仿宋_GB2312" w:hAnsi="方正仿宋_GB2312" w:eastAsia="方正仿宋_GB2312" w:cs="方正仿宋_GB2312"/>
          <w:bCs/>
          <w:sz w:val="30"/>
          <w:szCs w:val="30"/>
          <w:lang w:val="en-US" w:eastAsia="zh-CN"/>
        </w:rPr>
        <w:t xml:space="preserve"> 潭</w:t>
      </w:r>
      <w:r>
        <w:rPr>
          <w:rFonts w:hint="eastAsia" w:ascii="方正仿宋_GB2312" w:hAnsi="方正仿宋_GB2312" w:eastAsia="方正仿宋_GB2312" w:cs="方正仿宋_GB2312"/>
          <w:sz w:val="30"/>
          <w:szCs w:val="30"/>
          <w:lang w:val="en-US"/>
        </w:rPr>
        <w:t>江干流及</w:t>
      </w:r>
      <w:r>
        <w:rPr>
          <w:rFonts w:hint="eastAsia" w:ascii="方正仿宋_GB2312" w:hAnsi="方正仿宋_GB2312" w:eastAsia="方正仿宋_GB2312" w:cs="方正仿宋_GB2312"/>
          <w:sz w:val="30"/>
          <w:szCs w:val="30"/>
          <w:lang w:val="en-US" w:eastAsia="zh-CN"/>
        </w:rPr>
        <w:t>一级</w:t>
      </w:r>
      <w:r>
        <w:rPr>
          <w:rFonts w:hint="eastAsia" w:ascii="方正仿宋_GB2312" w:hAnsi="方正仿宋_GB2312" w:eastAsia="方正仿宋_GB2312" w:cs="方正仿宋_GB2312"/>
          <w:sz w:val="30"/>
          <w:szCs w:val="30"/>
          <w:lang w:val="en-US"/>
        </w:rPr>
        <w:t>支流</w:t>
      </w:r>
      <w:bookmarkEnd w:id="22"/>
    </w:p>
    <w:p w14:paraId="72B8F2C4">
      <w:pPr>
        <w:ind w:firstLine="600"/>
        <w:outlineLvl w:val="9"/>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同时，根据禁养区划定的技术指南《关于印发畜禽养殖禁养区划定技术指南的通知》（环办水体</w:t>
      </w:r>
      <w:r>
        <w:rPr>
          <w:rFonts w:hint="eastAsia" w:ascii="方正仿宋_GB2312" w:hAnsi="方正仿宋_GB2312" w:eastAsia="方正仿宋_GB2312" w:cs="方正仿宋_GB2312"/>
          <w:sz w:val="30"/>
          <w:szCs w:val="30"/>
          <w:lang w:eastAsia="zh-CN"/>
        </w:rPr>
        <w:t>〔2016〕99号</w:t>
      </w:r>
      <w:r>
        <w:rPr>
          <w:rFonts w:hint="eastAsia" w:ascii="方正仿宋_GB2312" w:hAnsi="方正仿宋_GB2312" w:eastAsia="方正仿宋_GB2312" w:cs="方正仿宋_GB2312"/>
          <w:sz w:val="30"/>
          <w:szCs w:val="30"/>
        </w:rPr>
        <w:t>）“兼顾江河源头区、重要河流岸带、重要湖库周边等对水环境影响较大的区域，科学合理划定禁养区范围”的要求，</w:t>
      </w:r>
      <w:r>
        <w:rPr>
          <w:rFonts w:hint="eastAsia" w:ascii="方正仿宋_GB2312" w:hAnsi="方正仿宋_GB2312" w:eastAsia="方正仿宋_GB2312" w:cs="方正仿宋_GB2312"/>
          <w:sz w:val="30"/>
          <w:szCs w:val="30"/>
          <w:lang w:eastAsia="zh-CN"/>
        </w:rPr>
        <w:t>将</w:t>
      </w:r>
      <w:r>
        <w:rPr>
          <w:rFonts w:hint="eastAsia" w:ascii="方正仿宋_GB2312" w:hAnsi="方正仿宋_GB2312" w:eastAsia="方正仿宋_GB2312" w:cs="方正仿宋_GB2312"/>
          <w:sz w:val="30"/>
          <w:szCs w:val="30"/>
        </w:rPr>
        <w:t>潭江主干流两侧500米</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lang w:val="en-US" w:eastAsia="zh-CN"/>
        </w:rPr>
        <w:t>一级</w:t>
      </w:r>
      <w:r>
        <w:rPr>
          <w:rFonts w:hint="eastAsia" w:ascii="方正仿宋_GB2312" w:hAnsi="方正仿宋_GB2312" w:eastAsia="方正仿宋_GB2312" w:cs="方正仿宋_GB2312"/>
          <w:sz w:val="30"/>
          <w:szCs w:val="30"/>
        </w:rPr>
        <w:t>支流两侧200米范围以内（包括莲塘水、茶山坑河、朗底水、良西河、长安河、三山河、太平河、沙岗河、丹竹河、牛庙河、公仔河、廉钩水、琅哥河、仙人河、猪肉湖河、曲水、那扶河）范围划定为禁养区。</w:t>
      </w:r>
    </w:p>
    <w:p w14:paraId="4402504E">
      <w:pPr>
        <w:keepNext/>
        <w:ind w:firstLine="600"/>
        <w:jc w:val="center"/>
        <w:outlineLvl w:val="9"/>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10</w:t>
      </w:r>
      <w:r>
        <w:rPr>
          <w:rFonts w:hint="eastAsia" w:ascii="方正仿宋_GB2312" w:hAnsi="方正仿宋_GB2312" w:eastAsia="方正仿宋_GB2312" w:cs="方正仿宋_GB2312"/>
          <w:b w:val="0"/>
          <w:bCs/>
          <w:sz w:val="32"/>
          <w:szCs w:val="32"/>
        </w:rPr>
        <w:t xml:space="preserve">  潭江干流及</w:t>
      </w:r>
      <w:r>
        <w:rPr>
          <w:rFonts w:hint="eastAsia" w:ascii="方正仿宋_GB2312" w:hAnsi="方正仿宋_GB2312" w:eastAsia="方正仿宋_GB2312" w:cs="方正仿宋_GB2312"/>
          <w:b w:val="0"/>
          <w:bCs/>
          <w:sz w:val="32"/>
          <w:szCs w:val="32"/>
          <w:lang w:val="en-US" w:eastAsia="zh-CN"/>
        </w:rPr>
        <w:t>一级</w:t>
      </w:r>
      <w:r>
        <w:rPr>
          <w:rFonts w:hint="eastAsia" w:ascii="方正仿宋_GB2312" w:hAnsi="方正仿宋_GB2312" w:eastAsia="方正仿宋_GB2312" w:cs="方正仿宋_GB2312"/>
          <w:b w:val="0"/>
          <w:bCs/>
          <w:sz w:val="32"/>
          <w:szCs w:val="32"/>
        </w:rPr>
        <w:t>支流一览表</w:t>
      </w:r>
    </w:p>
    <w:tbl>
      <w:tblPr>
        <w:tblStyle w:val="21"/>
        <w:tblW w:w="8817" w:type="dxa"/>
        <w:jc w:val="center"/>
        <w:shd w:val="clear" w:color="auto" w:fill="auto"/>
        <w:tblLayout w:type="autofit"/>
        <w:tblCellMar>
          <w:top w:w="0" w:type="dxa"/>
          <w:left w:w="0" w:type="dxa"/>
          <w:bottom w:w="0" w:type="dxa"/>
          <w:right w:w="0" w:type="dxa"/>
        </w:tblCellMar>
      </w:tblPr>
      <w:tblGrid>
        <w:gridCol w:w="269"/>
        <w:gridCol w:w="328"/>
        <w:gridCol w:w="846"/>
        <w:gridCol w:w="4556"/>
        <w:gridCol w:w="1197"/>
        <w:gridCol w:w="946"/>
        <w:gridCol w:w="732"/>
      </w:tblGrid>
      <w:tr w14:paraId="12FFAFF1">
        <w:tblPrEx>
          <w:shd w:val="clear" w:color="auto" w:fill="auto"/>
          <w:tblCellMar>
            <w:top w:w="0" w:type="dxa"/>
            <w:left w:w="0" w:type="dxa"/>
            <w:bottom w:w="0" w:type="dxa"/>
            <w:right w:w="0" w:type="dxa"/>
          </w:tblCellMar>
        </w:tblPrEx>
        <w:trPr>
          <w:trHeight w:val="0" w:hRule="atLeast"/>
          <w:tblHeader/>
          <w:jc w:val="center"/>
        </w:trPr>
        <w:tc>
          <w:tcPr>
            <w:tcW w:w="251"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684C5A5">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序号</w:t>
            </w:r>
          </w:p>
        </w:tc>
        <w:tc>
          <w:tcPr>
            <w:tcW w:w="33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B57B2B6">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河流名称</w:t>
            </w:r>
          </w:p>
        </w:tc>
        <w:tc>
          <w:tcPr>
            <w:tcW w:w="86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8E0B82">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0"/>
                <w:sz w:val="24"/>
                <w:szCs w:val="24"/>
                <w:u w:val="none"/>
                <w:lang w:val="en-US" w:eastAsia="zh-CN" w:bidi="ar"/>
              </w:rPr>
            </w:pPr>
            <w:r>
              <w:rPr>
                <w:rFonts w:hint="eastAsia" w:ascii="方正仿宋_GB2312" w:hAnsi="方正仿宋_GB2312" w:eastAsia="方正仿宋_GB2312" w:cs="方正仿宋_GB2312"/>
                <w:b/>
                <w:i w:val="0"/>
                <w:color w:val="000000"/>
                <w:kern w:val="0"/>
                <w:sz w:val="24"/>
                <w:szCs w:val="24"/>
                <w:u w:val="none"/>
                <w:lang w:val="en-US" w:eastAsia="zh-CN" w:bidi="ar"/>
              </w:rPr>
              <w:t>流经镇</w:t>
            </w:r>
          </w:p>
          <w:p w14:paraId="200EFA33">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（街）</w:t>
            </w:r>
          </w:p>
        </w:tc>
        <w:tc>
          <w:tcPr>
            <w:tcW w:w="466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9984D8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河段的起止范围（起始点）</w:t>
            </w:r>
          </w:p>
        </w:tc>
        <w:tc>
          <w:tcPr>
            <w:tcW w:w="122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1541F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kern w:val="0"/>
                <w:sz w:val="24"/>
                <w:szCs w:val="24"/>
                <w:u w:val="none"/>
                <w:lang w:val="en-US" w:eastAsia="zh-CN" w:bidi="ar"/>
              </w:rPr>
            </w:pPr>
            <w:r>
              <w:rPr>
                <w:rFonts w:hint="eastAsia" w:ascii="方正仿宋_GB2312" w:hAnsi="方正仿宋_GB2312" w:eastAsia="方正仿宋_GB2312" w:cs="方正仿宋_GB2312"/>
                <w:b/>
                <w:i w:val="0"/>
                <w:color w:val="000000"/>
                <w:kern w:val="0"/>
                <w:sz w:val="24"/>
                <w:szCs w:val="24"/>
                <w:u w:val="none"/>
                <w:lang w:val="en-US" w:eastAsia="zh-CN" w:bidi="ar"/>
              </w:rPr>
              <w:t>河流长度（恩平段）</w:t>
            </w:r>
          </w:p>
          <w:p w14:paraId="05A5686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(KM)</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6F61AE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水质目标</w:t>
            </w:r>
          </w:p>
        </w:tc>
      </w:tr>
      <w:tr w14:paraId="09FD0F4E">
        <w:tblPrEx>
          <w:shd w:val="clear" w:color="auto" w:fill="auto"/>
          <w:tblCellMar>
            <w:top w:w="0" w:type="dxa"/>
            <w:left w:w="0" w:type="dxa"/>
            <w:bottom w:w="0" w:type="dxa"/>
            <w:right w:w="0" w:type="dxa"/>
          </w:tblCellMar>
        </w:tblPrEx>
        <w:trPr>
          <w:trHeight w:val="0" w:hRule="atLeast"/>
          <w:tblHeader/>
          <w:jc w:val="center"/>
        </w:trPr>
        <w:tc>
          <w:tcPr>
            <w:tcW w:w="251"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9B371F">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i w:val="0"/>
                <w:color w:val="000000"/>
                <w:sz w:val="24"/>
                <w:szCs w:val="24"/>
                <w:u w:val="none"/>
              </w:rPr>
            </w:pPr>
          </w:p>
        </w:tc>
        <w:tc>
          <w:tcPr>
            <w:tcW w:w="3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1E0592D">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i w:val="0"/>
                <w:color w:val="000000"/>
                <w:sz w:val="24"/>
                <w:szCs w:val="24"/>
                <w:u w:val="none"/>
              </w:rPr>
            </w:pPr>
          </w:p>
        </w:tc>
        <w:tc>
          <w:tcPr>
            <w:tcW w:w="86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F6257F9">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i w:val="0"/>
                <w:color w:val="000000"/>
                <w:sz w:val="24"/>
                <w:szCs w:val="24"/>
                <w:u w:val="none"/>
              </w:rPr>
            </w:pPr>
          </w:p>
        </w:tc>
        <w:tc>
          <w:tcPr>
            <w:tcW w:w="466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5E0362">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i w:val="0"/>
                <w:color w:val="000000"/>
                <w:sz w:val="24"/>
                <w:szCs w:val="24"/>
                <w:u w:val="none"/>
              </w:rPr>
            </w:pPr>
          </w:p>
        </w:tc>
        <w:tc>
          <w:tcPr>
            <w:tcW w:w="122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5B4DC4">
            <w:pPr>
              <w:keepNext/>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i w:val="0"/>
                <w:color w:val="000000"/>
                <w:sz w:val="24"/>
                <w:szCs w:val="24"/>
                <w:u w:val="none"/>
              </w:rPr>
            </w:pPr>
          </w:p>
        </w:tc>
        <w:tc>
          <w:tcPr>
            <w:tcW w:w="96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1456D5">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江门市考水质目标</w:t>
            </w:r>
          </w:p>
        </w:tc>
        <w:tc>
          <w:tcPr>
            <w:tcW w:w="7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B3FD6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b/>
                <w:i w:val="0"/>
                <w:color w:val="000000"/>
                <w:sz w:val="24"/>
                <w:szCs w:val="24"/>
                <w:u w:val="none"/>
              </w:rPr>
            </w:pPr>
            <w:r>
              <w:rPr>
                <w:rFonts w:hint="eastAsia" w:ascii="方正仿宋_GB2312" w:hAnsi="方正仿宋_GB2312" w:eastAsia="方正仿宋_GB2312" w:cs="方正仿宋_GB2312"/>
                <w:b/>
                <w:i w:val="0"/>
                <w:color w:val="000000"/>
                <w:kern w:val="0"/>
                <w:sz w:val="24"/>
                <w:szCs w:val="24"/>
                <w:u w:val="none"/>
                <w:lang w:val="en-US" w:eastAsia="zh-CN" w:bidi="ar"/>
              </w:rPr>
              <w:t>恩平市考水质目标</w:t>
            </w:r>
          </w:p>
        </w:tc>
      </w:tr>
      <w:tr w14:paraId="470CEEC1">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59210DA">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1</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84C12D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潭江</w:t>
            </w:r>
          </w:p>
        </w:tc>
        <w:tc>
          <w:tcPr>
            <w:tcW w:w="8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C4948D">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河排林场、那吉镇、大田镇、恩城街道、东成镇、圣堂镇、君堂镇、沙湖镇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D2EAE1">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发源于广东阳江市阳东县牛围岭，自西向东流经恩平、开平、台山、新会，在新会双水镇附近折向南流，经银洲湖出崖门口注入黄茅海。干流全长248公里，流域面积6026平方公里（其中恩平境内1273平方公里）</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9BAF1DA">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89.3</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044DCD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347A19">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10E6A3B1">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926365">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2</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BAFC659">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莲塘水</w:t>
            </w:r>
          </w:p>
        </w:tc>
        <w:tc>
          <w:tcPr>
            <w:tcW w:w="8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A6E0A5">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西坑林场、牛江镇、沙湖镇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4C7E2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发源于天露山脉的五马巡朝岭与天露山主峰之间，向东南流经大沙镇（属开平市）、西坑林场、牛江镇和沙湖镇，于沙湖镇蒲桥处汇入潭江主流。流域面积252 km²（其中恩平市境内集水面积187.06 km²，开平市境内集雨面积64.94 km²）。</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AB9ED0">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30.99</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3B725A5">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9C656E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28E4FAE3">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F4C93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3</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367C1F0">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茶山坑河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B42F6C">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大田镇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1D0C05">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黄沙村、黄沙村</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D33ADC6">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7.18</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1740CE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62C7102">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0251B3EB">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6BB2EEB">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4</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F86405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朗底水</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FF5DE2F">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大田镇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BDC21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朗底水位于潭江上游左岸，发源于天露山脉的五马巡朝岭，流域面积148km（其中上游小（一）型水库大带水库控制集雨面积24km²），恩平市境内河长16.46km，属山区性河流。朗底水自北向南流经大田镇，在大田中学附近汇入锦江主流。</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74BE79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16.46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E9C2F0F">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Ⅱ类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48D66B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Ⅱ类</w:t>
            </w:r>
          </w:p>
        </w:tc>
      </w:tr>
      <w:tr w14:paraId="435C3C53">
        <w:tblPrEx>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B0E91F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5</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B8C6A3C">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良西河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1E8F6F">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圣堂镇、良西镇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381A49">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发源于大帽顶及独树坳顶廿四坑，向东南经良西镇龙山、福坪管区、圣堂镇长安、进职管区海仔口注入锦江干流。</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9305CC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25.06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598D6B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2786A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768E458D">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7D9F173">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6</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235F9BB">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长安河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CAF3809">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恩城街道、圣堂镇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1A691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长安河为潭江支流，位于潭江左岸，发源于锦江花城，向东流经恩城街道办事处石栏、石青、平塘、锦岗四个村委会以及圣堂镇三联、长安、进职三个村委会于蒲芦顶注入锦江干流。流域全长9.87km，控制面积34.5km²。</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18EB459">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9.87</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EE7012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A4055E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4C49D724">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2DA088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7</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0B7B215">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三山河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B6FEEAB">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良西镇、圣堂镇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68BE96">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发源于良西禾毕岭，向东流经良西镇龙安塘、学坪、那湾及圣堂三山管区，于海仔口注入潭江。</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18035A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16.6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D13747A">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EF704C">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6A550277">
        <w:tblPrEx>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7FF1E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8</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E4DCF0">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太平河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3BE2FA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良西镇、圣堂镇、君堂镇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FE8E58">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发源于牛仔颈岭东侧，向东流经良西镇雁鹅、良东和圣堂镇三山、区村、水塘村委会以及君堂镇东北雁、太平、永华、江洲圩、堡城村委会注入潭江。</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049C16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19.43</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9C760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E366D2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7C176770">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73BF7A0">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9</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F6BF6A1">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沙岗河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FB3AA5">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牛江镇、君堂镇、沙湖镇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E1D795">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沙岗河为潭江支流，位于潭江左岸，发源于牛江锦七堡山，向东流经牛江镇梨园、高联、龙湾、岭南和江洲中安、君堂镇沙岗、西园管区注入潭江，流域全长14.04km，控制面积25.4km²，河床比降为0.15%。</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123EAE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14.04</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E97BCC3">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3A8AA3F">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50192790">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D76AF3F">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10</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1F622C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丹竹河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3B647D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大田镇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C0C368">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发源于大人山脉，向北流经河排林场，大田华南村，于岗头注入锦江干流。</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57D9B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0"/>
                <w:sz w:val="24"/>
                <w:szCs w:val="24"/>
                <w:u w:val="none"/>
                <w:lang w:val="en-US" w:eastAsia="zh-CN" w:bidi="ar"/>
              </w:rPr>
            </w:pPr>
            <w:r>
              <w:rPr>
                <w:rFonts w:hint="eastAsia" w:ascii="方正仿宋_GB2312" w:hAnsi="方正仿宋_GB2312" w:eastAsia="方正仿宋_GB2312" w:cs="方正仿宋_GB2312"/>
                <w:i w:val="0"/>
                <w:color w:val="000000"/>
                <w:kern w:val="0"/>
                <w:sz w:val="24"/>
                <w:szCs w:val="24"/>
                <w:u w:val="none"/>
                <w:lang w:val="en-US" w:eastAsia="zh-CN" w:bidi="ar"/>
              </w:rPr>
              <w:t>15.6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5E450B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65418F6">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kern w:val="2"/>
                <w:sz w:val="24"/>
                <w:szCs w:val="24"/>
                <w:u w:val="none"/>
                <w:lang w:val="en-US" w:eastAsia="zh-CN" w:bidi="ar-SA"/>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3F18AE76">
        <w:tblPrEx>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09E7012">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11</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765CB88">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公仔河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BED7E1F">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恩城街道、东成镇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C470E7">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公仔河长约11.76km，集雨面积20.1 km²，起源于南联村委会，流经中南村委会、小岛厂前、东安社区，流入锦江河。</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592E62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11.76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707E2D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374280">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0B9086AA">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98CFB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12</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420DB99">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廉钩水</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CFD2E3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东成镇</w:t>
            </w:r>
          </w:p>
        </w:tc>
        <w:tc>
          <w:tcPr>
            <w:tcW w:w="4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F45F91">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廉钩水为潭江支流，位于潭江右岸，发源于三角山与二指山之间，向北流经祝荷村、金坑村和塘洲村，于龙围附近注入锦江干流。河道全长12.29km，控制面积30.9km²。</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FF439F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12.29</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CA7186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8015212">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431B73B1">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5866F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lang w:val="en-US" w:eastAsia="zh-CN"/>
              </w:rPr>
            </w:pPr>
            <w:r>
              <w:rPr>
                <w:rFonts w:hint="eastAsia" w:ascii="方正仿宋_GB2312" w:hAnsi="方正仿宋_GB2312" w:eastAsia="方正仿宋_GB2312" w:cs="方正仿宋_GB2312"/>
                <w:i w:val="0"/>
                <w:color w:val="000000"/>
                <w:sz w:val="24"/>
                <w:szCs w:val="24"/>
                <w:u w:val="none"/>
                <w:lang w:val="en-US" w:eastAsia="zh-CN"/>
              </w:rPr>
              <w:t>13</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AC23032">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仙人河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F19E1AF">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恩城街道</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6E842AC">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中南村，河南居委会</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A4A742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3.23</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5D4BC3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60E423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000000"/>
                <w:sz w:val="24"/>
                <w:szCs w:val="24"/>
                <w:u w:val="none"/>
              </w:rPr>
            </w:pPr>
            <w:r>
              <w:rPr>
                <w:rFonts w:hint="eastAsia" w:ascii="方正仿宋_GB2312" w:hAnsi="方正仿宋_GB2312" w:eastAsia="方正仿宋_GB2312" w:cs="方正仿宋_GB2312"/>
                <w:i w:val="0"/>
                <w:color w:val="000000"/>
                <w:kern w:val="0"/>
                <w:sz w:val="24"/>
                <w:szCs w:val="24"/>
                <w:u w:val="none"/>
                <w:lang w:val="en-US" w:eastAsia="zh-CN" w:bidi="ar"/>
              </w:rPr>
              <w:t>Ⅲ类</w:t>
            </w:r>
          </w:p>
        </w:tc>
      </w:tr>
      <w:tr w14:paraId="266E875A">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55F64AC">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lang w:val="en-US" w:eastAsia="zh-CN"/>
              </w:rPr>
            </w:pPr>
            <w:r>
              <w:rPr>
                <w:rFonts w:hint="eastAsia" w:ascii="方正仿宋_GB2312" w:hAnsi="方正仿宋_GB2312" w:eastAsia="方正仿宋_GB2312" w:cs="方正仿宋_GB2312"/>
                <w:i w:val="0"/>
                <w:color w:val="auto"/>
                <w:sz w:val="24"/>
                <w:szCs w:val="24"/>
                <w:u w:val="none"/>
                <w:lang w:val="en-US" w:eastAsia="zh-CN"/>
              </w:rPr>
              <w:t>14</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47C7CB4">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牛庙河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7B2CD8">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恩城街道</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8380230">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联合六面咀，凤山居委会</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FD72C89">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3.6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B1E69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520603F">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r>
      <w:tr w14:paraId="3B90B6E8">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7AA5CEA">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lang w:val="en-US" w:eastAsia="zh-CN"/>
              </w:rPr>
            </w:pPr>
            <w:r>
              <w:rPr>
                <w:rFonts w:hint="eastAsia" w:ascii="方正仿宋_GB2312" w:hAnsi="方正仿宋_GB2312" w:eastAsia="方正仿宋_GB2312" w:cs="方正仿宋_GB2312"/>
                <w:i w:val="0"/>
                <w:color w:val="auto"/>
                <w:sz w:val="24"/>
                <w:szCs w:val="24"/>
                <w:u w:val="none"/>
                <w:lang w:val="en-US" w:eastAsia="zh-CN"/>
              </w:rPr>
              <w:t>15</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97E0A0">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琅哥河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9D5F67">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君堂镇</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196D5CF">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石潭村高灯远照、潢步头村入潭江</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3FF651A">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24.96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2103BBC">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786CB2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r>
      <w:tr w14:paraId="2F7BFA23">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46B278D">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lang w:val="en-US" w:eastAsia="zh-CN"/>
              </w:rPr>
            </w:pPr>
            <w:r>
              <w:rPr>
                <w:rFonts w:hint="eastAsia" w:ascii="方正仿宋_GB2312" w:hAnsi="方正仿宋_GB2312" w:eastAsia="方正仿宋_GB2312" w:cs="方正仿宋_GB2312"/>
                <w:i w:val="0"/>
                <w:color w:val="auto"/>
                <w:sz w:val="24"/>
                <w:szCs w:val="24"/>
                <w:u w:val="none"/>
                <w:lang w:val="en-US" w:eastAsia="zh-CN"/>
              </w:rPr>
              <w:t>16</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F05E56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猪肉湖河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EA51020">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恩城街道</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49E941B">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中南村，小岛居委会</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BB3DF5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2.81</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0BE803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DA6961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sz w:val="24"/>
                <w:szCs w:val="24"/>
                <w:u w:val="none"/>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r>
      <w:tr w14:paraId="57338AF3">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F6B1F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17</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252A6D7">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曲水</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A0ADC49">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沙湖镇</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77F11E">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曲水由开平市大沙镇东城村三叉口桥流入沙湖镇圣园村委会五里口，至沙湖镇南坑村委会沙田村流进开平市四九镇。</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F17CA6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5.2</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1ECB07E">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2"/>
                <w:sz w:val="24"/>
                <w:szCs w:val="24"/>
                <w:u w:val="none"/>
                <w:lang w:val="en-US" w:eastAsia="zh-CN" w:bidi="ar-SA"/>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BC9001">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2"/>
                <w:sz w:val="24"/>
                <w:szCs w:val="24"/>
                <w:u w:val="none"/>
                <w:lang w:val="en-US" w:eastAsia="zh-CN" w:bidi="ar-SA"/>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r>
      <w:tr w14:paraId="1277B1F0">
        <w:tblPrEx>
          <w:shd w:val="clear" w:color="auto" w:fill="auto"/>
          <w:tblCellMar>
            <w:top w:w="0" w:type="dxa"/>
            <w:left w:w="0" w:type="dxa"/>
            <w:bottom w:w="0" w:type="dxa"/>
            <w:right w:w="0" w:type="dxa"/>
          </w:tblCellMar>
        </w:tblPrEx>
        <w:trPr>
          <w:trHeight w:val="0" w:hRule="atLeast"/>
          <w:jc w:val="center"/>
        </w:trPr>
        <w:tc>
          <w:tcPr>
            <w:tcW w:w="25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00041CC">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18</w:t>
            </w:r>
          </w:p>
        </w:tc>
        <w:tc>
          <w:tcPr>
            <w:tcW w:w="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EF48FD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那扶河</w:t>
            </w:r>
          </w:p>
        </w:tc>
        <w:tc>
          <w:tcPr>
            <w:tcW w:w="8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89047CA">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横陂镇</w:t>
            </w:r>
          </w:p>
        </w:tc>
        <w:tc>
          <w:tcPr>
            <w:tcW w:w="46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8993E16">
            <w:pPr>
              <w:keepNext/>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源于开平市鱼潭山，流经横墩、红坎、泗门大、小门处汇合，集水面积226平方公里，河流长度36公里的一级支流深井水，再经那扶墟后于横山出口镇海湾入南海，流域面积684平方公里，主河长52公里。</w:t>
            </w:r>
          </w:p>
        </w:tc>
        <w:tc>
          <w:tcPr>
            <w:tcW w:w="12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ED19A8">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0"/>
                <w:sz w:val="24"/>
                <w:szCs w:val="24"/>
                <w:u w:val="none"/>
                <w:lang w:val="en-US" w:eastAsia="zh-CN" w:bidi="ar"/>
              </w:rPr>
            </w:pPr>
            <w:r>
              <w:rPr>
                <w:rFonts w:hint="eastAsia" w:ascii="方正仿宋_GB2312" w:hAnsi="方正仿宋_GB2312" w:eastAsia="方正仿宋_GB2312" w:cs="方正仿宋_GB2312"/>
                <w:i w:val="0"/>
                <w:color w:val="auto"/>
                <w:kern w:val="0"/>
                <w:sz w:val="24"/>
                <w:szCs w:val="24"/>
                <w:u w:val="none"/>
                <w:lang w:val="en-US" w:eastAsia="zh-CN" w:bidi="ar"/>
              </w:rPr>
              <w:t>14.8</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81D24C7">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2"/>
                <w:sz w:val="24"/>
                <w:szCs w:val="24"/>
                <w:u w:val="none"/>
                <w:lang w:val="en-US" w:eastAsia="zh-CN" w:bidi="ar-SA"/>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c>
          <w:tcPr>
            <w:tcW w:w="7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5783B4">
            <w:pPr>
              <w:keepNext/>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color w:val="auto"/>
                <w:kern w:val="2"/>
                <w:sz w:val="24"/>
                <w:szCs w:val="24"/>
                <w:u w:val="none"/>
                <w:lang w:val="en-US" w:eastAsia="zh-CN" w:bidi="ar-SA"/>
              </w:rPr>
            </w:pPr>
            <w:r>
              <w:rPr>
                <w:rFonts w:hint="eastAsia" w:ascii="方正仿宋_GB2312" w:hAnsi="方正仿宋_GB2312" w:eastAsia="方正仿宋_GB2312" w:cs="方正仿宋_GB2312"/>
                <w:i w:val="0"/>
                <w:color w:val="auto"/>
                <w:kern w:val="0"/>
                <w:sz w:val="24"/>
                <w:szCs w:val="24"/>
                <w:u w:val="none"/>
                <w:lang w:val="en-US" w:eastAsia="zh-CN" w:bidi="ar"/>
              </w:rPr>
              <w:t>Ⅲ类</w:t>
            </w:r>
          </w:p>
        </w:tc>
      </w:tr>
    </w:tbl>
    <w:p w14:paraId="5E588853">
      <w:pPr>
        <w:pStyle w:val="20"/>
        <w:outlineLvl w:val="9"/>
        <w:rPr>
          <w:rFonts w:hint="eastAsia" w:ascii="方正仿宋_GB2312" w:hAnsi="方正仿宋_GB2312" w:eastAsia="方正仿宋_GB2312" w:cs="方正仿宋_GB2312"/>
          <w:lang w:val="en-US" w:eastAsia="zh-CN"/>
        </w:rPr>
      </w:pPr>
    </w:p>
    <w:p w14:paraId="2D2847BC">
      <w:pPr>
        <w:numPr>
          <w:ilvl w:val="0"/>
          <w:numId w:val="0"/>
        </w:numPr>
        <w:tabs>
          <w:tab w:val="left" w:pos="709"/>
        </w:tabs>
        <w:spacing w:beforeLines="50" w:afterLines="50"/>
        <w:ind w:left="0" w:leftChars="0" w:firstLine="0" w:firstLineChars="0"/>
        <w:outlineLvl w:val="9"/>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val="0"/>
          <w:bCs/>
          <w:i w:val="0"/>
          <w:kern w:val="2"/>
          <w:sz w:val="32"/>
          <w:szCs w:val="30"/>
          <w:u w:val="none"/>
          <w:lang w:val="en-US" w:eastAsia="zh-CN" w:bidi="ar-SA"/>
        </w:rPr>
        <w:t xml:space="preserve">    </w:t>
      </w:r>
      <w:r>
        <w:rPr>
          <w:rFonts w:hint="eastAsia" w:ascii="方正仿宋_GB2312" w:hAnsi="方正仿宋_GB2312" w:eastAsia="方正仿宋_GB2312" w:cs="方正仿宋_GB2312"/>
          <w:bCs/>
          <w:sz w:val="30"/>
          <w:szCs w:val="30"/>
          <w:lang w:val="en-US" w:eastAsia="zh-CN"/>
        </w:rPr>
        <w:t>6.6</w:t>
      </w:r>
      <w:bookmarkStart w:id="23" w:name="_Toc7121"/>
      <w:bookmarkStart w:id="24" w:name="_Toc96"/>
      <w:r>
        <w:rPr>
          <w:rFonts w:hint="eastAsia" w:ascii="方正仿宋_GB2312" w:hAnsi="方正仿宋_GB2312" w:eastAsia="方正仿宋_GB2312" w:cs="方正仿宋_GB2312"/>
          <w:color w:val="auto"/>
          <w:sz w:val="30"/>
          <w:szCs w:val="30"/>
          <w:lang w:val="en-US" w:eastAsia="zh-CN"/>
        </w:rPr>
        <w:t>恩平市高铁站场片区</w:t>
      </w:r>
      <w:bookmarkEnd w:id="23"/>
      <w:bookmarkEnd w:id="24"/>
    </w:p>
    <w:p w14:paraId="50D1604A">
      <w:pPr>
        <w:ind w:firstLine="600"/>
        <w:outlineLvl w:val="9"/>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sz w:val="30"/>
          <w:szCs w:val="30"/>
          <w:lang w:val="en-US" w:eastAsia="zh-CN"/>
        </w:rPr>
        <w:t>2023年恩平市人民政府审议通过了《恩平市高铁站场片区控制线详细规划》（恩府办函〔2023〕2号），规划把恩平高铁站场周边打造结合恩平的城市、历史、文化特色，成为一个方便、快捷、安全、大气的站前广场，同时能凸显恩平特色文化的场所。建设完成后，高铁站场片区将是集休闲、旅游、购物、商务办公、居住功能复合的恩平西铁新城城市核心。本次禁养区调整把恩平市高铁站场片区规划列入禁养区范围，面积合计2.8674平方公里（286.74公顷）。</w:t>
      </w:r>
    </w:p>
    <w:p w14:paraId="0D27514F">
      <w:pPr>
        <w:ind w:firstLine="600"/>
        <w:jc w:val="center"/>
        <w:outlineLvl w:val="9"/>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rPr>
        <w:t>表</w:t>
      </w:r>
      <w:r>
        <w:rPr>
          <w:rFonts w:hint="eastAsia" w:ascii="方正仿宋_GB2312" w:hAnsi="方正仿宋_GB2312" w:eastAsia="方正仿宋_GB2312" w:cs="方正仿宋_GB2312"/>
          <w:b w:val="0"/>
          <w:bCs/>
          <w:sz w:val="32"/>
          <w:szCs w:val="32"/>
          <w:lang w:val="en-US" w:eastAsia="zh-CN"/>
        </w:rPr>
        <w:t>11</w:t>
      </w:r>
      <w:r>
        <w:rPr>
          <w:rFonts w:hint="eastAsia" w:ascii="方正仿宋_GB2312" w:hAnsi="方正仿宋_GB2312" w:eastAsia="方正仿宋_GB2312" w:cs="方正仿宋_GB2312"/>
          <w:b w:val="0"/>
          <w:bCs/>
          <w:sz w:val="32"/>
          <w:szCs w:val="32"/>
        </w:rPr>
        <w:t xml:space="preserve">  恩平市</w:t>
      </w:r>
      <w:r>
        <w:rPr>
          <w:rFonts w:hint="eastAsia" w:ascii="方正仿宋_GB2312" w:hAnsi="方正仿宋_GB2312" w:eastAsia="方正仿宋_GB2312" w:cs="方正仿宋_GB2312"/>
          <w:b w:val="0"/>
          <w:bCs/>
          <w:sz w:val="32"/>
          <w:szCs w:val="32"/>
          <w:lang w:val="en-US" w:eastAsia="zh-CN"/>
        </w:rPr>
        <w:t>高铁站场规划范围</w:t>
      </w:r>
    </w:p>
    <w:tbl>
      <w:tblPr>
        <w:tblStyle w:val="2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6"/>
        <w:gridCol w:w="1856"/>
        <w:gridCol w:w="1856"/>
        <w:gridCol w:w="1456"/>
        <w:gridCol w:w="2156"/>
      </w:tblGrid>
      <w:tr w14:paraId="19DF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36" w:type="dxa"/>
            <w:vMerge w:val="restart"/>
            <w:vAlign w:val="center"/>
          </w:tcPr>
          <w:p w14:paraId="1251D10D">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名称</w:t>
            </w:r>
          </w:p>
        </w:tc>
        <w:tc>
          <w:tcPr>
            <w:tcW w:w="1856" w:type="dxa"/>
            <w:vMerge w:val="restart"/>
            <w:vAlign w:val="center"/>
          </w:tcPr>
          <w:p w14:paraId="0EEC9BD8">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规划用地面积</w:t>
            </w:r>
          </w:p>
          <w:p w14:paraId="55C89CD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（公顷）</w:t>
            </w:r>
          </w:p>
        </w:tc>
        <w:tc>
          <w:tcPr>
            <w:tcW w:w="1456" w:type="dxa"/>
            <w:gridSpan w:val="2"/>
            <w:vAlign w:val="center"/>
          </w:tcPr>
          <w:p w14:paraId="5068E68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建设用地面积（公顷）</w:t>
            </w:r>
          </w:p>
        </w:tc>
        <w:tc>
          <w:tcPr>
            <w:tcW w:w="2156" w:type="dxa"/>
            <w:vMerge w:val="restart"/>
            <w:vAlign w:val="center"/>
          </w:tcPr>
          <w:p w14:paraId="5BCCDCE0">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非建设用地面积</w:t>
            </w:r>
          </w:p>
          <w:p w14:paraId="621D4B3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（公顷）</w:t>
            </w:r>
          </w:p>
        </w:tc>
      </w:tr>
      <w:tr w14:paraId="57C9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36" w:type="dxa"/>
            <w:vMerge w:val="continue"/>
            <w:vAlign w:val="center"/>
          </w:tcPr>
          <w:p w14:paraId="267262E6">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p>
        </w:tc>
        <w:tc>
          <w:tcPr>
            <w:tcW w:w="1856" w:type="dxa"/>
            <w:vMerge w:val="continue"/>
            <w:vAlign w:val="center"/>
          </w:tcPr>
          <w:p w14:paraId="625A7C31">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p>
        </w:tc>
        <w:tc>
          <w:tcPr>
            <w:tcW w:w="1856" w:type="dxa"/>
            <w:vAlign w:val="center"/>
          </w:tcPr>
          <w:p w14:paraId="3572EBB4">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城市建设用地</w:t>
            </w:r>
          </w:p>
          <w:p w14:paraId="719E1739">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（公顷）</w:t>
            </w:r>
          </w:p>
        </w:tc>
        <w:tc>
          <w:tcPr>
            <w:tcW w:w="1456" w:type="dxa"/>
            <w:vAlign w:val="center"/>
          </w:tcPr>
          <w:p w14:paraId="7160C18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铁路用地</w:t>
            </w:r>
          </w:p>
          <w:p w14:paraId="27068367">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r>
              <w:rPr>
                <w:rFonts w:hint="eastAsia" w:ascii="方正仿宋_GB2312" w:hAnsi="方正仿宋_GB2312" w:eastAsia="方正仿宋_GB2312" w:cs="方正仿宋_GB2312"/>
                <w:b/>
                <w:sz w:val="24"/>
                <w:szCs w:val="24"/>
                <w:lang w:val="en-US" w:eastAsia="zh-CN"/>
              </w:rPr>
              <w:t>（公顷）</w:t>
            </w:r>
          </w:p>
        </w:tc>
        <w:tc>
          <w:tcPr>
            <w:tcW w:w="2156" w:type="dxa"/>
            <w:vMerge w:val="continue"/>
            <w:vAlign w:val="center"/>
          </w:tcPr>
          <w:p w14:paraId="194D164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sz w:val="24"/>
                <w:szCs w:val="24"/>
                <w:lang w:val="en-US" w:eastAsia="zh-CN"/>
              </w:rPr>
            </w:pPr>
          </w:p>
        </w:tc>
      </w:tr>
      <w:tr w14:paraId="1933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6" w:type="dxa"/>
            <w:vAlign w:val="center"/>
          </w:tcPr>
          <w:p w14:paraId="2DB7E5B3">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val="0"/>
                <w:bCs/>
                <w:sz w:val="24"/>
                <w:szCs w:val="24"/>
                <w:lang w:val="en-US" w:eastAsia="zh-CN"/>
              </w:rPr>
            </w:pPr>
            <w:r>
              <w:rPr>
                <w:rFonts w:hint="eastAsia" w:ascii="方正仿宋_GB2312" w:hAnsi="方正仿宋_GB2312" w:eastAsia="方正仿宋_GB2312" w:cs="方正仿宋_GB2312"/>
                <w:b w:val="0"/>
                <w:bCs/>
                <w:sz w:val="24"/>
                <w:szCs w:val="24"/>
                <w:lang w:val="en-US" w:eastAsia="zh-CN"/>
              </w:rPr>
              <w:t>恩平高铁站场</w:t>
            </w:r>
          </w:p>
        </w:tc>
        <w:tc>
          <w:tcPr>
            <w:tcW w:w="1856" w:type="dxa"/>
            <w:vAlign w:val="center"/>
          </w:tcPr>
          <w:p w14:paraId="143CF505">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val="0"/>
                <w:bCs/>
                <w:sz w:val="24"/>
                <w:szCs w:val="24"/>
                <w:lang w:val="en-US" w:eastAsia="zh-CN"/>
              </w:rPr>
            </w:pPr>
            <w:r>
              <w:rPr>
                <w:rFonts w:hint="eastAsia" w:ascii="方正仿宋_GB2312" w:hAnsi="方正仿宋_GB2312" w:eastAsia="方正仿宋_GB2312" w:cs="方正仿宋_GB2312"/>
                <w:b w:val="0"/>
                <w:bCs/>
                <w:sz w:val="24"/>
                <w:szCs w:val="24"/>
                <w:lang w:val="en-US" w:eastAsia="zh-CN"/>
              </w:rPr>
              <w:t>286.74</w:t>
            </w:r>
          </w:p>
        </w:tc>
        <w:tc>
          <w:tcPr>
            <w:tcW w:w="1856" w:type="dxa"/>
            <w:vAlign w:val="center"/>
          </w:tcPr>
          <w:p w14:paraId="110049D7">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val="0"/>
                <w:bCs/>
                <w:sz w:val="24"/>
                <w:szCs w:val="24"/>
                <w:lang w:val="en-US" w:eastAsia="zh-CN"/>
              </w:rPr>
            </w:pPr>
            <w:r>
              <w:rPr>
                <w:rFonts w:hint="eastAsia" w:ascii="方正仿宋_GB2312" w:hAnsi="方正仿宋_GB2312" w:eastAsia="方正仿宋_GB2312" w:cs="方正仿宋_GB2312"/>
                <w:b w:val="0"/>
                <w:bCs/>
                <w:sz w:val="24"/>
                <w:szCs w:val="24"/>
                <w:lang w:val="en-US" w:eastAsia="zh-CN"/>
              </w:rPr>
              <w:t>171.17</w:t>
            </w:r>
          </w:p>
        </w:tc>
        <w:tc>
          <w:tcPr>
            <w:tcW w:w="1456" w:type="dxa"/>
            <w:vAlign w:val="center"/>
          </w:tcPr>
          <w:p w14:paraId="77AFA4FE">
            <w:pPr>
              <w:snapToGrid w:val="0"/>
              <w:spacing w:line="240" w:lineRule="auto"/>
              <w:ind w:left="0" w:leftChars="0" w:right="0" w:rightChars="0" w:firstLine="0" w:firstLineChars="0"/>
              <w:jc w:val="center"/>
              <w:outlineLvl w:val="9"/>
              <w:rPr>
                <w:rFonts w:hint="eastAsia" w:ascii="方正仿宋_GB2312" w:hAnsi="方正仿宋_GB2312" w:eastAsia="方正仿宋_GB2312" w:cs="方正仿宋_GB2312"/>
                <w:b w:val="0"/>
                <w:bCs/>
                <w:sz w:val="24"/>
                <w:szCs w:val="24"/>
                <w:lang w:val="en-US" w:eastAsia="zh-CN"/>
              </w:rPr>
            </w:pPr>
            <w:r>
              <w:rPr>
                <w:rFonts w:hint="eastAsia" w:ascii="方正仿宋_GB2312" w:hAnsi="方正仿宋_GB2312" w:eastAsia="方正仿宋_GB2312" w:cs="方正仿宋_GB2312"/>
                <w:b w:val="0"/>
                <w:bCs/>
                <w:sz w:val="24"/>
                <w:szCs w:val="24"/>
                <w:lang w:val="en-US" w:eastAsia="zh-CN"/>
              </w:rPr>
              <w:t>1.24</w:t>
            </w:r>
          </w:p>
        </w:tc>
        <w:tc>
          <w:tcPr>
            <w:tcW w:w="2156" w:type="dxa"/>
            <w:vAlign w:val="center"/>
          </w:tcPr>
          <w:p w14:paraId="537953E2">
            <w:pPr>
              <w:snapToGrid w:val="0"/>
              <w:spacing w:line="240" w:lineRule="auto"/>
              <w:jc w:val="center"/>
              <w:outlineLvl w:val="9"/>
              <w:rPr>
                <w:rFonts w:hint="eastAsia" w:ascii="方正仿宋_GB2312" w:hAnsi="方正仿宋_GB2312" w:eastAsia="方正仿宋_GB2312" w:cs="方正仿宋_GB2312"/>
                <w:b w:val="0"/>
                <w:bCs/>
                <w:sz w:val="24"/>
                <w:szCs w:val="24"/>
                <w:lang w:val="en-US" w:eastAsia="zh-CN"/>
              </w:rPr>
            </w:pPr>
            <w:r>
              <w:rPr>
                <w:rFonts w:hint="eastAsia" w:ascii="方正仿宋_GB2312" w:hAnsi="方正仿宋_GB2312" w:eastAsia="方正仿宋_GB2312" w:cs="方正仿宋_GB2312"/>
                <w:b w:val="0"/>
                <w:bCs/>
                <w:sz w:val="24"/>
                <w:szCs w:val="24"/>
                <w:lang w:val="en-US" w:eastAsia="zh-CN"/>
              </w:rPr>
              <w:t>114.33</w:t>
            </w:r>
          </w:p>
        </w:tc>
      </w:tr>
    </w:tbl>
    <w:p w14:paraId="180B50B6">
      <w:pPr>
        <w:pStyle w:val="20"/>
        <w:outlineLvl w:val="9"/>
        <w:rPr>
          <w:rFonts w:hint="eastAsia" w:ascii="方正仿宋_GB2312" w:hAnsi="方正仿宋_GB2312" w:eastAsia="方正仿宋_GB2312" w:cs="方正仿宋_GB2312"/>
          <w:lang w:val="en-US" w:eastAsia="zh-CN"/>
        </w:rPr>
      </w:pPr>
    </w:p>
    <w:p w14:paraId="3BECED3F">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在与生态保护红线格局相协调前提下，根据分区划定结果，结合边界条件，对重复区域进行合并，按照就高不就低原则，共划定禁养区面积602.86km</w:t>
      </w:r>
      <w:r>
        <w:rPr>
          <w:rFonts w:hint="eastAsia" w:ascii="方正仿宋_GB2312" w:hAnsi="方正仿宋_GB2312" w:eastAsia="方正仿宋_GB2312" w:cs="方正仿宋_GB2312"/>
          <w:color w:val="000000" w:themeColor="text1"/>
          <w:vertAlign w:val="superscript"/>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总面积的35.58%。</w:t>
      </w:r>
    </w:p>
    <w:p w14:paraId="37823748">
      <w:pPr>
        <w:ind w:firstLine="640"/>
        <w:rPr>
          <w:rFonts w:hint="eastAsia" w:ascii="方正仿宋_GB2312" w:hAnsi="方正仿宋_GB2312" w:eastAsia="方正仿宋_GB2312" w:cs="方正仿宋_GB2312"/>
          <w:color w:val="000000" w:themeColor="text1"/>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198F993A">
      <w:pPr>
        <w:spacing w:line="240" w:lineRule="atLeast"/>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drawing>
          <wp:inline distT="0" distB="0" distL="0" distR="0">
            <wp:extent cx="5187315" cy="6525260"/>
            <wp:effectExtent l="0" t="0" r="0" b="0"/>
            <wp:docPr id="1376309407" name="图片 14" descr="C:/Users/Administrator/Desktop/2025生猪污染防治规划/禁养区示意图.png禁养区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09407" name="图片 14" descr="C:/Users/Administrator/Desktop/2025生猪污染防治规划/禁养区示意图.png禁养区示意图"/>
                    <pic:cNvPicPr>
                      <a:picLocks noChangeAspect="1" noChangeArrowheads="1"/>
                    </pic:cNvPicPr>
                  </pic:nvPicPr>
                  <pic:blipFill>
                    <a:blip r:embed="rId39"/>
                    <a:srcRect t="181" b="6"/>
                    <a:stretch>
                      <a:fillRect/>
                    </a:stretch>
                  </pic:blipFill>
                  <pic:spPr>
                    <a:xfrm>
                      <a:off x="0" y="0"/>
                      <a:ext cx="5187315" cy="6525260"/>
                    </a:xfrm>
                    <a:prstGeom prst="rect">
                      <a:avLst/>
                    </a:prstGeom>
                    <a:noFill/>
                    <a:ln>
                      <a:solidFill>
                        <a:schemeClr val="tx1"/>
                      </a:solidFill>
                    </a:ln>
                  </pic:spPr>
                </pic:pic>
              </a:graphicData>
            </a:graphic>
          </wp:inline>
        </w:drawing>
      </w:r>
    </w:p>
    <w:p w14:paraId="34F61845">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图4</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畜禽养殖禁养区划定结果图</w:t>
      </w:r>
    </w:p>
    <w:p w14:paraId="600DCC82">
      <w:pPr>
        <w:ind w:firstLine="640"/>
        <w:rPr>
          <w:rFonts w:hint="eastAsia" w:ascii="方正仿宋_GB2312" w:hAnsi="方正仿宋_GB2312" w:eastAsia="方正仿宋_GB2312" w:cs="方正仿宋_GB2312"/>
          <w:color w:val="000000" w:themeColor="text1"/>
          <w14:textFill>
            <w14:solidFill>
              <w14:schemeClr w14:val="tx1"/>
            </w14:solidFill>
          </w14:textFill>
        </w:rPr>
        <w:sectPr>
          <w:footerReference r:id="rId20" w:type="default"/>
          <w:footerReference r:id="rId21"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0C6B6EF9">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25" w:name="_Toc187940519"/>
      <w:bookmarkStart w:id="26" w:name="_Toc1659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（六）</w:t>
      </w:r>
      <w:bookmarkEnd w:id="25"/>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恩平市畜牧业发展规划和种养循环发展规划（2020—2025年）</w:t>
      </w:r>
      <w:bookmarkEnd w:id="26"/>
    </w:p>
    <w:p w14:paraId="108CEE7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恩平市畜牧业发展规划和种养循环发展规划（2020—2025年）</w:t>
      </w: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实际情况制定</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畜牧业发展目标和产业发展功能区域。</w:t>
      </w:r>
    </w:p>
    <w:p w14:paraId="09A54B4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1.发展目标</w:t>
      </w:r>
    </w:p>
    <w:p w14:paraId="4BE8F805">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规划在有效承载能力的基础上，合理划分发展区域，实现区域布局科学化、养殖技术生态化、废弃物排放减量化和畜产品质量优质化。突出恩平畜禽品种特色，引进和培育龙头企业和合作组织，联结农户形成生态养殖产业带；发展畜产品加工流通业，推进产业化经营和品牌建设；加快科技创新和成果转化，转变畜牧业发展模式，提高畜产品质量和市场竞争力；努力促进三个转变：即实现畜牧业由以消耗资源为主的外延型向科技含量较高的内涵型转变、由以发展牲畜头数为主的数量型向经济效益较高的质量型转变、由以生产、出售初级产品为主的原料型向精、深加工</w:t>
      </w:r>
      <w:r>
        <w:rPr>
          <w:rFonts w:hint="eastAsia" w:ascii="方正仿宋_GB2312" w:hAnsi="方正仿宋_GB2312" w:eastAsia="方正仿宋_GB2312" w:cs="方正仿宋_GB2312"/>
          <w:color w:val="000000" w:themeColor="text1"/>
          <w:lang w:eastAsia="zh-CN"/>
          <w14:textFill>
            <w14:solidFill>
              <w14:schemeClr w14:val="tx1"/>
            </w14:solidFill>
          </w14:textFill>
        </w:rPr>
        <w:t>能力较强</w:t>
      </w:r>
      <w:r>
        <w:rPr>
          <w:rFonts w:hint="eastAsia" w:ascii="方正仿宋_GB2312" w:hAnsi="方正仿宋_GB2312" w:eastAsia="方正仿宋_GB2312" w:cs="方正仿宋_GB2312"/>
          <w:color w:val="000000" w:themeColor="text1"/>
          <w14:textFill>
            <w14:solidFill>
              <w14:schemeClr w14:val="tx1"/>
            </w14:solidFill>
          </w14:textFill>
        </w:rPr>
        <w:t>的加工增值型转变。</w:t>
      </w:r>
    </w:p>
    <w:p w14:paraId="0CCBA43C">
      <w:pPr>
        <w:ind w:firstLine="640"/>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000000" w:themeColor="text1"/>
          <w14:textFill>
            <w14:solidFill>
              <w14:schemeClr w14:val="tx1"/>
            </w14:solidFill>
          </w14:textFill>
        </w:rPr>
        <w:t>规划主要分两个阶段目标，第一阶段初步实现生态畜牧业区域化布局、标准化生产、产业化经营、生态化发展。第二阶段最终实现环境友好、模式稳定、生产清洁、健康、可持续发展的畜牧业。通过规划实施，全市畜牧业整体科技水平和综合生产能力进一步</w:t>
      </w:r>
      <w:r>
        <w:rPr>
          <w:rFonts w:hint="eastAsia" w:ascii="方正仿宋_GB2312" w:hAnsi="方正仿宋_GB2312" w:eastAsia="方正仿宋_GB2312" w:cs="方正仿宋_GB2312"/>
          <w:color w:val="000000" w:themeColor="text1"/>
          <w:lang w:eastAsia="zh-CN"/>
          <w14:textFill>
            <w14:solidFill>
              <w14:schemeClr w14:val="tx1"/>
            </w14:solidFill>
          </w14:textFill>
        </w:rPr>
        <w:t>提升</w:t>
      </w:r>
      <w:r>
        <w:rPr>
          <w:rFonts w:hint="eastAsia" w:ascii="方正仿宋_GB2312" w:hAnsi="方正仿宋_GB2312" w:eastAsia="方正仿宋_GB2312" w:cs="方正仿宋_GB2312"/>
          <w:color w:val="000000" w:themeColor="text1"/>
          <w14:textFill>
            <w14:solidFill>
              <w14:schemeClr w14:val="tx1"/>
            </w14:solidFill>
          </w14:textFill>
        </w:rPr>
        <w:t>，规模化、标准化、产业化程度进一步提高，力争到2025年，恩平市畜牧业总产值达到15.45亿元，规模化养殖水平进一步提升，规模养殖的比重达90%以上；良种繁育体系进一步完善，畜禽优良品种覆盖率达98%以上；质量安全监控体系基本完善，主要疫病免疫率100%，产地检疫率100%；畜禽粪污无害化处理水平大大提高，畜禽粪污综合利用率达90%以上；科技能力进一步加强，科技进步贡献率达75%以上。</w:t>
      </w:r>
    </w:p>
    <w:p w14:paraId="6146B4F9">
      <w:pPr>
        <w:ind w:firstLine="562"/>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rPr>
        <w:t>表</w:t>
      </w:r>
      <w:r>
        <w:rPr>
          <w:rFonts w:hint="eastAsia" w:ascii="方正仿宋_GB2312" w:hAnsi="方正仿宋_GB2312" w:eastAsia="方正仿宋_GB2312" w:cs="方正仿宋_GB2312"/>
          <w:b w:val="0"/>
          <w:bCs/>
          <w:lang w:val="en-US" w:eastAsia="zh-CN"/>
        </w:rPr>
        <w:t>12</w:t>
      </w:r>
      <w:r>
        <w:rPr>
          <w:rFonts w:hint="eastAsia" w:ascii="方正仿宋_GB2312" w:hAnsi="方正仿宋_GB2312" w:eastAsia="方正仿宋_GB2312" w:cs="方正仿宋_GB2312"/>
          <w:b w:val="0"/>
          <w:bCs/>
        </w:rPr>
        <w:t xml:space="preserve"> 恩平市畜牧业发展规划目标指标表</w:t>
      </w:r>
    </w:p>
    <w:tbl>
      <w:tblPr>
        <w:tblStyle w:val="2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207"/>
        <w:gridCol w:w="2087"/>
        <w:gridCol w:w="1802"/>
        <w:gridCol w:w="1804"/>
      </w:tblGrid>
      <w:tr w14:paraId="0DAE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1C991A63">
            <w:pPr>
              <w:widowControl/>
              <w:snapToGrid w:val="0"/>
              <w:spacing w:line="240" w:lineRule="auto"/>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目标</w:t>
            </w:r>
          </w:p>
        </w:tc>
        <w:tc>
          <w:tcPr>
            <w:tcW w:w="2087" w:type="dxa"/>
            <w:tcBorders>
              <w:top w:val="single" w:color="auto" w:sz="4" w:space="0"/>
              <w:left w:val="nil"/>
              <w:bottom w:val="single" w:color="auto" w:sz="4" w:space="0"/>
              <w:right w:val="single" w:color="auto" w:sz="4" w:space="0"/>
            </w:tcBorders>
            <w:vAlign w:val="center"/>
          </w:tcPr>
          <w:p w14:paraId="68D3264B">
            <w:pPr>
              <w:widowControl/>
              <w:snapToGrid w:val="0"/>
              <w:spacing w:line="240" w:lineRule="auto"/>
              <w:ind w:left="0" w:leftChars="0" w:firstLine="0" w:firstLineChars="0"/>
              <w:jc w:val="both"/>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基期值（2019年）</w:t>
            </w:r>
          </w:p>
        </w:tc>
        <w:tc>
          <w:tcPr>
            <w:tcW w:w="1802" w:type="dxa"/>
            <w:tcBorders>
              <w:top w:val="single" w:color="auto" w:sz="4" w:space="0"/>
              <w:left w:val="nil"/>
              <w:bottom w:val="single" w:color="auto" w:sz="4" w:space="0"/>
              <w:right w:val="single" w:color="auto" w:sz="4" w:space="0"/>
            </w:tcBorders>
            <w:vAlign w:val="center"/>
          </w:tcPr>
          <w:p w14:paraId="0BAE7B94">
            <w:pPr>
              <w:widowControl/>
              <w:snapToGrid w:val="0"/>
              <w:spacing w:line="240" w:lineRule="auto"/>
              <w:ind w:left="0" w:leftChars="0" w:firstLine="0" w:firstLineChars="0"/>
              <w:jc w:val="both"/>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2022年目标值</w:t>
            </w:r>
          </w:p>
        </w:tc>
        <w:tc>
          <w:tcPr>
            <w:tcW w:w="1804" w:type="dxa"/>
            <w:tcBorders>
              <w:top w:val="single" w:color="auto" w:sz="4" w:space="0"/>
              <w:left w:val="nil"/>
              <w:bottom w:val="single" w:color="auto" w:sz="4" w:space="0"/>
              <w:right w:val="single" w:color="auto" w:sz="4" w:space="0"/>
            </w:tcBorders>
            <w:vAlign w:val="center"/>
          </w:tcPr>
          <w:p w14:paraId="3400FBAE">
            <w:pPr>
              <w:widowControl/>
              <w:snapToGrid w:val="0"/>
              <w:spacing w:line="240" w:lineRule="auto"/>
              <w:ind w:left="0" w:leftChars="0" w:firstLine="0" w:firstLineChars="0"/>
              <w:jc w:val="both"/>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2025年目标值</w:t>
            </w:r>
          </w:p>
        </w:tc>
      </w:tr>
      <w:tr w14:paraId="52B1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3E06CE0B">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畜牧业总产值（亿元）</w:t>
            </w:r>
          </w:p>
        </w:tc>
        <w:tc>
          <w:tcPr>
            <w:tcW w:w="2087" w:type="dxa"/>
            <w:tcBorders>
              <w:top w:val="single" w:color="auto" w:sz="4" w:space="0"/>
              <w:left w:val="nil"/>
              <w:bottom w:val="single" w:color="auto" w:sz="4" w:space="0"/>
              <w:right w:val="single" w:color="auto" w:sz="4" w:space="0"/>
            </w:tcBorders>
            <w:vAlign w:val="center"/>
          </w:tcPr>
          <w:p w14:paraId="167C71C6">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12.33</w:t>
            </w:r>
          </w:p>
        </w:tc>
        <w:tc>
          <w:tcPr>
            <w:tcW w:w="1802" w:type="dxa"/>
            <w:tcBorders>
              <w:top w:val="single" w:color="auto" w:sz="4" w:space="0"/>
              <w:left w:val="nil"/>
              <w:bottom w:val="single" w:color="auto" w:sz="4" w:space="0"/>
              <w:right w:val="single" w:color="auto" w:sz="4" w:space="0"/>
            </w:tcBorders>
            <w:vAlign w:val="center"/>
          </w:tcPr>
          <w:p w14:paraId="7A33816F">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13.47</w:t>
            </w:r>
          </w:p>
        </w:tc>
        <w:tc>
          <w:tcPr>
            <w:tcW w:w="1804" w:type="dxa"/>
            <w:tcBorders>
              <w:top w:val="single" w:color="auto" w:sz="4" w:space="0"/>
              <w:left w:val="nil"/>
              <w:bottom w:val="single" w:color="auto" w:sz="4" w:space="0"/>
              <w:right w:val="single" w:color="auto" w:sz="4" w:space="0"/>
            </w:tcBorders>
            <w:vAlign w:val="center"/>
          </w:tcPr>
          <w:p w14:paraId="70DAC268">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15.45</w:t>
            </w:r>
          </w:p>
        </w:tc>
      </w:tr>
      <w:tr w14:paraId="6EC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1643F0C5">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lang w:eastAsia="zh-CN"/>
              </w:rPr>
              <w:t>畜禽</w:t>
            </w:r>
            <w:r>
              <w:rPr>
                <w:rFonts w:hint="eastAsia" w:ascii="方正仿宋_GB2312" w:hAnsi="方正仿宋_GB2312" w:eastAsia="方正仿宋_GB2312" w:cs="方正仿宋_GB2312"/>
                <w:b/>
                <w:sz w:val="24"/>
              </w:rPr>
              <w:t>良种覆盖率（%）</w:t>
            </w:r>
          </w:p>
        </w:tc>
        <w:tc>
          <w:tcPr>
            <w:tcW w:w="2087" w:type="dxa"/>
            <w:tcBorders>
              <w:top w:val="single" w:color="auto" w:sz="4" w:space="0"/>
              <w:left w:val="nil"/>
              <w:bottom w:val="single" w:color="auto" w:sz="4" w:space="0"/>
              <w:right w:val="single" w:color="auto" w:sz="4" w:space="0"/>
            </w:tcBorders>
            <w:vAlign w:val="center"/>
          </w:tcPr>
          <w:p w14:paraId="2748BD76">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92</w:t>
            </w:r>
          </w:p>
        </w:tc>
        <w:tc>
          <w:tcPr>
            <w:tcW w:w="1802" w:type="dxa"/>
            <w:tcBorders>
              <w:top w:val="single" w:color="auto" w:sz="4" w:space="0"/>
              <w:left w:val="nil"/>
              <w:bottom w:val="single" w:color="auto" w:sz="4" w:space="0"/>
              <w:right w:val="single" w:color="auto" w:sz="4" w:space="0"/>
            </w:tcBorders>
            <w:vAlign w:val="center"/>
          </w:tcPr>
          <w:p w14:paraId="3DD7EE64">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95</w:t>
            </w:r>
          </w:p>
        </w:tc>
        <w:tc>
          <w:tcPr>
            <w:tcW w:w="1804" w:type="dxa"/>
            <w:tcBorders>
              <w:top w:val="single" w:color="auto" w:sz="4" w:space="0"/>
              <w:left w:val="nil"/>
              <w:bottom w:val="single" w:color="auto" w:sz="4" w:space="0"/>
              <w:right w:val="single" w:color="auto" w:sz="4" w:space="0"/>
            </w:tcBorders>
            <w:vAlign w:val="center"/>
          </w:tcPr>
          <w:p w14:paraId="5DDD6B26">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98</w:t>
            </w:r>
          </w:p>
        </w:tc>
      </w:tr>
      <w:tr w14:paraId="4B81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681CCB25">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畜产品检验合格率（%）</w:t>
            </w:r>
          </w:p>
        </w:tc>
        <w:tc>
          <w:tcPr>
            <w:tcW w:w="2087" w:type="dxa"/>
            <w:tcBorders>
              <w:top w:val="single" w:color="auto" w:sz="4" w:space="0"/>
              <w:left w:val="nil"/>
              <w:bottom w:val="single" w:color="auto" w:sz="4" w:space="0"/>
              <w:right w:val="single" w:color="auto" w:sz="4" w:space="0"/>
            </w:tcBorders>
            <w:vAlign w:val="center"/>
          </w:tcPr>
          <w:p w14:paraId="47F58DA5">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2" w:type="dxa"/>
            <w:tcBorders>
              <w:top w:val="single" w:color="auto" w:sz="4" w:space="0"/>
              <w:left w:val="nil"/>
              <w:bottom w:val="single" w:color="auto" w:sz="4" w:space="0"/>
              <w:right w:val="single" w:color="auto" w:sz="4" w:space="0"/>
            </w:tcBorders>
            <w:vAlign w:val="center"/>
          </w:tcPr>
          <w:p w14:paraId="6B198919">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4" w:type="dxa"/>
            <w:tcBorders>
              <w:top w:val="single" w:color="auto" w:sz="4" w:space="0"/>
              <w:left w:val="nil"/>
              <w:bottom w:val="single" w:color="auto" w:sz="4" w:space="0"/>
              <w:right w:val="single" w:color="auto" w:sz="4" w:space="0"/>
            </w:tcBorders>
            <w:vAlign w:val="center"/>
          </w:tcPr>
          <w:p w14:paraId="2ED1D1A2">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r>
      <w:tr w14:paraId="14FF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5E40E029">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畜禽养殖规模化率（%）</w:t>
            </w:r>
          </w:p>
        </w:tc>
        <w:tc>
          <w:tcPr>
            <w:tcW w:w="2087" w:type="dxa"/>
            <w:tcBorders>
              <w:top w:val="single" w:color="auto" w:sz="4" w:space="0"/>
              <w:left w:val="nil"/>
              <w:bottom w:val="single" w:color="auto" w:sz="4" w:space="0"/>
              <w:right w:val="single" w:color="auto" w:sz="4" w:space="0"/>
            </w:tcBorders>
            <w:vAlign w:val="center"/>
          </w:tcPr>
          <w:p w14:paraId="7C9386A7">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70</w:t>
            </w:r>
          </w:p>
        </w:tc>
        <w:tc>
          <w:tcPr>
            <w:tcW w:w="1802" w:type="dxa"/>
            <w:tcBorders>
              <w:top w:val="single" w:color="auto" w:sz="4" w:space="0"/>
              <w:left w:val="nil"/>
              <w:bottom w:val="single" w:color="auto" w:sz="4" w:space="0"/>
              <w:right w:val="single" w:color="auto" w:sz="4" w:space="0"/>
            </w:tcBorders>
            <w:vAlign w:val="center"/>
          </w:tcPr>
          <w:p w14:paraId="23E78FD1">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85</w:t>
            </w:r>
          </w:p>
        </w:tc>
        <w:tc>
          <w:tcPr>
            <w:tcW w:w="1804" w:type="dxa"/>
            <w:tcBorders>
              <w:top w:val="single" w:color="auto" w:sz="4" w:space="0"/>
              <w:left w:val="nil"/>
              <w:bottom w:val="single" w:color="auto" w:sz="4" w:space="0"/>
              <w:right w:val="single" w:color="auto" w:sz="4" w:space="0"/>
            </w:tcBorders>
            <w:vAlign w:val="center"/>
          </w:tcPr>
          <w:p w14:paraId="0339ED17">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90</w:t>
            </w:r>
          </w:p>
        </w:tc>
      </w:tr>
      <w:tr w14:paraId="2FC5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327E4048">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畜禽粪污综合利用率（%）</w:t>
            </w:r>
          </w:p>
        </w:tc>
        <w:tc>
          <w:tcPr>
            <w:tcW w:w="2087" w:type="dxa"/>
            <w:tcBorders>
              <w:top w:val="single" w:color="auto" w:sz="4" w:space="0"/>
              <w:left w:val="nil"/>
              <w:bottom w:val="single" w:color="auto" w:sz="4" w:space="0"/>
              <w:right w:val="single" w:color="auto" w:sz="4" w:space="0"/>
            </w:tcBorders>
            <w:vAlign w:val="center"/>
          </w:tcPr>
          <w:p w14:paraId="568CA168">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82</w:t>
            </w:r>
          </w:p>
        </w:tc>
        <w:tc>
          <w:tcPr>
            <w:tcW w:w="1802" w:type="dxa"/>
            <w:tcBorders>
              <w:top w:val="single" w:color="auto" w:sz="4" w:space="0"/>
              <w:left w:val="nil"/>
              <w:bottom w:val="single" w:color="auto" w:sz="4" w:space="0"/>
              <w:right w:val="single" w:color="auto" w:sz="4" w:space="0"/>
            </w:tcBorders>
            <w:vAlign w:val="center"/>
          </w:tcPr>
          <w:p w14:paraId="36C2DB38">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85</w:t>
            </w:r>
          </w:p>
        </w:tc>
        <w:tc>
          <w:tcPr>
            <w:tcW w:w="1804" w:type="dxa"/>
            <w:tcBorders>
              <w:top w:val="single" w:color="auto" w:sz="4" w:space="0"/>
              <w:left w:val="nil"/>
              <w:bottom w:val="single" w:color="auto" w:sz="4" w:space="0"/>
              <w:right w:val="single" w:color="auto" w:sz="4" w:space="0"/>
            </w:tcBorders>
            <w:vAlign w:val="center"/>
          </w:tcPr>
          <w:p w14:paraId="182677B3">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90</w:t>
            </w:r>
          </w:p>
        </w:tc>
      </w:tr>
      <w:tr w14:paraId="63A2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737887A4">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规模化养殖场粪污处理设施装备配套率</w:t>
            </w:r>
          </w:p>
        </w:tc>
        <w:tc>
          <w:tcPr>
            <w:tcW w:w="2087" w:type="dxa"/>
            <w:tcBorders>
              <w:top w:val="single" w:color="auto" w:sz="4" w:space="0"/>
              <w:left w:val="nil"/>
              <w:bottom w:val="single" w:color="auto" w:sz="4" w:space="0"/>
              <w:right w:val="single" w:color="auto" w:sz="4" w:space="0"/>
            </w:tcBorders>
            <w:vAlign w:val="center"/>
          </w:tcPr>
          <w:p w14:paraId="14EC27B6">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95.5</w:t>
            </w:r>
          </w:p>
        </w:tc>
        <w:tc>
          <w:tcPr>
            <w:tcW w:w="1802" w:type="dxa"/>
            <w:tcBorders>
              <w:top w:val="single" w:color="auto" w:sz="4" w:space="0"/>
              <w:left w:val="nil"/>
              <w:bottom w:val="single" w:color="auto" w:sz="4" w:space="0"/>
              <w:right w:val="single" w:color="auto" w:sz="4" w:space="0"/>
            </w:tcBorders>
            <w:vAlign w:val="center"/>
          </w:tcPr>
          <w:p w14:paraId="48F23EBD">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97</w:t>
            </w:r>
          </w:p>
        </w:tc>
        <w:tc>
          <w:tcPr>
            <w:tcW w:w="1804" w:type="dxa"/>
            <w:tcBorders>
              <w:top w:val="single" w:color="auto" w:sz="4" w:space="0"/>
              <w:left w:val="nil"/>
              <w:bottom w:val="single" w:color="auto" w:sz="4" w:space="0"/>
              <w:right w:val="single" w:color="auto" w:sz="4" w:space="0"/>
            </w:tcBorders>
            <w:vAlign w:val="center"/>
          </w:tcPr>
          <w:p w14:paraId="3485891D">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99</w:t>
            </w:r>
          </w:p>
        </w:tc>
      </w:tr>
      <w:tr w14:paraId="2DEB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395FF469">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禽疫病强制免疫率（%）</w:t>
            </w:r>
          </w:p>
        </w:tc>
        <w:tc>
          <w:tcPr>
            <w:tcW w:w="2087" w:type="dxa"/>
            <w:tcBorders>
              <w:top w:val="single" w:color="auto" w:sz="4" w:space="0"/>
              <w:left w:val="nil"/>
              <w:bottom w:val="single" w:color="auto" w:sz="4" w:space="0"/>
              <w:right w:val="single" w:color="auto" w:sz="4" w:space="0"/>
            </w:tcBorders>
            <w:vAlign w:val="center"/>
          </w:tcPr>
          <w:p w14:paraId="172D5660">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2" w:type="dxa"/>
            <w:tcBorders>
              <w:top w:val="single" w:color="auto" w:sz="4" w:space="0"/>
              <w:left w:val="nil"/>
              <w:bottom w:val="single" w:color="auto" w:sz="4" w:space="0"/>
              <w:right w:val="single" w:color="auto" w:sz="4" w:space="0"/>
            </w:tcBorders>
            <w:vAlign w:val="center"/>
          </w:tcPr>
          <w:p w14:paraId="29568C00">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4" w:type="dxa"/>
            <w:tcBorders>
              <w:top w:val="single" w:color="auto" w:sz="4" w:space="0"/>
              <w:left w:val="nil"/>
              <w:bottom w:val="single" w:color="auto" w:sz="4" w:space="0"/>
              <w:right w:val="single" w:color="auto" w:sz="4" w:space="0"/>
            </w:tcBorders>
            <w:vAlign w:val="center"/>
          </w:tcPr>
          <w:p w14:paraId="6BD8ACE9">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r>
      <w:tr w14:paraId="7E04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37BA7DF6">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产地检疫率（%）</w:t>
            </w:r>
          </w:p>
        </w:tc>
        <w:tc>
          <w:tcPr>
            <w:tcW w:w="2087" w:type="dxa"/>
            <w:tcBorders>
              <w:top w:val="single" w:color="auto" w:sz="4" w:space="0"/>
              <w:left w:val="nil"/>
              <w:bottom w:val="single" w:color="auto" w:sz="4" w:space="0"/>
              <w:right w:val="single" w:color="auto" w:sz="4" w:space="0"/>
            </w:tcBorders>
            <w:vAlign w:val="center"/>
          </w:tcPr>
          <w:p w14:paraId="359639A9">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2" w:type="dxa"/>
            <w:tcBorders>
              <w:top w:val="single" w:color="auto" w:sz="4" w:space="0"/>
              <w:left w:val="nil"/>
              <w:bottom w:val="single" w:color="auto" w:sz="4" w:space="0"/>
              <w:right w:val="single" w:color="auto" w:sz="4" w:space="0"/>
            </w:tcBorders>
            <w:vAlign w:val="center"/>
          </w:tcPr>
          <w:p w14:paraId="7995D0DB">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c>
          <w:tcPr>
            <w:tcW w:w="1804" w:type="dxa"/>
            <w:tcBorders>
              <w:top w:val="single" w:color="auto" w:sz="4" w:space="0"/>
              <w:left w:val="nil"/>
              <w:bottom w:val="single" w:color="auto" w:sz="4" w:space="0"/>
              <w:right w:val="single" w:color="auto" w:sz="4" w:space="0"/>
            </w:tcBorders>
            <w:vAlign w:val="center"/>
          </w:tcPr>
          <w:p w14:paraId="5D0232E4">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100</w:t>
            </w:r>
          </w:p>
        </w:tc>
      </w:tr>
      <w:tr w14:paraId="43C1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207" w:type="dxa"/>
            <w:tcBorders>
              <w:top w:val="single" w:color="auto" w:sz="4" w:space="0"/>
              <w:left w:val="single" w:color="auto" w:sz="4" w:space="0"/>
              <w:bottom w:val="single" w:color="auto" w:sz="4" w:space="0"/>
              <w:right w:val="single" w:color="auto" w:sz="4" w:space="0"/>
            </w:tcBorders>
            <w:vAlign w:val="center"/>
          </w:tcPr>
          <w:p w14:paraId="3B66AE03">
            <w:pPr>
              <w:widowControl/>
              <w:snapToGrid w:val="0"/>
              <w:spacing w:line="240" w:lineRule="auto"/>
              <w:jc w:val="cente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科技进步贡献率（%）</w:t>
            </w:r>
          </w:p>
        </w:tc>
        <w:tc>
          <w:tcPr>
            <w:tcW w:w="2087" w:type="dxa"/>
            <w:tcBorders>
              <w:top w:val="single" w:color="auto" w:sz="4" w:space="0"/>
              <w:left w:val="nil"/>
              <w:bottom w:val="single" w:color="auto" w:sz="4" w:space="0"/>
              <w:right w:val="single" w:color="auto" w:sz="4" w:space="0"/>
            </w:tcBorders>
            <w:vAlign w:val="center"/>
          </w:tcPr>
          <w:p w14:paraId="5E539AA0">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67</w:t>
            </w:r>
          </w:p>
        </w:tc>
        <w:tc>
          <w:tcPr>
            <w:tcW w:w="1802" w:type="dxa"/>
            <w:tcBorders>
              <w:top w:val="single" w:color="auto" w:sz="4" w:space="0"/>
              <w:left w:val="nil"/>
              <w:bottom w:val="single" w:color="auto" w:sz="4" w:space="0"/>
              <w:right w:val="single" w:color="auto" w:sz="4" w:space="0"/>
            </w:tcBorders>
            <w:vAlign w:val="center"/>
          </w:tcPr>
          <w:p w14:paraId="67E1F88D">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70</w:t>
            </w:r>
          </w:p>
        </w:tc>
        <w:tc>
          <w:tcPr>
            <w:tcW w:w="1804" w:type="dxa"/>
            <w:tcBorders>
              <w:top w:val="single" w:color="auto" w:sz="4" w:space="0"/>
              <w:left w:val="nil"/>
              <w:bottom w:val="single" w:color="auto" w:sz="4" w:space="0"/>
              <w:right w:val="single" w:color="auto" w:sz="4" w:space="0"/>
            </w:tcBorders>
            <w:vAlign w:val="center"/>
          </w:tcPr>
          <w:p w14:paraId="3459687B">
            <w:pPr>
              <w:widowControl/>
              <w:snapToGrid w:val="0"/>
              <w:spacing w:line="240" w:lineRule="auto"/>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75</w:t>
            </w:r>
          </w:p>
        </w:tc>
      </w:tr>
    </w:tbl>
    <w:p w14:paraId="18C32CC7">
      <w:p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p>
    <w:p w14:paraId="12998EFA">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2.种养循环功能区</w:t>
      </w:r>
    </w:p>
    <w:p w14:paraId="61C12A5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坚持因地制宜、宜农则农、宜林则林的原则，按照《江门市种养循环发展规划（2019</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2025年）》在主体功能区规划的空间布局要求，与恩平市土地利用规划相衔接，加快优化农业生产力布局，逐步建立起农业生产力与资源环境承载力相匹配的农业可持续发展空间新格局，分类引导推进优先发展区、适度发展区、保护发展区三类区域可持续发展。</w:t>
      </w:r>
    </w:p>
    <w:p w14:paraId="1B0DA503">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优先发展区：主要指恩平市农业生产与水土资源匹配较好的地区，主要分布在全市农业主产乡镇，是农业种植、禽畜养殖区域以及农村建设区域，土地面积约占全市土地面积的30%。农业种植区以耕地为主，各镇（街）均有分布，</w:t>
      </w:r>
      <w:r>
        <w:rPr>
          <w:rFonts w:hint="eastAsia" w:ascii="方正仿宋_GB2312" w:hAnsi="方正仿宋_GB2312" w:eastAsia="方正仿宋_GB2312" w:cs="方正仿宋_GB2312"/>
          <w:color w:val="000000" w:themeColor="text1"/>
          <w:lang w:eastAsia="zh-CN"/>
          <w14:textFill>
            <w14:solidFill>
              <w14:schemeClr w14:val="tx1"/>
            </w14:solidFill>
          </w14:textFill>
        </w:rPr>
        <w:t>畜禽</w:t>
      </w:r>
      <w:r>
        <w:rPr>
          <w:rFonts w:hint="eastAsia" w:ascii="方正仿宋_GB2312" w:hAnsi="方正仿宋_GB2312" w:eastAsia="方正仿宋_GB2312" w:cs="方正仿宋_GB2312"/>
          <w:color w:val="000000" w:themeColor="text1"/>
          <w14:textFill>
            <w14:solidFill>
              <w14:schemeClr w14:val="tx1"/>
            </w14:solidFill>
          </w14:textFill>
        </w:rPr>
        <w:t>养殖区主要分布在东成、君堂、横陂、沙湖和大槐。</w:t>
      </w:r>
    </w:p>
    <w:p w14:paraId="00E63CF4">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适度发展区：主要指山地农林资源特色鲜明，但生态相对脆弱，水土配置错位的区域，大体与全市林地、水域空间布局范围相一致，该区域开发利用难度较大，资源环境承载力有限，基础设施相对薄弱。具体布局范围包括拥有成片有林地、灌木林、其他林地的北部及中西部山地丘陵地区，锦江、蓢底河、那吉河等河流区域和锦江水库、西坑水库、凤子山水库等库区，以及横陂镇沿海海域。</w:t>
      </w:r>
    </w:p>
    <w:p w14:paraId="20F150E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保护发展区：主要指全市的生态空间限制开发区域，以生态环境保护为主，严格控制其他生产建设活动。具体包括自然保护区、水源保护区、大中型水库及主要河流的陆域保护范围、风景绿地等。</w:t>
      </w:r>
    </w:p>
    <w:p w14:paraId="64B956FA">
      <w:pPr>
        <w:spacing w:line="0" w:lineRule="atLeast"/>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rPr>
        <w:drawing>
          <wp:inline distT="0" distB="0" distL="0" distR="0">
            <wp:extent cx="4156075" cy="4838700"/>
            <wp:effectExtent l="0" t="0" r="4445" b="7620"/>
            <wp:docPr id="32" name="图片 54" descr="C:\Users\dell\AppData\Local\Temp\WeChat Files\503230242982269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4" descr="C:\Users\dell\AppData\Local\Temp\WeChat Files\50323024298226971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4155319" cy="4837618"/>
                    </a:xfrm>
                    <a:prstGeom prst="rect">
                      <a:avLst/>
                    </a:prstGeom>
                    <a:noFill/>
                    <a:ln>
                      <a:noFill/>
                    </a:ln>
                  </pic:spPr>
                </pic:pic>
              </a:graphicData>
            </a:graphic>
          </wp:inline>
        </w:drawing>
      </w:r>
    </w:p>
    <w:p w14:paraId="354AA357">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图5</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恩平市种养循环发展布局图</w:t>
      </w:r>
    </w:p>
    <w:p w14:paraId="0B691760">
      <w:pPr>
        <w:ind w:firstLine="0" w:firstLineChars="0"/>
        <w:jc w:val="left"/>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备注：</w:t>
      </w:r>
      <w:r>
        <w:rPr>
          <w:rFonts w:hint="eastAsia" w:ascii="方正仿宋_GB2312" w:hAnsi="方正仿宋_GB2312" w:eastAsia="方正仿宋_GB2312" w:cs="方正仿宋_GB2312"/>
          <w:color w:val="000000" w:themeColor="text1"/>
          <w14:textFill>
            <w14:solidFill>
              <w14:schemeClr w14:val="tx1"/>
            </w14:solidFill>
          </w14:textFill>
        </w:rPr>
        <w:t>摘录自《</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恩平市畜牧业发展规划和种养循环发展规划（2020—2025年）</w:t>
      </w:r>
      <w:r>
        <w:rPr>
          <w:rFonts w:hint="eastAsia" w:ascii="方正仿宋_GB2312" w:hAnsi="方正仿宋_GB2312" w:eastAsia="方正仿宋_GB2312" w:cs="方正仿宋_GB2312"/>
          <w:color w:val="000000" w:themeColor="text1"/>
          <w14:textFill>
            <w14:solidFill>
              <w14:schemeClr w14:val="tx1"/>
            </w14:solidFill>
          </w14:textFill>
        </w:rPr>
        <w:t>》</w:t>
      </w:r>
    </w:p>
    <w:p w14:paraId="2F6B2D09">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27" w:name="_Toc2933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（七）</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恩平市生猪产业发展专项规划（2022—2026年）</w:t>
      </w:r>
      <w:bookmarkEnd w:id="27"/>
    </w:p>
    <w:p w14:paraId="70D3968E">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《关于印发恩平市生猪产业发展专项规划（2022</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2026年）的通知》（恩府〔2024〕14号）</w:t>
      </w:r>
      <w:r>
        <w:rPr>
          <w:rFonts w:hint="eastAsia" w:ascii="方正仿宋_GB2312" w:hAnsi="方正仿宋_GB2312" w:eastAsia="方正仿宋_GB2312" w:cs="方正仿宋_GB2312"/>
          <w:color w:val="000000" w:themeColor="text1"/>
          <w:lang w:eastAsia="zh-CN"/>
          <w14:textFill>
            <w14:solidFill>
              <w14:schemeClr w14:val="tx1"/>
            </w14:solidFill>
          </w14:textFill>
        </w:rPr>
        <w:t>是</w:t>
      </w: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实际情况制定</w:t>
      </w:r>
      <w:r>
        <w:rPr>
          <w:rFonts w:hint="eastAsia" w:ascii="方正仿宋_GB2312" w:hAnsi="方正仿宋_GB2312" w:eastAsia="方正仿宋_GB2312" w:cs="方正仿宋_GB2312"/>
          <w:color w:val="000000" w:themeColor="text1"/>
          <w:lang w:eastAsia="zh-CN"/>
          <w14:textFill>
            <w14:solidFill>
              <w14:schemeClr w14:val="tx1"/>
            </w14:solidFill>
          </w14:textFill>
        </w:rPr>
        <w:t>的恩平市</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生猪发展专项规划</w:t>
      </w:r>
      <w:r>
        <w:rPr>
          <w:rFonts w:hint="eastAsia" w:ascii="方正仿宋_GB2312" w:hAnsi="方正仿宋_GB2312" w:eastAsia="方正仿宋_GB2312" w:cs="方正仿宋_GB2312"/>
          <w:color w:val="000000" w:themeColor="text1"/>
          <w14:textFill>
            <w14:solidFill>
              <w14:schemeClr w14:val="tx1"/>
            </w14:solidFill>
          </w14:textFill>
        </w:rPr>
        <w:t>。</w:t>
      </w:r>
    </w:p>
    <w:p w14:paraId="73CBED8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1.发展目标</w:t>
      </w:r>
    </w:p>
    <w:p w14:paraId="12C365D9">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按照保供给保生态并重的原则，在有效承载能力基础上，统筹合理利用土地资源，合理划分发展区域，实现区域布局科学化、养殖技术生态化、废弃物排放减量化和产品质量优质化。积极发展设施配套、技术先进、管理规范、生产高效、产出安全、循环利用、环境友好的生猪产业，推动生猪产业高质量发展，保障“菜篮子”有效供给。加快淘汰低水平养殖，构建种业、养殖、屠宰加工、冷链配送配套发展的现代化生猪产业体系，促进产业链条延伸，提高风险抵御能力，推进恩平市生猪产业全面转型升级。</w:t>
      </w:r>
    </w:p>
    <w:p w14:paraId="440792B1">
      <w:pPr>
        <w:ind w:firstLine="643"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color w:val="auto"/>
          <w:highlight w:val="none"/>
        </w:rPr>
        <w:t>——产业结构持续优化。</w:t>
      </w:r>
      <w:r>
        <w:rPr>
          <w:rFonts w:hint="eastAsia" w:ascii="方正仿宋_GB2312" w:hAnsi="方正仿宋_GB2312" w:eastAsia="方正仿宋_GB2312" w:cs="方正仿宋_GB2312"/>
          <w:color w:val="auto"/>
          <w:highlight w:val="none"/>
        </w:rPr>
        <w:t>优化生猪产业结构，产业规模化程度明显提高，</w:t>
      </w:r>
      <w:r>
        <w:rPr>
          <w:rFonts w:hint="eastAsia" w:ascii="方正仿宋_GB2312" w:hAnsi="方正仿宋_GB2312" w:eastAsia="方正仿宋_GB2312" w:cs="方正仿宋_GB2312"/>
          <w:color w:val="auto"/>
          <w:highlight w:val="none"/>
          <w:lang w:eastAsia="zh-CN"/>
        </w:rPr>
        <w:t>到</w:t>
      </w:r>
      <w:r>
        <w:rPr>
          <w:rFonts w:hint="eastAsia" w:ascii="方正仿宋_GB2312" w:hAnsi="方正仿宋_GB2312" w:eastAsia="方正仿宋_GB2312" w:cs="方正仿宋_GB2312"/>
          <w:color w:val="auto"/>
          <w:highlight w:val="none"/>
        </w:rPr>
        <w:t>2026年，实现全市</w:t>
      </w:r>
      <w:r>
        <w:rPr>
          <w:rFonts w:hint="eastAsia" w:ascii="方正仿宋_GB2312" w:hAnsi="方正仿宋_GB2312" w:eastAsia="方正仿宋_GB2312" w:cs="方正仿宋_GB2312"/>
          <w:color w:val="auto"/>
          <w:sz w:val="32"/>
          <w:szCs w:val="32"/>
          <w:highlight w:val="none"/>
        </w:rPr>
        <w:t>生猪年出栏量</w:t>
      </w:r>
      <w:r>
        <w:rPr>
          <w:rFonts w:hint="eastAsia" w:ascii="方正仿宋_GB2312" w:hAnsi="方正仿宋_GB2312" w:eastAsia="方正仿宋_GB2312" w:cs="方正仿宋_GB2312"/>
          <w:color w:val="auto"/>
          <w:sz w:val="32"/>
          <w:szCs w:val="32"/>
          <w:highlight w:val="none"/>
          <w:lang w:val="en-US" w:eastAsia="zh-CN"/>
        </w:rPr>
        <w:t>47万头</w:t>
      </w:r>
      <w:r>
        <w:rPr>
          <w:rFonts w:hint="eastAsia" w:ascii="方正仿宋_GB2312" w:hAnsi="方正仿宋_GB2312" w:eastAsia="方正仿宋_GB2312" w:cs="方正仿宋_GB2312"/>
          <w:color w:val="auto"/>
          <w:highlight w:val="none"/>
        </w:rPr>
        <w:t>，为生猪稳产保供作出贡献。</w:t>
      </w:r>
    </w:p>
    <w:p w14:paraId="3DE37108">
      <w:pPr>
        <w:ind w:firstLine="643"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color w:val="auto"/>
          <w:highlight w:val="none"/>
        </w:rPr>
        <w:t>——全产业链融合发展。</w:t>
      </w:r>
      <w:r>
        <w:rPr>
          <w:rFonts w:hint="eastAsia" w:ascii="方正仿宋_GB2312" w:hAnsi="方正仿宋_GB2312" w:eastAsia="方正仿宋_GB2312" w:cs="方正仿宋_GB2312"/>
          <w:color w:val="auto"/>
          <w:highlight w:val="none"/>
        </w:rPr>
        <w:t>推动生猪产业育种、养殖、屠宰、精深加工、物流、研发、服务等相互融合</w:t>
      </w:r>
      <w:r>
        <w:rPr>
          <w:rFonts w:hint="eastAsia" w:ascii="方正仿宋_GB2312" w:hAnsi="方正仿宋_GB2312" w:eastAsia="方正仿宋_GB2312" w:cs="方正仿宋_GB2312"/>
          <w:color w:val="auto"/>
          <w:highlight w:val="none"/>
          <w:lang w:eastAsia="zh-CN"/>
        </w:rPr>
        <w:t>，开展</w:t>
      </w:r>
      <w:r>
        <w:rPr>
          <w:rFonts w:hint="eastAsia" w:ascii="方正仿宋_GB2312" w:hAnsi="方正仿宋_GB2312" w:eastAsia="方正仿宋_GB2312" w:cs="方正仿宋_GB2312"/>
          <w:color w:val="auto"/>
          <w:highlight w:val="none"/>
        </w:rPr>
        <w:t>全产业链开发</w:t>
      </w:r>
      <w:r>
        <w:rPr>
          <w:rFonts w:hint="eastAsia" w:ascii="方正仿宋_GB2312" w:hAnsi="方正仿宋_GB2312" w:eastAsia="方正仿宋_GB2312" w:cs="方正仿宋_GB2312"/>
          <w:color w:val="auto"/>
          <w:highlight w:val="none"/>
          <w:lang w:eastAsia="zh-CN"/>
        </w:rPr>
        <w:t>。到</w:t>
      </w:r>
      <w:r>
        <w:rPr>
          <w:rFonts w:hint="eastAsia" w:ascii="方正仿宋_GB2312" w:hAnsi="方正仿宋_GB2312" w:eastAsia="方正仿宋_GB2312" w:cs="方正仿宋_GB2312"/>
          <w:color w:val="auto"/>
          <w:highlight w:val="none"/>
        </w:rPr>
        <w:t>2026年，生猪良种覆盖率达到100%，科技进步贡献率达75%</w:t>
      </w:r>
      <w:r>
        <w:rPr>
          <w:rFonts w:hint="eastAsia" w:ascii="方正仿宋_GB2312" w:hAnsi="方正仿宋_GB2312" w:eastAsia="方正仿宋_GB2312" w:cs="方正仿宋_GB2312"/>
          <w:color w:val="auto"/>
          <w:highlight w:val="none"/>
          <w:lang w:eastAsia="zh-CN"/>
        </w:rPr>
        <w:t>；在</w:t>
      </w:r>
      <w:r>
        <w:rPr>
          <w:rFonts w:hint="eastAsia" w:ascii="方正仿宋_GB2312" w:hAnsi="方正仿宋_GB2312" w:eastAsia="方正仿宋_GB2312" w:cs="方正仿宋_GB2312"/>
          <w:color w:val="auto"/>
          <w:highlight w:val="none"/>
        </w:rPr>
        <w:t>屠宰加工方面，生猪定点屠宰场（点）达</w:t>
      </w:r>
      <w:r>
        <w:rPr>
          <w:rFonts w:hint="eastAsia" w:ascii="方正仿宋_GB2312" w:hAnsi="方正仿宋_GB2312" w:eastAsia="方正仿宋_GB2312" w:cs="方正仿宋_GB2312"/>
          <w:color w:val="auto"/>
          <w:highlight w:val="none"/>
          <w:lang w:val="en-US" w:eastAsia="zh-CN"/>
        </w:rPr>
        <w:t>2</w:t>
      </w:r>
      <w:r>
        <w:rPr>
          <w:rFonts w:hint="eastAsia" w:ascii="方正仿宋_GB2312" w:hAnsi="方正仿宋_GB2312" w:eastAsia="方正仿宋_GB2312" w:cs="方正仿宋_GB2312"/>
          <w:color w:val="auto"/>
          <w:highlight w:val="none"/>
        </w:rPr>
        <w:t>-</w:t>
      </w:r>
      <w:r>
        <w:rPr>
          <w:rFonts w:hint="eastAsia" w:ascii="方正仿宋_GB2312" w:hAnsi="方正仿宋_GB2312" w:eastAsia="方正仿宋_GB2312" w:cs="方正仿宋_GB2312"/>
          <w:color w:val="auto"/>
          <w:highlight w:val="none"/>
          <w:lang w:val="en-US" w:eastAsia="zh-CN"/>
        </w:rPr>
        <w:t>3</w:t>
      </w:r>
      <w:r>
        <w:rPr>
          <w:rFonts w:hint="eastAsia" w:ascii="方正仿宋_GB2312" w:hAnsi="方正仿宋_GB2312" w:eastAsia="方正仿宋_GB2312" w:cs="方正仿宋_GB2312"/>
          <w:color w:val="auto"/>
          <w:highlight w:val="none"/>
        </w:rPr>
        <w:t>家，生猪规模化屠宰比例90%以上。</w:t>
      </w:r>
    </w:p>
    <w:p w14:paraId="24DF9859">
      <w:pPr>
        <w:ind w:firstLine="643"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color w:val="auto"/>
          <w:highlight w:val="none"/>
        </w:rPr>
        <w:t>——规模经营产业集聚。</w:t>
      </w:r>
      <w:r>
        <w:rPr>
          <w:rFonts w:hint="eastAsia" w:ascii="方正仿宋_GB2312" w:hAnsi="方正仿宋_GB2312" w:eastAsia="方正仿宋_GB2312" w:cs="方正仿宋_GB2312"/>
          <w:b/>
          <w:color w:val="auto"/>
          <w:highlight w:val="none"/>
          <w:lang w:eastAsia="zh-CN"/>
        </w:rPr>
        <w:t>到</w:t>
      </w:r>
      <w:r>
        <w:rPr>
          <w:rFonts w:hint="eastAsia" w:ascii="方正仿宋_GB2312" w:hAnsi="方正仿宋_GB2312" w:eastAsia="方正仿宋_GB2312" w:cs="方正仿宋_GB2312"/>
          <w:color w:val="auto"/>
          <w:highlight w:val="none"/>
        </w:rPr>
        <w:t>2026年，全市规模养殖场</w:t>
      </w:r>
      <w:r>
        <w:rPr>
          <w:rFonts w:hint="eastAsia" w:ascii="方正仿宋_GB2312" w:hAnsi="方正仿宋_GB2312" w:eastAsia="方正仿宋_GB2312" w:cs="方正仿宋_GB2312"/>
          <w:color w:val="auto"/>
          <w:highlight w:val="none"/>
          <w:lang w:eastAsia="zh-CN"/>
        </w:rPr>
        <w:t>2</w:t>
      </w:r>
      <w:r>
        <w:rPr>
          <w:rFonts w:hint="eastAsia" w:ascii="方正仿宋_GB2312" w:hAnsi="方正仿宋_GB2312" w:eastAsia="方正仿宋_GB2312" w:cs="方正仿宋_GB2312"/>
          <w:color w:val="auto"/>
          <w:highlight w:val="none"/>
          <w:lang w:val="en-US" w:eastAsia="zh-CN"/>
        </w:rPr>
        <w:t>80</w:t>
      </w:r>
      <w:r>
        <w:rPr>
          <w:rFonts w:hint="eastAsia" w:ascii="方正仿宋_GB2312" w:hAnsi="方正仿宋_GB2312" w:eastAsia="方正仿宋_GB2312" w:cs="方正仿宋_GB2312"/>
          <w:color w:val="auto"/>
          <w:highlight w:val="none"/>
        </w:rPr>
        <w:t>家，养殖专业户</w:t>
      </w:r>
      <w:r>
        <w:rPr>
          <w:rFonts w:hint="eastAsia" w:ascii="方正仿宋_GB2312" w:hAnsi="方正仿宋_GB2312" w:eastAsia="方正仿宋_GB2312" w:cs="方正仿宋_GB2312"/>
          <w:color w:val="auto"/>
          <w:highlight w:val="none"/>
          <w:lang w:val="en-US" w:eastAsia="zh-CN"/>
        </w:rPr>
        <w:t>580</w:t>
      </w:r>
      <w:r>
        <w:rPr>
          <w:rFonts w:hint="eastAsia" w:ascii="方正仿宋_GB2312" w:hAnsi="方正仿宋_GB2312" w:eastAsia="方正仿宋_GB2312" w:cs="方正仿宋_GB2312"/>
          <w:color w:val="auto"/>
          <w:highlight w:val="none"/>
        </w:rPr>
        <w:t>家，生猪</w:t>
      </w:r>
      <w:r>
        <w:rPr>
          <w:rFonts w:hint="eastAsia" w:ascii="方正仿宋_GB2312" w:hAnsi="方正仿宋_GB2312" w:eastAsia="方正仿宋_GB2312" w:cs="方正仿宋_GB2312"/>
          <w:color w:val="auto"/>
          <w:highlight w:val="none"/>
          <w:lang w:val="en-US" w:eastAsia="zh-CN"/>
        </w:rPr>
        <w:t>及畜禽</w:t>
      </w:r>
      <w:r>
        <w:rPr>
          <w:rFonts w:hint="eastAsia" w:ascii="方正仿宋_GB2312" w:hAnsi="方正仿宋_GB2312" w:eastAsia="方正仿宋_GB2312" w:cs="方正仿宋_GB2312"/>
          <w:color w:val="auto"/>
          <w:highlight w:val="none"/>
        </w:rPr>
        <w:t>产业相关的省级及以上农业重点龙头企业达</w:t>
      </w:r>
      <w:r>
        <w:rPr>
          <w:rFonts w:hint="eastAsia" w:ascii="方正仿宋_GB2312" w:hAnsi="方正仿宋_GB2312" w:eastAsia="方正仿宋_GB2312" w:cs="方正仿宋_GB2312"/>
          <w:color w:val="auto"/>
          <w:highlight w:val="none"/>
          <w:lang w:val="en-US" w:eastAsia="zh-CN"/>
        </w:rPr>
        <w:t>6</w:t>
      </w:r>
      <w:r>
        <w:rPr>
          <w:rFonts w:hint="eastAsia" w:ascii="方正仿宋_GB2312" w:hAnsi="方正仿宋_GB2312" w:eastAsia="方正仿宋_GB2312" w:cs="方正仿宋_GB2312"/>
          <w:color w:val="auto"/>
          <w:highlight w:val="none"/>
        </w:rPr>
        <w:t>家，</w:t>
      </w:r>
      <w:r>
        <w:rPr>
          <w:rFonts w:hint="eastAsia" w:ascii="方正仿宋_GB2312" w:hAnsi="方正仿宋_GB2312" w:eastAsia="方正仿宋_GB2312" w:cs="方正仿宋_GB2312"/>
          <w:color w:val="auto"/>
          <w:highlight w:val="none"/>
          <w:lang w:val="en-US" w:eastAsia="zh-CN"/>
        </w:rPr>
        <w:t>江门</w:t>
      </w:r>
      <w:r>
        <w:rPr>
          <w:rFonts w:hint="eastAsia" w:ascii="方正仿宋_GB2312" w:hAnsi="方正仿宋_GB2312" w:eastAsia="方正仿宋_GB2312" w:cs="方正仿宋_GB2312"/>
          <w:color w:val="auto"/>
          <w:highlight w:val="none"/>
        </w:rPr>
        <w:t>市级农业重点龙头企业达</w:t>
      </w:r>
      <w:r>
        <w:rPr>
          <w:rFonts w:hint="eastAsia" w:ascii="方正仿宋_GB2312" w:hAnsi="方正仿宋_GB2312" w:eastAsia="方正仿宋_GB2312" w:cs="方正仿宋_GB2312"/>
          <w:color w:val="auto"/>
          <w:highlight w:val="none"/>
          <w:lang w:eastAsia="zh-CN"/>
        </w:rPr>
        <w:t>4</w:t>
      </w:r>
      <w:r>
        <w:rPr>
          <w:rFonts w:hint="eastAsia" w:ascii="方正仿宋_GB2312" w:hAnsi="方正仿宋_GB2312" w:eastAsia="方正仿宋_GB2312" w:cs="方正仿宋_GB2312"/>
          <w:color w:val="auto"/>
          <w:highlight w:val="none"/>
        </w:rPr>
        <w:t>家，规模养殖占比达到90%以上。</w:t>
      </w:r>
    </w:p>
    <w:p w14:paraId="63D2C442">
      <w:pPr>
        <w:ind w:firstLine="643"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color w:val="auto"/>
          <w:highlight w:val="none"/>
        </w:rPr>
        <w:t>——绿色发展水平提升。</w:t>
      </w:r>
      <w:r>
        <w:rPr>
          <w:rFonts w:hint="eastAsia" w:ascii="方正仿宋_GB2312" w:hAnsi="方正仿宋_GB2312" w:eastAsia="方正仿宋_GB2312" w:cs="方正仿宋_GB2312"/>
          <w:color w:val="auto"/>
          <w:highlight w:val="none"/>
        </w:rPr>
        <w:t>全市推行标准化、规范化、生态化养殖方式。至2026年，全市畜禽粪污综合利用率达到90%以上，规模养殖场粪污处理设施装备配套率达到99%以上，其中大型规模养殖场粪污处理设施装备配套率达到100%，基本实现废弃物资源化综合利用，种养循环模式基本建立。加强乡镇兽医站建设，配备与养殖规模和工作任务相适应的防疫检疫等专业技术人员，生猪产地检疫率与产品检验合格率均达到100%。</w:t>
      </w:r>
    </w:p>
    <w:p w14:paraId="13404021">
      <w:pPr>
        <w:pStyle w:val="20"/>
        <w:jc w:val="center"/>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kern w:val="2"/>
          <w:sz w:val="32"/>
          <w:szCs w:val="32"/>
          <w:lang w:val="en-US" w:eastAsia="zh-CN" w:bidi="ar-SA"/>
        </w:rPr>
        <w:t>表13 恩平市生猪产业发展规划目标表</w:t>
      </w:r>
    </w:p>
    <w:tbl>
      <w:tblPr>
        <w:tblStyle w:val="21"/>
        <w:tblW w:w="9056" w:type="dxa"/>
        <w:jc w:val="center"/>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Layout w:type="autofit"/>
        <w:tblCellMar>
          <w:top w:w="0" w:type="dxa"/>
          <w:left w:w="108" w:type="dxa"/>
          <w:bottom w:w="0" w:type="dxa"/>
          <w:right w:w="108" w:type="dxa"/>
        </w:tblCellMar>
      </w:tblPr>
      <w:tblGrid>
        <w:gridCol w:w="2178"/>
        <w:gridCol w:w="4141"/>
        <w:gridCol w:w="708"/>
        <w:gridCol w:w="1014"/>
        <w:gridCol w:w="1015"/>
      </w:tblGrid>
      <w:tr w14:paraId="5D0920D8">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tblHeader/>
          <w:jc w:val="center"/>
        </w:trPr>
        <w:tc>
          <w:tcPr>
            <w:tcW w:w="4141" w:type="dxa"/>
            <w:gridSpan w:val="2"/>
            <w:vMerge w:val="restart"/>
            <w:shd w:val="clear" w:color="auto" w:fill="auto"/>
            <w:noWrap w:val="0"/>
            <w:vAlign w:val="center"/>
          </w:tcPr>
          <w:p w14:paraId="199E5B5B">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指标名称</w:t>
            </w:r>
          </w:p>
        </w:tc>
        <w:tc>
          <w:tcPr>
            <w:tcW w:w="708" w:type="dxa"/>
            <w:vMerge w:val="restart"/>
            <w:shd w:val="clear" w:color="auto" w:fill="auto"/>
            <w:noWrap w:val="0"/>
            <w:vAlign w:val="center"/>
          </w:tcPr>
          <w:p w14:paraId="54E162A6">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单位</w:t>
            </w:r>
          </w:p>
        </w:tc>
        <w:tc>
          <w:tcPr>
            <w:tcW w:w="1014" w:type="dxa"/>
            <w:shd w:val="clear" w:color="auto" w:fill="auto"/>
            <w:noWrap w:val="0"/>
            <w:vAlign w:val="center"/>
          </w:tcPr>
          <w:p w14:paraId="5DE7D894">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基期值</w:t>
            </w:r>
          </w:p>
        </w:tc>
        <w:tc>
          <w:tcPr>
            <w:tcW w:w="1015" w:type="dxa"/>
            <w:shd w:val="clear" w:color="auto" w:fill="auto"/>
            <w:noWrap w:val="0"/>
            <w:vAlign w:val="center"/>
          </w:tcPr>
          <w:p w14:paraId="0465A22F">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目标值</w:t>
            </w:r>
          </w:p>
        </w:tc>
      </w:tr>
      <w:tr w14:paraId="3B47CB2F">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tblHeader/>
          <w:jc w:val="center"/>
        </w:trPr>
        <w:tc>
          <w:tcPr>
            <w:tcW w:w="4141" w:type="dxa"/>
            <w:gridSpan w:val="2"/>
            <w:vMerge w:val="continue"/>
            <w:shd w:val="clear" w:color="auto" w:fill="auto"/>
            <w:noWrap w:val="0"/>
            <w:vAlign w:val="center"/>
          </w:tcPr>
          <w:p w14:paraId="7E2435FA">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p>
        </w:tc>
        <w:tc>
          <w:tcPr>
            <w:tcW w:w="708" w:type="dxa"/>
            <w:vMerge w:val="continue"/>
            <w:shd w:val="clear" w:color="auto" w:fill="auto"/>
            <w:noWrap w:val="0"/>
            <w:vAlign w:val="center"/>
          </w:tcPr>
          <w:p w14:paraId="677CBA0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p>
        </w:tc>
        <w:tc>
          <w:tcPr>
            <w:tcW w:w="1014" w:type="dxa"/>
            <w:shd w:val="clear" w:color="auto" w:fill="auto"/>
            <w:noWrap w:val="0"/>
            <w:vAlign w:val="center"/>
          </w:tcPr>
          <w:p w14:paraId="34C27C4C">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2021年</w:t>
            </w:r>
          </w:p>
        </w:tc>
        <w:tc>
          <w:tcPr>
            <w:tcW w:w="1015" w:type="dxa"/>
            <w:shd w:val="clear" w:color="auto" w:fill="auto"/>
            <w:noWrap w:val="0"/>
            <w:vAlign w:val="center"/>
          </w:tcPr>
          <w:p w14:paraId="228EE74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color w:val="auto"/>
                <w:sz w:val="24"/>
                <w:szCs w:val="24"/>
                <w:highlight w:val="none"/>
              </w:rPr>
            </w:pPr>
            <w:r>
              <w:rPr>
                <w:rFonts w:hint="eastAsia" w:ascii="方正仿宋_GB2312" w:hAnsi="方正仿宋_GB2312" w:eastAsia="方正仿宋_GB2312" w:cs="方正仿宋_GB2312"/>
                <w:b/>
                <w:color w:val="auto"/>
                <w:sz w:val="24"/>
                <w:szCs w:val="24"/>
                <w:highlight w:val="none"/>
              </w:rPr>
              <w:t>2026年</w:t>
            </w:r>
          </w:p>
        </w:tc>
      </w:tr>
      <w:tr w14:paraId="7BE20216">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restart"/>
            <w:shd w:val="clear" w:color="auto" w:fill="auto"/>
            <w:noWrap w:val="0"/>
            <w:vAlign w:val="center"/>
          </w:tcPr>
          <w:p w14:paraId="31D49A97">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产业结构持续优化</w:t>
            </w:r>
          </w:p>
        </w:tc>
        <w:tc>
          <w:tcPr>
            <w:tcW w:w="4141" w:type="dxa"/>
            <w:shd w:val="clear" w:color="auto" w:fill="auto"/>
            <w:noWrap w:val="0"/>
            <w:vAlign w:val="center"/>
          </w:tcPr>
          <w:p w14:paraId="0AE19A65">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color w:val="auto"/>
                <w:sz w:val="24"/>
                <w:szCs w:val="24"/>
                <w:highlight w:val="none"/>
              </w:rPr>
              <w:t>生猪产业</w:t>
            </w:r>
            <w:r>
              <w:rPr>
                <w:rFonts w:hint="eastAsia" w:ascii="方正仿宋_GB2312" w:hAnsi="方正仿宋_GB2312" w:eastAsia="方正仿宋_GB2312" w:cs="方正仿宋_GB2312"/>
                <w:color w:val="auto"/>
                <w:sz w:val="24"/>
                <w:szCs w:val="24"/>
                <w:highlight w:val="none"/>
                <w:lang w:val="en-US" w:eastAsia="zh-CN"/>
              </w:rPr>
              <w:t>综合</w:t>
            </w:r>
            <w:r>
              <w:rPr>
                <w:rFonts w:hint="eastAsia" w:ascii="方正仿宋_GB2312" w:hAnsi="方正仿宋_GB2312" w:eastAsia="方正仿宋_GB2312" w:cs="方正仿宋_GB2312"/>
                <w:color w:val="auto"/>
                <w:sz w:val="24"/>
                <w:szCs w:val="24"/>
                <w:highlight w:val="none"/>
              </w:rPr>
              <w:t>产值</w:t>
            </w:r>
            <w:r>
              <w:rPr>
                <w:rFonts w:hint="eastAsia" w:ascii="方正仿宋_GB2312" w:hAnsi="方正仿宋_GB2312" w:eastAsia="方正仿宋_GB2312" w:cs="方正仿宋_GB2312"/>
                <w:color w:val="auto"/>
                <w:sz w:val="24"/>
                <w:szCs w:val="24"/>
                <w:highlight w:val="none"/>
                <w:lang w:eastAsia="zh-CN"/>
              </w:rPr>
              <w:t>（</w:t>
            </w:r>
            <w:r>
              <w:rPr>
                <w:rFonts w:hint="eastAsia" w:ascii="方正仿宋_GB2312" w:hAnsi="方正仿宋_GB2312" w:eastAsia="方正仿宋_GB2312" w:cs="方正仿宋_GB2312"/>
                <w:color w:val="auto"/>
                <w:sz w:val="24"/>
                <w:szCs w:val="24"/>
                <w:highlight w:val="none"/>
                <w:lang w:val="en-US" w:eastAsia="zh-CN"/>
              </w:rPr>
              <w:t>一二三产</w:t>
            </w:r>
            <w:r>
              <w:rPr>
                <w:rFonts w:hint="eastAsia" w:ascii="方正仿宋_GB2312" w:hAnsi="方正仿宋_GB2312" w:eastAsia="方正仿宋_GB2312" w:cs="方正仿宋_GB2312"/>
                <w:color w:val="auto"/>
                <w:sz w:val="24"/>
                <w:szCs w:val="24"/>
                <w:highlight w:val="none"/>
                <w:lang w:eastAsia="zh-CN"/>
              </w:rPr>
              <w:t>）</w:t>
            </w:r>
          </w:p>
        </w:tc>
        <w:tc>
          <w:tcPr>
            <w:tcW w:w="708" w:type="dxa"/>
            <w:shd w:val="clear" w:color="auto" w:fill="auto"/>
            <w:noWrap w:val="0"/>
            <w:vAlign w:val="center"/>
          </w:tcPr>
          <w:p w14:paraId="1B187DD7">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亿元</w:t>
            </w:r>
          </w:p>
        </w:tc>
        <w:tc>
          <w:tcPr>
            <w:tcW w:w="1014" w:type="dxa"/>
            <w:shd w:val="clear" w:color="auto" w:fill="auto"/>
            <w:noWrap w:val="0"/>
            <w:vAlign w:val="center"/>
          </w:tcPr>
          <w:p w14:paraId="0BCF206E">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28.5</w:t>
            </w:r>
          </w:p>
        </w:tc>
        <w:tc>
          <w:tcPr>
            <w:tcW w:w="1015" w:type="dxa"/>
            <w:shd w:val="clear" w:color="auto" w:fill="auto"/>
            <w:noWrap w:val="0"/>
            <w:vAlign w:val="center"/>
          </w:tcPr>
          <w:p w14:paraId="2D3C583F">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lang w:val="en-US"/>
              </w:rPr>
            </w:pPr>
            <w:r>
              <w:rPr>
                <w:rFonts w:hint="eastAsia" w:ascii="方正仿宋_GB2312" w:hAnsi="方正仿宋_GB2312" w:eastAsia="方正仿宋_GB2312" w:cs="方正仿宋_GB2312"/>
                <w:color w:val="auto"/>
                <w:sz w:val="24"/>
                <w:szCs w:val="24"/>
                <w:highlight w:val="none"/>
                <w:lang w:val="en-US" w:eastAsia="zh-CN"/>
              </w:rPr>
              <w:t>25</w:t>
            </w:r>
          </w:p>
        </w:tc>
      </w:tr>
      <w:tr w14:paraId="75CF0EB3">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1807ABA1">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2F5EFF91">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生猪年出栏量</w:t>
            </w:r>
          </w:p>
        </w:tc>
        <w:tc>
          <w:tcPr>
            <w:tcW w:w="708" w:type="dxa"/>
            <w:shd w:val="clear" w:color="auto" w:fill="auto"/>
            <w:noWrap w:val="0"/>
            <w:vAlign w:val="center"/>
          </w:tcPr>
          <w:p w14:paraId="1ADC9FEA">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万头</w:t>
            </w:r>
          </w:p>
        </w:tc>
        <w:tc>
          <w:tcPr>
            <w:tcW w:w="1014" w:type="dxa"/>
            <w:shd w:val="clear" w:color="auto" w:fill="auto"/>
            <w:noWrap w:val="0"/>
            <w:vAlign w:val="center"/>
          </w:tcPr>
          <w:p w14:paraId="758665F0">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67.66</w:t>
            </w:r>
          </w:p>
        </w:tc>
        <w:tc>
          <w:tcPr>
            <w:tcW w:w="1015" w:type="dxa"/>
            <w:shd w:val="clear" w:color="auto" w:fill="auto"/>
            <w:noWrap w:val="0"/>
            <w:vAlign w:val="center"/>
          </w:tcPr>
          <w:p w14:paraId="0AFDD967">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47</w:t>
            </w:r>
          </w:p>
        </w:tc>
      </w:tr>
      <w:tr w14:paraId="65EAD9A8">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restart"/>
            <w:shd w:val="clear" w:color="auto" w:fill="auto"/>
            <w:noWrap w:val="0"/>
            <w:vAlign w:val="center"/>
          </w:tcPr>
          <w:p w14:paraId="5D78EAC8">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全产业链融合发展</w:t>
            </w:r>
          </w:p>
        </w:tc>
        <w:tc>
          <w:tcPr>
            <w:tcW w:w="4141" w:type="dxa"/>
            <w:shd w:val="clear" w:color="auto" w:fill="auto"/>
            <w:noWrap w:val="0"/>
            <w:vAlign w:val="center"/>
          </w:tcPr>
          <w:p w14:paraId="5BB5EB8B">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生猪良种覆盖率</w:t>
            </w:r>
          </w:p>
        </w:tc>
        <w:tc>
          <w:tcPr>
            <w:tcW w:w="708" w:type="dxa"/>
            <w:shd w:val="clear" w:color="auto" w:fill="auto"/>
            <w:noWrap w:val="0"/>
            <w:vAlign w:val="center"/>
          </w:tcPr>
          <w:p w14:paraId="154FB149">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5C2B8B59">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93</w:t>
            </w:r>
          </w:p>
        </w:tc>
        <w:tc>
          <w:tcPr>
            <w:tcW w:w="1015" w:type="dxa"/>
            <w:shd w:val="clear" w:color="auto" w:fill="auto"/>
            <w:noWrap w:val="0"/>
            <w:vAlign w:val="center"/>
          </w:tcPr>
          <w:p w14:paraId="3C77C6E5">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100</w:t>
            </w:r>
          </w:p>
        </w:tc>
      </w:tr>
      <w:tr w14:paraId="3B2B4B34">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4E9EFEE5">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2844E79A">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科技进步贡献率</w:t>
            </w:r>
          </w:p>
        </w:tc>
        <w:tc>
          <w:tcPr>
            <w:tcW w:w="708" w:type="dxa"/>
            <w:shd w:val="clear" w:color="auto" w:fill="auto"/>
            <w:noWrap w:val="0"/>
            <w:vAlign w:val="center"/>
          </w:tcPr>
          <w:p w14:paraId="4F18815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72BB4FF8">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68</w:t>
            </w:r>
          </w:p>
        </w:tc>
        <w:tc>
          <w:tcPr>
            <w:tcW w:w="1015" w:type="dxa"/>
            <w:shd w:val="clear" w:color="auto" w:fill="auto"/>
            <w:noWrap w:val="0"/>
            <w:vAlign w:val="center"/>
          </w:tcPr>
          <w:p w14:paraId="4605B536">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75</w:t>
            </w:r>
          </w:p>
        </w:tc>
      </w:tr>
      <w:tr w14:paraId="3EE689FF">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3D5710EA">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2A511116">
            <w:pPr>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shd w:val="clear" w:color="auto" w:fill="FFFFFF"/>
              </w:rPr>
              <w:t>生猪定点屠宰场（点）</w:t>
            </w:r>
          </w:p>
        </w:tc>
        <w:tc>
          <w:tcPr>
            <w:tcW w:w="708" w:type="dxa"/>
            <w:shd w:val="clear" w:color="auto" w:fill="auto"/>
            <w:noWrap w:val="0"/>
            <w:vAlign w:val="center"/>
          </w:tcPr>
          <w:p w14:paraId="46BC1CEE">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家</w:t>
            </w:r>
          </w:p>
        </w:tc>
        <w:tc>
          <w:tcPr>
            <w:tcW w:w="1014" w:type="dxa"/>
            <w:shd w:val="clear" w:color="auto" w:fill="auto"/>
            <w:noWrap w:val="0"/>
            <w:vAlign w:val="center"/>
          </w:tcPr>
          <w:p w14:paraId="0F1D61D7">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3</w:t>
            </w:r>
          </w:p>
        </w:tc>
        <w:tc>
          <w:tcPr>
            <w:tcW w:w="1015" w:type="dxa"/>
            <w:shd w:val="clear" w:color="auto" w:fill="auto"/>
            <w:noWrap w:val="0"/>
            <w:vAlign w:val="center"/>
          </w:tcPr>
          <w:p w14:paraId="33A7C917">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color w:val="auto"/>
                <w:sz w:val="24"/>
                <w:szCs w:val="24"/>
                <w:highlight w:val="none"/>
                <w:lang w:val="en-US" w:eastAsia="zh-CN"/>
              </w:rPr>
              <w:t>2</w:t>
            </w:r>
            <w:r>
              <w:rPr>
                <w:rFonts w:hint="eastAsia" w:ascii="方正仿宋_GB2312" w:hAnsi="方正仿宋_GB2312" w:eastAsia="方正仿宋_GB2312" w:cs="方正仿宋_GB2312"/>
                <w:color w:val="auto"/>
                <w:sz w:val="24"/>
                <w:szCs w:val="24"/>
                <w:highlight w:val="none"/>
              </w:rPr>
              <w:t>-</w:t>
            </w:r>
            <w:r>
              <w:rPr>
                <w:rFonts w:hint="eastAsia" w:ascii="方正仿宋_GB2312" w:hAnsi="方正仿宋_GB2312" w:eastAsia="方正仿宋_GB2312" w:cs="方正仿宋_GB2312"/>
                <w:color w:val="auto"/>
                <w:sz w:val="24"/>
                <w:szCs w:val="24"/>
                <w:highlight w:val="none"/>
                <w:lang w:val="en-US" w:eastAsia="zh-CN"/>
              </w:rPr>
              <w:t>3</w:t>
            </w:r>
          </w:p>
        </w:tc>
      </w:tr>
      <w:tr w14:paraId="6151EE4F">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7FB47C7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5D88ADF3">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生猪规模化屠宰比例</w:t>
            </w:r>
          </w:p>
        </w:tc>
        <w:tc>
          <w:tcPr>
            <w:tcW w:w="708" w:type="dxa"/>
            <w:shd w:val="clear" w:color="auto" w:fill="auto"/>
            <w:noWrap w:val="0"/>
            <w:vAlign w:val="center"/>
          </w:tcPr>
          <w:p w14:paraId="488B6915">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4234E388">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5" w:type="dxa"/>
            <w:shd w:val="clear" w:color="auto" w:fill="auto"/>
            <w:noWrap w:val="0"/>
            <w:vAlign w:val="center"/>
          </w:tcPr>
          <w:p w14:paraId="4D9A2B19">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≥90</w:t>
            </w:r>
          </w:p>
        </w:tc>
      </w:tr>
      <w:tr w14:paraId="67BDB6F1">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restart"/>
            <w:shd w:val="clear" w:color="auto" w:fill="auto"/>
            <w:noWrap w:val="0"/>
            <w:vAlign w:val="center"/>
          </w:tcPr>
          <w:p w14:paraId="0595F509">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规模经营产业集聚</w:t>
            </w:r>
          </w:p>
        </w:tc>
        <w:tc>
          <w:tcPr>
            <w:tcW w:w="4141" w:type="dxa"/>
            <w:shd w:val="clear" w:color="auto" w:fill="auto"/>
            <w:noWrap w:val="0"/>
            <w:vAlign w:val="center"/>
          </w:tcPr>
          <w:p w14:paraId="0782C7A6">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规模养殖占比</w:t>
            </w:r>
          </w:p>
        </w:tc>
        <w:tc>
          <w:tcPr>
            <w:tcW w:w="708" w:type="dxa"/>
            <w:shd w:val="clear" w:color="auto" w:fill="auto"/>
            <w:noWrap w:val="0"/>
            <w:vAlign w:val="center"/>
          </w:tcPr>
          <w:p w14:paraId="6863F4C2">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658CA316">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72</w:t>
            </w:r>
          </w:p>
        </w:tc>
        <w:tc>
          <w:tcPr>
            <w:tcW w:w="1015" w:type="dxa"/>
            <w:shd w:val="clear" w:color="auto" w:fill="auto"/>
            <w:noWrap w:val="0"/>
            <w:vAlign w:val="center"/>
          </w:tcPr>
          <w:p w14:paraId="74837A1F">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90</w:t>
            </w:r>
          </w:p>
        </w:tc>
      </w:tr>
      <w:tr w14:paraId="05AE3E7C">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709B888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062B7DDD">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规模养殖场</w:t>
            </w:r>
          </w:p>
        </w:tc>
        <w:tc>
          <w:tcPr>
            <w:tcW w:w="708" w:type="dxa"/>
            <w:shd w:val="clear" w:color="auto" w:fill="auto"/>
            <w:noWrap w:val="0"/>
            <w:vAlign w:val="center"/>
          </w:tcPr>
          <w:p w14:paraId="4FD14C8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家</w:t>
            </w:r>
          </w:p>
        </w:tc>
        <w:tc>
          <w:tcPr>
            <w:tcW w:w="1014" w:type="dxa"/>
            <w:shd w:val="clear" w:color="auto" w:fill="auto"/>
            <w:noWrap w:val="0"/>
            <w:vAlign w:val="center"/>
          </w:tcPr>
          <w:p w14:paraId="3DDE95B6">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388</w:t>
            </w:r>
          </w:p>
        </w:tc>
        <w:tc>
          <w:tcPr>
            <w:tcW w:w="1015" w:type="dxa"/>
            <w:shd w:val="clear" w:color="auto" w:fill="auto"/>
            <w:noWrap w:val="0"/>
            <w:vAlign w:val="center"/>
          </w:tcPr>
          <w:p w14:paraId="38815D44">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eastAsia="zh-CN"/>
              </w:rPr>
              <w:t>2</w:t>
            </w:r>
            <w:r>
              <w:rPr>
                <w:rFonts w:hint="eastAsia" w:ascii="方正仿宋_GB2312" w:hAnsi="方正仿宋_GB2312" w:eastAsia="方正仿宋_GB2312" w:cs="方正仿宋_GB2312"/>
                <w:color w:val="auto"/>
                <w:sz w:val="24"/>
                <w:szCs w:val="24"/>
                <w:highlight w:val="none"/>
                <w:lang w:val="en-US" w:eastAsia="zh-CN"/>
              </w:rPr>
              <w:t>80</w:t>
            </w:r>
          </w:p>
        </w:tc>
      </w:tr>
      <w:tr w14:paraId="020215B0">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1965E1E5">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11D71339">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kern w:val="0"/>
                <w:sz w:val="24"/>
                <w:szCs w:val="24"/>
                <w:highlight w:val="none"/>
              </w:rPr>
              <w:t>养殖专业户</w:t>
            </w:r>
          </w:p>
        </w:tc>
        <w:tc>
          <w:tcPr>
            <w:tcW w:w="708" w:type="dxa"/>
            <w:shd w:val="clear" w:color="auto" w:fill="auto"/>
            <w:noWrap w:val="0"/>
            <w:vAlign w:val="center"/>
          </w:tcPr>
          <w:p w14:paraId="578DDAC6">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户</w:t>
            </w:r>
          </w:p>
        </w:tc>
        <w:tc>
          <w:tcPr>
            <w:tcW w:w="1014" w:type="dxa"/>
            <w:shd w:val="clear" w:color="auto" w:fill="auto"/>
            <w:noWrap w:val="0"/>
            <w:vAlign w:val="center"/>
          </w:tcPr>
          <w:p w14:paraId="643EAD42">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720</w:t>
            </w:r>
          </w:p>
        </w:tc>
        <w:tc>
          <w:tcPr>
            <w:tcW w:w="1015" w:type="dxa"/>
            <w:shd w:val="clear" w:color="auto" w:fill="auto"/>
            <w:noWrap w:val="0"/>
            <w:vAlign w:val="center"/>
          </w:tcPr>
          <w:p w14:paraId="34B51135">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lang w:val="en-US"/>
              </w:rPr>
            </w:pPr>
            <w:r>
              <w:rPr>
                <w:rFonts w:hint="eastAsia" w:ascii="方正仿宋_GB2312" w:hAnsi="方正仿宋_GB2312" w:eastAsia="方正仿宋_GB2312" w:cs="方正仿宋_GB2312"/>
                <w:color w:val="auto"/>
                <w:sz w:val="24"/>
                <w:szCs w:val="24"/>
                <w:highlight w:val="none"/>
                <w:lang w:val="en-US" w:eastAsia="zh-CN"/>
              </w:rPr>
              <w:t>580</w:t>
            </w:r>
          </w:p>
        </w:tc>
      </w:tr>
      <w:tr w14:paraId="3EE257BE">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2F613E68">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5321CC3F">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省级及以上重点农业龙头企业</w:t>
            </w:r>
          </w:p>
        </w:tc>
        <w:tc>
          <w:tcPr>
            <w:tcW w:w="708" w:type="dxa"/>
            <w:shd w:val="clear" w:color="auto" w:fill="auto"/>
            <w:noWrap w:val="0"/>
            <w:vAlign w:val="center"/>
          </w:tcPr>
          <w:p w14:paraId="516CBA63">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家</w:t>
            </w:r>
          </w:p>
        </w:tc>
        <w:tc>
          <w:tcPr>
            <w:tcW w:w="1014" w:type="dxa"/>
            <w:shd w:val="clear" w:color="auto" w:fill="auto"/>
            <w:noWrap w:val="0"/>
            <w:vAlign w:val="center"/>
          </w:tcPr>
          <w:p w14:paraId="0D4A121C">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5</w:t>
            </w:r>
          </w:p>
        </w:tc>
        <w:tc>
          <w:tcPr>
            <w:tcW w:w="1015" w:type="dxa"/>
            <w:shd w:val="clear" w:color="auto" w:fill="auto"/>
            <w:noWrap w:val="0"/>
            <w:vAlign w:val="center"/>
          </w:tcPr>
          <w:p w14:paraId="3FB86118">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6</w:t>
            </w:r>
          </w:p>
        </w:tc>
      </w:tr>
      <w:tr w14:paraId="78F6CC80">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7B6D59C5">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p>
        </w:tc>
        <w:tc>
          <w:tcPr>
            <w:tcW w:w="4141" w:type="dxa"/>
            <w:shd w:val="clear" w:color="auto" w:fill="auto"/>
            <w:noWrap w:val="0"/>
            <w:vAlign w:val="center"/>
          </w:tcPr>
          <w:p w14:paraId="08039816">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江门</w:t>
            </w:r>
            <w:r>
              <w:rPr>
                <w:rFonts w:hint="eastAsia" w:ascii="方正仿宋_GB2312" w:hAnsi="方正仿宋_GB2312" w:eastAsia="方正仿宋_GB2312" w:cs="方正仿宋_GB2312"/>
                <w:color w:val="auto"/>
                <w:sz w:val="24"/>
                <w:szCs w:val="24"/>
                <w:highlight w:val="none"/>
              </w:rPr>
              <w:t>市级重点农业龙头企业</w:t>
            </w:r>
          </w:p>
        </w:tc>
        <w:tc>
          <w:tcPr>
            <w:tcW w:w="708" w:type="dxa"/>
            <w:shd w:val="clear" w:color="auto" w:fill="auto"/>
            <w:noWrap w:val="0"/>
            <w:vAlign w:val="center"/>
          </w:tcPr>
          <w:p w14:paraId="71494071">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家</w:t>
            </w:r>
          </w:p>
        </w:tc>
        <w:tc>
          <w:tcPr>
            <w:tcW w:w="1014" w:type="dxa"/>
            <w:shd w:val="clear" w:color="auto" w:fill="auto"/>
            <w:noWrap w:val="0"/>
            <w:vAlign w:val="center"/>
          </w:tcPr>
          <w:p w14:paraId="45E1553F">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3</w:t>
            </w:r>
          </w:p>
        </w:tc>
        <w:tc>
          <w:tcPr>
            <w:tcW w:w="1015" w:type="dxa"/>
            <w:shd w:val="clear" w:color="auto" w:fill="auto"/>
            <w:noWrap w:val="0"/>
            <w:vAlign w:val="center"/>
          </w:tcPr>
          <w:p w14:paraId="68F5E527">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eastAsia="zh-CN"/>
              </w:rPr>
              <w:t>4</w:t>
            </w:r>
          </w:p>
        </w:tc>
      </w:tr>
      <w:tr w14:paraId="4B423930">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restart"/>
            <w:shd w:val="clear" w:color="auto" w:fill="auto"/>
            <w:noWrap w:val="0"/>
            <w:vAlign w:val="center"/>
          </w:tcPr>
          <w:p w14:paraId="77E0391B">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绿色发展水平提升</w:t>
            </w:r>
          </w:p>
        </w:tc>
        <w:tc>
          <w:tcPr>
            <w:tcW w:w="4141" w:type="dxa"/>
            <w:shd w:val="clear" w:color="auto" w:fill="auto"/>
            <w:noWrap w:val="0"/>
            <w:vAlign w:val="center"/>
          </w:tcPr>
          <w:p w14:paraId="55A4C51E">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畜禽粪污综合利用率</w:t>
            </w:r>
          </w:p>
        </w:tc>
        <w:tc>
          <w:tcPr>
            <w:tcW w:w="708" w:type="dxa"/>
            <w:shd w:val="clear" w:color="auto" w:fill="auto"/>
            <w:noWrap w:val="0"/>
            <w:vAlign w:val="center"/>
          </w:tcPr>
          <w:p w14:paraId="211ED5D9">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2A10774B">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79.77</w:t>
            </w:r>
          </w:p>
        </w:tc>
        <w:tc>
          <w:tcPr>
            <w:tcW w:w="1015" w:type="dxa"/>
            <w:shd w:val="clear" w:color="auto" w:fill="auto"/>
            <w:noWrap w:val="0"/>
            <w:vAlign w:val="center"/>
          </w:tcPr>
          <w:p w14:paraId="0757EEBB">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90</w:t>
            </w:r>
          </w:p>
        </w:tc>
      </w:tr>
      <w:tr w14:paraId="3A09020E">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7D55FADE">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bCs/>
                <w:color w:val="auto"/>
                <w:sz w:val="24"/>
                <w:szCs w:val="24"/>
                <w:highlight w:val="none"/>
              </w:rPr>
            </w:pPr>
          </w:p>
        </w:tc>
        <w:tc>
          <w:tcPr>
            <w:tcW w:w="4141" w:type="dxa"/>
            <w:shd w:val="clear" w:color="auto" w:fill="auto"/>
            <w:noWrap w:val="0"/>
            <w:vAlign w:val="center"/>
          </w:tcPr>
          <w:p w14:paraId="24172BA2">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规模养猪场粪污处理设施装备配套率</w:t>
            </w:r>
          </w:p>
        </w:tc>
        <w:tc>
          <w:tcPr>
            <w:tcW w:w="708" w:type="dxa"/>
            <w:shd w:val="clear" w:color="auto" w:fill="auto"/>
            <w:noWrap w:val="0"/>
            <w:vAlign w:val="center"/>
          </w:tcPr>
          <w:p w14:paraId="1F8EEB80">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6693F64E">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95.5</w:t>
            </w:r>
          </w:p>
        </w:tc>
        <w:tc>
          <w:tcPr>
            <w:tcW w:w="1015" w:type="dxa"/>
            <w:shd w:val="clear" w:color="auto" w:fill="auto"/>
            <w:noWrap w:val="0"/>
            <w:vAlign w:val="center"/>
          </w:tcPr>
          <w:p w14:paraId="26FCD831">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99</w:t>
            </w:r>
          </w:p>
        </w:tc>
      </w:tr>
      <w:tr w14:paraId="19FC3041">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66AC0EDE">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bCs/>
                <w:color w:val="auto"/>
                <w:sz w:val="24"/>
                <w:szCs w:val="24"/>
                <w:highlight w:val="none"/>
              </w:rPr>
            </w:pPr>
          </w:p>
        </w:tc>
        <w:tc>
          <w:tcPr>
            <w:tcW w:w="4141" w:type="dxa"/>
            <w:shd w:val="clear" w:color="auto" w:fill="auto"/>
            <w:noWrap w:val="0"/>
            <w:vAlign w:val="center"/>
          </w:tcPr>
          <w:p w14:paraId="4629904F">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产地检疫率</w:t>
            </w:r>
          </w:p>
        </w:tc>
        <w:tc>
          <w:tcPr>
            <w:tcW w:w="708" w:type="dxa"/>
            <w:shd w:val="clear" w:color="auto" w:fill="auto"/>
            <w:noWrap w:val="0"/>
            <w:vAlign w:val="center"/>
          </w:tcPr>
          <w:p w14:paraId="1C8E8937">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0C6B709B">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100</w:t>
            </w:r>
          </w:p>
        </w:tc>
        <w:tc>
          <w:tcPr>
            <w:tcW w:w="1015" w:type="dxa"/>
            <w:shd w:val="clear" w:color="auto" w:fill="auto"/>
            <w:noWrap w:val="0"/>
            <w:vAlign w:val="center"/>
          </w:tcPr>
          <w:p w14:paraId="64D5F722">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100</w:t>
            </w:r>
          </w:p>
        </w:tc>
      </w:tr>
      <w:tr w14:paraId="7A14D2BD">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1A92F9D0">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bCs/>
                <w:color w:val="auto"/>
                <w:sz w:val="24"/>
                <w:szCs w:val="24"/>
                <w:highlight w:val="none"/>
              </w:rPr>
            </w:pPr>
          </w:p>
        </w:tc>
        <w:tc>
          <w:tcPr>
            <w:tcW w:w="4141" w:type="dxa"/>
            <w:shd w:val="clear" w:color="auto" w:fill="auto"/>
            <w:noWrap w:val="0"/>
            <w:vAlign w:val="center"/>
          </w:tcPr>
          <w:p w14:paraId="2F6DC2F1">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兽医、防疫检疫等专业技术人员</w:t>
            </w:r>
          </w:p>
        </w:tc>
        <w:tc>
          <w:tcPr>
            <w:tcW w:w="708" w:type="dxa"/>
            <w:shd w:val="clear" w:color="auto" w:fill="auto"/>
            <w:noWrap w:val="0"/>
            <w:vAlign w:val="center"/>
          </w:tcPr>
          <w:p w14:paraId="6E831B55">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人</w:t>
            </w:r>
          </w:p>
        </w:tc>
        <w:tc>
          <w:tcPr>
            <w:tcW w:w="1014" w:type="dxa"/>
            <w:shd w:val="clear" w:color="auto" w:fill="auto"/>
            <w:noWrap w:val="0"/>
            <w:vAlign w:val="center"/>
          </w:tcPr>
          <w:p w14:paraId="61FD4729">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200</w:t>
            </w:r>
          </w:p>
        </w:tc>
        <w:tc>
          <w:tcPr>
            <w:tcW w:w="1015" w:type="dxa"/>
            <w:shd w:val="clear" w:color="auto" w:fill="auto"/>
            <w:noWrap w:val="0"/>
            <w:vAlign w:val="center"/>
          </w:tcPr>
          <w:p w14:paraId="4AE7864A">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lang w:val="en-US" w:eastAsia="zh-CN"/>
              </w:rPr>
              <w:t>4</w:t>
            </w:r>
            <w:r>
              <w:rPr>
                <w:rFonts w:hint="eastAsia" w:ascii="方正仿宋_GB2312" w:hAnsi="方正仿宋_GB2312" w:eastAsia="方正仿宋_GB2312" w:cs="方正仿宋_GB2312"/>
                <w:color w:val="auto"/>
                <w:sz w:val="24"/>
                <w:szCs w:val="24"/>
                <w:highlight w:val="none"/>
              </w:rPr>
              <w:t>00</w:t>
            </w:r>
          </w:p>
        </w:tc>
      </w:tr>
      <w:tr w14:paraId="6E200C67">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2178" w:type="dxa"/>
            <w:vMerge w:val="continue"/>
            <w:shd w:val="clear" w:color="auto" w:fill="auto"/>
            <w:noWrap w:val="0"/>
            <w:vAlign w:val="center"/>
          </w:tcPr>
          <w:p w14:paraId="7C6AC8DE">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b/>
                <w:bCs/>
                <w:color w:val="auto"/>
                <w:sz w:val="24"/>
                <w:szCs w:val="24"/>
                <w:highlight w:val="none"/>
              </w:rPr>
            </w:pPr>
          </w:p>
        </w:tc>
        <w:tc>
          <w:tcPr>
            <w:tcW w:w="4141" w:type="dxa"/>
            <w:shd w:val="clear" w:color="auto" w:fill="auto"/>
            <w:noWrap w:val="0"/>
            <w:vAlign w:val="center"/>
          </w:tcPr>
          <w:p w14:paraId="05305CF8">
            <w:pPr>
              <w:snapToGrid w:val="0"/>
              <w:spacing w:before="59" w:beforeLines="10" w:after="59" w:afterLines="10"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产品检验合格率</w:t>
            </w:r>
          </w:p>
        </w:tc>
        <w:tc>
          <w:tcPr>
            <w:tcW w:w="708" w:type="dxa"/>
            <w:shd w:val="clear" w:color="auto" w:fill="auto"/>
            <w:noWrap w:val="0"/>
            <w:vAlign w:val="center"/>
          </w:tcPr>
          <w:p w14:paraId="5D2FE6DB">
            <w:pPr>
              <w:snapToGrid w:val="0"/>
              <w:spacing w:before="59" w:beforeLines="10" w:after="59" w:afterLines="10" w:line="240" w:lineRule="auto"/>
              <w:ind w:left="0" w:leftChars="0" w:right="0" w:righ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w:t>
            </w:r>
          </w:p>
        </w:tc>
        <w:tc>
          <w:tcPr>
            <w:tcW w:w="1014" w:type="dxa"/>
            <w:shd w:val="clear" w:color="auto" w:fill="auto"/>
            <w:noWrap w:val="0"/>
            <w:vAlign w:val="center"/>
          </w:tcPr>
          <w:p w14:paraId="73DD7350">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100</w:t>
            </w:r>
          </w:p>
        </w:tc>
        <w:tc>
          <w:tcPr>
            <w:tcW w:w="1015" w:type="dxa"/>
            <w:shd w:val="clear" w:color="auto" w:fill="auto"/>
            <w:noWrap w:val="0"/>
            <w:vAlign w:val="center"/>
          </w:tcPr>
          <w:p w14:paraId="280D113D">
            <w:pPr>
              <w:snapToGrid w:val="0"/>
              <w:spacing w:before="59" w:beforeLines="10" w:after="59" w:afterLines="10" w:line="240" w:lineRule="auto"/>
              <w:ind w:left="0" w:leftChars="0" w:right="0" w:rightChars="0" w:firstLine="0" w:firstLineChars="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100</w:t>
            </w:r>
          </w:p>
        </w:tc>
      </w:tr>
    </w:tbl>
    <w:p w14:paraId="1CE5945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2.产业总体布局</w:t>
      </w:r>
    </w:p>
    <w:p w14:paraId="52D0677C">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生猪高质高效标准养殖样板区。规划以横陂镇、大槐镇、沙湖镇为发展重点，该区域</w:t>
      </w:r>
      <w:r>
        <w:rPr>
          <w:rFonts w:hint="eastAsia" w:ascii="方正仿宋_GB2312" w:hAnsi="方正仿宋_GB2312" w:eastAsia="方正仿宋_GB2312" w:cs="方正仿宋_GB2312"/>
          <w:color w:val="000000" w:themeColor="text1"/>
          <w:lang w:eastAsia="zh-CN"/>
          <w14:textFill>
            <w14:solidFill>
              <w14:schemeClr w14:val="tx1"/>
            </w14:solidFill>
          </w14:textFill>
        </w:rPr>
        <w:t>属于</w:t>
      </w:r>
      <w:r>
        <w:rPr>
          <w:rFonts w:hint="eastAsia" w:ascii="方正仿宋_GB2312" w:hAnsi="方正仿宋_GB2312" w:eastAsia="方正仿宋_GB2312" w:cs="方正仿宋_GB2312"/>
          <w:color w:val="000000" w:themeColor="text1"/>
          <w14:textFill>
            <w14:solidFill>
              <w14:schemeClr w14:val="tx1"/>
            </w14:solidFill>
          </w14:textFill>
        </w:rPr>
        <w:t>生猪养殖密集区，土地资源相对丰富，规模化程度高，养殖基础较为扎实。着重以推动生猪稳产保供及产业转型升级为重点，坚持“扶大扶强”，围绕工厂化、生态化发展方向，推动养殖企业标准化改造，积极做好标准化养殖示范场建设，提高畜禽养殖的规模化、集约化、标准化水平，带动生猪养殖产业</w:t>
      </w:r>
      <w:r>
        <w:rPr>
          <w:rFonts w:hint="eastAsia" w:ascii="方正仿宋_GB2312" w:hAnsi="方正仿宋_GB2312" w:eastAsia="方正仿宋_GB2312" w:cs="方正仿宋_GB2312"/>
          <w:color w:val="000000" w:themeColor="text1"/>
          <w:lang w:eastAsia="zh-CN"/>
          <w14:textFill>
            <w14:solidFill>
              <w14:schemeClr w14:val="tx1"/>
            </w14:solidFill>
          </w14:textFill>
        </w:rPr>
        <w:t>现代化、</w:t>
      </w:r>
      <w:r>
        <w:rPr>
          <w:rFonts w:hint="eastAsia" w:ascii="方正仿宋_GB2312" w:hAnsi="方正仿宋_GB2312" w:eastAsia="方正仿宋_GB2312" w:cs="方正仿宋_GB2312"/>
          <w:color w:val="000000" w:themeColor="text1"/>
          <w14:textFill>
            <w14:solidFill>
              <w14:schemeClr w14:val="tx1"/>
            </w14:solidFill>
          </w14:textFill>
        </w:rPr>
        <w:t>高效化</w:t>
      </w:r>
      <w:r>
        <w:rPr>
          <w:rFonts w:hint="eastAsia" w:ascii="方正仿宋_GB2312" w:hAnsi="方正仿宋_GB2312" w:eastAsia="方正仿宋_GB2312" w:cs="方正仿宋_GB2312"/>
          <w:color w:val="000000" w:themeColor="text1"/>
          <w:lang w:eastAsia="zh-CN"/>
          <w14:textFill>
            <w14:solidFill>
              <w14:schemeClr w14:val="tx1"/>
            </w14:solidFill>
          </w14:textFill>
        </w:rPr>
        <w:t>、规模化</w:t>
      </w:r>
      <w:r>
        <w:rPr>
          <w:rFonts w:hint="eastAsia" w:ascii="方正仿宋_GB2312" w:hAnsi="方正仿宋_GB2312" w:eastAsia="方正仿宋_GB2312" w:cs="方正仿宋_GB2312"/>
          <w:color w:val="000000" w:themeColor="text1"/>
          <w14:textFill>
            <w14:solidFill>
              <w14:schemeClr w14:val="tx1"/>
            </w14:solidFill>
          </w14:textFill>
        </w:rPr>
        <w:t>发展。</w:t>
      </w:r>
    </w:p>
    <w:p w14:paraId="24380C7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生猪适度经营养殖推广示范区。规划以恩城街道、圣堂镇、君堂镇、东成镇为发展重点。考虑恩平市主要中心城区、产业转移工业园区等多重因素，该区域城镇化水平、工业化水平较高，需要严格控制现有生猪养殖规模，优化发展规模养殖场。在保护生猪基础产能</w:t>
      </w:r>
      <w:r>
        <w:rPr>
          <w:rFonts w:hint="eastAsia" w:ascii="方正仿宋_GB2312" w:hAnsi="方正仿宋_GB2312" w:eastAsia="方正仿宋_GB2312" w:cs="方正仿宋_GB2312"/>
          <w:color w:val="000000" w:themeColor="text1"/>
          <w:lang w:eastAsia="zh-CN"/>
          <w14:textFill>
            <w14:solidFill>
              <w14:schemeClr w14:val="tx1"/>
            </w14:solidFill>
          </w14:textFill>
        </w:rPr>
        <w:t>的基础上</w:t>
      </w:r>
      <w:r>
        <w:rPr>
          <w:rFonts w:hint="eastAsia" w:ascii="方正仿宋_GB2312" w:hAnsi="方正仿宋_GB2312" w:eastAsia="方正仿宋_GB2312" w:cs="方正仿宋_GB2312"/>
          <w:color w:val="000000" w:themeColor="text1"/>
          <w14:textFill>
            <w14:solidFill>
              <w14:schemeClr w14:val="tx1"/>
            </w14:solidFill>
          </w14:textFill>
        </w:rPr>
        <w:t>，调整优化养殖结构，建成集先进设施设备应用、绿色环保、标</w:t>
      </w:r>
      <w:r>
        <w:rPr>
          <w:rFonts w:hint="eastAsia" w:ascii="方正仿宋_GB2312" w:hAnsi="方正仿宋_GB2312" w:eastAsia="方正仿宋_GB2312" w:cs="方正仿宋_GB2312"/>
          <w:color w:val="000000" w:themeColor="text1"/>
          <w:lang w:eastAsia="zh-CN"/>
          <w14:textFill>
            <w14:solidFill>
              <w14:schemeClr w14:val="tx1"/>
            </w14:solidFill>
          </w14:textFill>
        </w:rPr>
        <w:t>准化</w:t>
      </w:r>
      <w:r>
        <w:rPr>
          <w:rFonts w:hint="eastAsia" w:ascii="方正仿宋_GB2312" w:hAnsi="方正仿宋_GB2312" w:eastAsia="方正仿宋_GB2312" w:cs="方正仿宋_GB2312"/>
          <w:color w:val="000000" w:themeColor="text1"/>
          <w14:textFill>
            <w14:solidFill>
              <w14:schemeClr w14:val="tx1"/>
            </w14:solidFill>
          </w14:textFill>
        </w:rPr>
        <w:t>管理为一体的养殖示范区。</w:t>
      </w:r>
    </w:p>
    <w:p w14:paraId="59FF92E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生猪绿色生态循环养殖发展区。规划以牛江镇、良西镇、大田镇、那吉镇为发展重点。该区域涵盖水源保护区及生态自然保护区，是文化旅游特色镇、山水风光特色镇，需以生态文明绿色循环为发展理念，突出生猪养殖废弃物无害化处理和资源化利用设施设备建设，形成具有多环节链接和实现粪污</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沼气</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肥料等综合效应的良性循环，发展节约型、循环型、生态型农业。</w:t>
      </w:r>
    </w:p>
    <w:p w14:paraId="08DCBED9">
      <w:pPr>
        <w:spacing w:line="240" w:lineRule="auto"/>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614035" cy="7212330"/>
            <wp:effectExtent l="0" t="0" r="9525" b="11430"/>
            <wp:docPr id="37" name="图片 3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1"/>
                    <pic:cNvPicPr>
                      <a:picLocks noChangeAspect="1"/>
                    </pic:cNvPicPr>
                  </pic:nvPicPr>
                  <pic:blipFill>
                    <a:blip r:embed="rId41"/>
                    <a:stretch>
                      <a:fillRect/>
                    </a:stretch>
                  </pic:blipFill>
                  <pic:spPr>
                    <a:xfrm>
                      <a:off x="0" y="0"/>
                      <a:ext cx="5614035" cy="7212330"/>
                    </a:xfrm>
                    <a:prstGeom prst="rect">
                      <a:avLst/>
                    </a:prstGeom>
                  </pic:spPr>
                </pic:pic>
              </a:graphicData>
            </a:graphic>
          </wp:inline>
        </w:drawing>
      </w:r>
    </w:p>
    <w:p w14:paraId="0966F454">
      <w:pPr>
        <w:pStyle w:val="49"/>
        <w:numPr>
          <w:ilvl w:val="7"/>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u w:val="none"/>
          <w:lang w:val="en-US" w:eastAsia="zh-CN" w:bidi="ar-SA"/>
          <w14:textFill>
            <w14:solidFill>
              <w14:schemeClr w14:val="tx1"/>
            </w14:solidFill>
          </w14:textFill>
        </w:rPr>
        <w:t>图6 恩平市</w:t>
      </w:r>
      <w:r>
        <w:rPr>
          <w:rFonts w:hint="eastAsia" w:ascii="方正仿宋_GB2312" w:hAnsi="方正仿宋_GB2312" w:eastAsia="方正仿宋_GB2312" w:cs="方正仿宋_GB2312"/>
          <w:color w:val="000000" w:themeColor="text1"/>
          <w:lang w:eastAsia="zh-CN"/>
          <w14:textFill>
            <w14:solidFill>
              <w14:schemeClr w14:val="tx1"/>
            </w14:solidFill>
          </w14:textFill>
        </w:rPr>
        <w:t>种养循环发展布局图</w:t>
      </w:r>
    </w:p>
    <w:p w14:paraId="0C5B4E98">
      <w:pPr>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备注：</w:t>
      </w:r>
      <w:r>
        <w:rPr>
          <w:rFonts w:hint="eastAsia" w:ascii="方正仿宋_GB2312" w:hAnsi="方正仿宋_GB2312" w:eastAsia="方正仿宋_GB2312" w:cs="方正仿宋_GB2312"/>
          <w:color w:val="000000" w:themeColor="text1"/>
          <w14:textFill>
            <w14:solidFill>
              <w14:schemeClr w14:val="tx1"/>
            </w14:solidFill>
          </w14:textFill>
        </w:rPr>
        <w:t>摘录自《</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恩平市生猪产业发展专项规划（2022—2026年）</w:t>
      </w:r>
      <w:r>
        <w:rPr>
          <w:rFonts w:hint="eastAsia" w:ascii="方正仿宋_GB2312" w:hAnsi="方正仿宋_GB2312" w:eastAsia="方正仿宋_GB2312" w:cs="方正仿宋_GB2312"/>
          <w:color w:val="000000" w:themeColor="text1"/>
          <w14:textFill>
            <w14:solidFill>
              <w14:schemeClr w14:val="tx1"/>
            </w14:solidFill>
          </w14:textFill>
        </w:rPr>
        <w:t>》</w:t>
      </w:r>
    </w:p>
    <w:p w14:paraId="588B2520">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28" w:name="_Toc22005"/>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（八）</w:t>
      </w:r>
      <w:r>
        <w:rPr>
          <w:rFonts w:hint="eastAsia" w:ascii="方正仿宋_GB2312" w:hAnsi="方正仿宋_GB2312" w:eastAsia="方正仿宋_GB2312" w:cs="方正仿宋_GB2312"/>
          <w:color w:val="000000" w:themeColor="text1"/>
          <w:lang w:eastAsia="zh-CN"/>
          <w14:textFill>
            <w14:solidFill>
              <w14:schemeClr w14:val="tx1"/>
            </w14:solidFill>
          </w14:textFill>
        </w:rPr>
        <w:t>江门市畜禽养殖污染防治规划（2024—2030年）</w:t>
      </w:r>
      <w:bookmarkEnd w:id="28"/>
    </w:p>
    <w:p w14:paraId="3812A6B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《关于印发江门市畜禽养殖污染防治规划（2024</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2030年）的通知》（江环〔2026〕47 号）</w:t>
      </w:r>
      <w:r>
        <w:rPr>
          <w:rFonts w:hint="eastAsia" w:ascii="方正仿宋_GB2312" w:hAnsi="方正仿宋_GB2312" w:eastAsia="方正仿宋_GB2312" w:cs="方正仿宋_GB2312"/>
          <w:color w:val="000000" w:themeColor="text1"/>
          <w:lang w:eastAsia="zh-CN"/>
          <w14:textFill>
            <w14:solidFill>
              <w14:schemeClr w14:val="tx1"/>
            </w14:solidFill>
          </w14:textFill>
        </w:rPr>
        <w:t>是</w:t>
      </w: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lang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实际情况制定</w:t>
      </w:r>
      <w:r>
        <w:rPr>
          <w:rFonts w:hint="eastAsia" w:ascii="方正仿宋_GB2312" w:hAnsi="方正仿宋_GB2312" w:eastAsia="方正仿宋_GB2312" w:cs="方正仿宋_GB2312"/>
          <w:color w:val="000000" w:themeColor="text1"/>
          <w:lang w:eastAsia="zh-CN"/>
          <w14:textFill>
            <w14:solidFill>
              <w14:schemeClr w14:val="tx1"/>
            </w14:solidFill>
          </w14:textFill>
        </w:rPr>
        <w:t>的江门市畜禽养殖污染防治规划</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，也是上级对应的专项规划</w:t>
      </w:r>
      <w:r>
        <w:rPr>
          <w:rFonts w:hint="eastAsia" w:ascii="方正仿宋_GB2312" w:hAnsi="方正仿宋_GB2312" w:eastAsia="方正仿宋_GB2312" w:cs="方正仿宋_GB2312"/>
          <w:color w:val="000000" w:themeColor="text1"/>
          <w14:textFill>
            <w14:solidFill>
              <w14:schemeClr w14:val="tx1"/>
            </w14:solidFill>
          </w14:textFill>
        </w:rPr>
        <w:t>。</w:t>
      </w:r>
    </w:p>
    <w:p w14:paraId="348C082D">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1.规划目标</w:t>
      </w:r>
    </w:p>
    <w:p w14:paraId="26DCD59C">
      <w:pPr>
        <w:ind w:firstLine="632"/>
        <w:rPr>
          <w:rFonts w:hint="eastAsia" w:ascii="Times New Roman" w:hAnsi="Times New Roman" w:eastAsia="黑体" w:cs="Times New Roman"/>
          <w:b/>
          <w:bCs/>
          <w:color w:val="FF0000"/>
          <w:kern w:val="2"/>
          <w:sz w:val="24"/>
          <w:szCs w:val="24"/>
          <w:lang w:val="en-US" w:eastAsia="zh-CN" w:bidi="ar-SA"/>
        </w:rPr>
      </w:pPr>
      <w:r>
        <w:rPr>
          <w:rFonts w:hint="eastAsia"/>
        </w:rPr>
        <w:t>规划期内，全市畜禽养殖总体布局更加科学合理，畜禽粪污处理设施装备配套和污染防治监管水平进一步提升，以粪肥还田利用为纽带的种养结合循环发展格局进一步形成，粪污资源化利用计划和台账管理制度更加健全完善，最终实现全市畜牧业健康可持续发展和生态环境高水平保护</w:t>
      </w:r>
      <w:r>
        <w:rPr>
          <w:rFonts w:hint="eastAsia"/>
          <w:b/>
          <w:bCs/>
        </w:rPr>
        <w:t>。</w:t>
      </w:r>
      <w:r>
        <w:rPr>
          <w:rFonts w:hint="eastAsia"/>
          <w:b w:val="0"/>
          <w:bCs w:val="0"/>
        </w:rPr>
        <w:t>结合</w:t>
      </w:r>
      <w:r>
        <w:rPr>
          <w:rFonts w:hint="eastAsia"/>
          <w:b w:val="0"/>
          <w:bCs w:val="0"/>
          <w:lang w:eastAsia="zh-CN"/>
        </w:rPr>
        <w:t>全市</w:t>
      </w:r>
      <w:r>
        <w:rPr>
          <w:rFonts w:hint="eastAsia"/>
          <w:b w:val="0"/>
          <w:bCs w:val="0"/>
        </w:rPr>
        <w:t>环境容量和土地承载能力控制畜禽养殖总量</w:t>
      </w:r>
      <w:r>
        <w:rPr>
          <w:rFonts w:hint="eastAsia"/>
          <w:b w:val="0"/>
          <w:bCs w:val="0"/>
          <w:lang w:eastAsia="zh-CN"/>
        </w:rPr>
        <w:t>，</w:t>
      </w:r>
      <w:r>
        <w:rPr>
          <w:rFonts w:hint="eastAsia"/>
          <w:b w:val="0"/>
          <w:bCs w:val="0"/>
        </w:rPr>
        <w:t>规划期内生猪出栏量不超过</w:t>
      </w:r>
      <w:r>
        <w:rPr>
          <w:b w:val="0"/>
          <w:bCs w:val="0"/>
        </w:rPr>
        <w:t>240</w:t>
      </w:r>
      <w:r>
        <w:rPr>
          <w:rFonts w:hint="eastAsia"/>
          <w:b w:val="0"/>
          <w:bCs w:val="0"/>
        </w:rPr>
        <w:t>万头</w:t>
      </w:r>
      <w:r>
        <w:rPr>
          <w:b w:val="0"/>
          <w:bCs w:val="0"/>
        </w:rPr>
        <w:t>/</w:t>
      </w:r>
      <w:r>
        <w:rPr>
          <w:rFonts w:hint="eastAsia"/>
          <w:b w:val="0"/>
          <w:bCs w:val="0"/>
        </w:rPr>
        <w:t>年</w:t>
      </w:r>
      <w:r>
        <w:rPr>
          <w:rFonts w:hint="eastAsia"/>
          <w:b w:val="0"/>
          <w:bCs w:val="0"/>
          <w:color w:val="auto"/>
        </w:rPr>
        <w:t>，肉牛羊</w:t>
      </w:r>
      <w:r>
        <w:rPr>
          <w:rFonts w:hint="eastAsia"/>
          <w:b w:val="0"/>
          <w:bCs w:val="0"/>
          <w:color w:val="auto"/>
          <w:lang w:eastAsia="zh-CN"/>
        </w:rPr>
        <w:t>、</w:t>
      </w:r>
      <w:r>
        <w:rPr>
          <w:rFonts w:hint="eastAsia"/>
          <w:b w:val="0"/>
          <w:bCs w:val="0"/>
          <w:color w:val="auto"/>
        </w:rPr>
        <w:t>家禽</w:t>
      </w:r>
      <w:r>
        <w:rPr>
          <w:rFonts w:hint="eastAsia"/>
          <w:b w:val="0"/>
          <w:bCs w:val="0"/>
          <w:color w:val="auto"/>
          <w:lang w:eastAsia="zh-CN"/>
        </w:rPr>
        <w:t>（主要包括鸡、鸭、鹅三个种类）年</w:t>
      </w:r>
      <w:r>
        <w:rPr>
          <w:rFonts w:hint="eastAsia"/>
          <w:b w:val="0"/>
          <w:bCs w:val="0"/>
          <w:color w:val="auto"/>
        </w:rPr>
        <w:t>总出栏量</w:t>
      </w:r>
      <w:r>
        <w:rPr>
          <w:rFonts w:hint="eastAsia"/>
          <w:b w:val="0"/>
          <w:bCs w:val="0"/>
          <w:color w:val="auto"/>
          <w:lang w:eastAsia="zh-CN"/>
        </w:rPr>
        <w:t>原则上不超过规划期基数，新建规模以上畜牧业项目应充分结合生态环境容量进行审批</w:t>
      </w:r>
      <w:r>
        <w:rPr>
          <w:rFonts w:hint="eastAsia"/>
          <w:b w:val="0"/>
          <w:bCs w:val="0"/>
          <w:color w:val="auto"/>
        </w:rPr>
        <w:t>。</w:t>
      </w:r>
    </w:p>
    <w:p w14:paraId="5A19A574">
      <w:pPr>
        <w:spacing w:line="240" w:lineRule="auto"/>
        <w:jc w:val="center"/>
        <w:rPr>
          <w:rFonts w:hint="default" w:ascii="方正大标宋_GBK" w:hAnsi="方正大标宋_GBK" w:eastAsia="方正大标宋_GBK" w:cs="方正大标宋_GBK"/>
          <w:sz w:val="21"/>
          <w:szCs w:val="21"/>
          <w:lang w:val="en-US" w:eastAsia="zh-CN"/>
        </w:rPr>
      </w:pPr>
      <w:r>
        <w:rPr>
          <w:rFonts w:hint="eastAsia" w:ascii="Times New Roman" w:hAnsi="Times New Roman" w:eastAsia="黑体" w:cs="Times New Roman"/>
          <w:b/>
          <w:bCs/>
          <w:kern w:val="2"/>
          <w:sz w:val="24"/>
          <w:szCs w:val="24"/>
          <w:lang w:val="en-US" w:eastAsia="zh-CN" w:bidi="ar-SA"/>
        </w:rPr>
        <w:t>表2</w:t>
      </w:r>
      <w:r>
        <w:rPr>
          <w:rFonts w:ascii="Times New Roman" w:hAnsi="Times New Roman" w:eastAsia="黑体" w:cs="Times New Roman"/>
          <w:b/>
          <w:bCs/>
          <w:kern w:val="2"/>
          <w:sz w:val="24"/>
          <w:szCs w:val="24"/>
          <w:lang w:val="en-US" w:eastAsia="zh-CN" w:bidi="ar-SA"/>
        </w:rPr>
        <w:t>-1</w:t>
      </w:r>
      <w:r>
        <w:rPr>
          <w:rFonts w:hint="eastAsia" w:ascii="Times New Roman" w:hAnsi="Times New Roman" w:eastAsia="黑体" w:cs="Times New Roman"/>
          <w:b/>
          <w:bCs/>
          <w:kern w:val="2"/>
          <w:sz w:val="24"/>
          <w:szCs w:val="24"/>
          <w:lang w:val="en-US" w:eastAsia="zh-CN" w:bidi="ar-SA"/>
        </w:rPr>
        <w:t>各县（市、区）规划期内畜禽养殖总量一览表</w:t>
      </w:r>
      <w:r>
        <w:rPr>
          <w:rFonts w:hint="eastAsia" w:ascii="方正大标宋_GBK" w:hAnsi="方正大标宋_GBK" w:eastAsia="方正大标宋_GBK" w:cs="方正大标宋_GBK"/>
          <w:sz w:val="32"/>
          <w:szCs w:val="32"/>
          <w:lang w:val="en-US" w:eastAsia="zh-CN"/>
        </w:rPr>
        <w:t xml:space="preserve">                                                         </w:t>
      </w:r>
      <w:r>
        <w:rPr>
          <w:rFonts w:hint="eastAsia" w:ascii="方正大标宋_GBK" w:hAnsi="方正大标宋_GBK" w:eastAsia="方正大标宋_GBK" w:cs="方正大标宋_GBK"/>
          <w:sz w:val="21"/>
          <w:szCs w:val="21"/>
          <w:lang w:eastAsia="zh-CN"/>
        </w:rPr>
        <w:t>单位：万头</w:t>
      </w:r>
      <w:r>
        <w:rPr>
          <w:rFonts w:hint="eastAsia" w:ascii="方正大标宋_GBK" w:hAnsi="方正大标宋_GBK" w:eastAsia="方正大标宋_GBK" w:cs="方正大标宋_GBK"/>
          <w:sz w:val="21"/>
          <w:szCs w:val="21"/>
          <w:lang w:val="en-US" w:eastAsia="zh-CN"/>
        </w:rPr>
        <w:t>/万羽</w:t>
      </w:r>
    </w:p>
    <w:tbl>
      <w:tblPr>
        <w:tblStyle w:val="21"/>
        <w:tblpPr w:leftFromText="180" w:rightFromText="180" w:vertAnchor="text" w:horzAnchor="page" w:tblpX="1910" w:tblpY="26"/>
        <w:tblOverlap w:val="never"/>
        <w:tblW w:w="48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2146"/>
        <w:gridCol w:w="2160"/>
        <w:gridCol w:w="2521"/>
      </w:tblGrid>
      <w:tr w14:paraId="1196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0"/>
            <w:vAlign w:val="center"/>
          </w:tcPr>
          <w:p w14:paraId="00AF1386">
            <w:pPr>
              <w:pStyle w:val="142"/>
              <w:spacing w:line="240" w:lineRule="auto"/>
              <w:jc w:val="center"/>
            </w:pPr>
            <w:r>
              <w:rPr>
                <w:rFonts w:hint="eastAsia"/>
                <w:b/>
                <w:bCs/>
              </w:rPr>
              <w:t>县（市、区）</w:t>
            </w:r>
          </w:p>
        </w:tc>
        <w:tc>
          <w:tcPr>
            <w:tcW w:w="1219" w:type="pct"/>
            <w:noWrap w:val="0"/>
            <w:vAlign w:val="center"/>
          </w:tcPr>
          <w:p w14:paraId="4FF2E720">
            <w:pPr>
              <w:pStyle w:val="142"/>
              <w:spacing w:line="240" w:lineRule="auto"/>
              <w:jc w:val="center"/>
              <w:rPr>
                <w:rFonts w:hint="eastAsia" w:ascii="Times New Roman" w:hAnsi="Times New Roman" w:eastAsia="宋体" w:cs="Times New Roman"/>
                <w:b/>
                <w:bCs/>
                <w:kern w:val="2"/>
                <w:sz w:val="24"/>
                <w:szCs w:val="21"/>
                <w:lang w:val="en-US" w:eastAsia="zh-CN" w:bidi="ar-SA"/>
              </w:rPr>
            </w:pPr>
            <w:r>
              <w:rPr>
                <w:rFonts w:hint="eastAsia"/>
                <w:b/>
                <w:bCs/>
                <w:lang w:eastAsia="zh-CN"/>
              </w:rPr>
              <w:t>生猪</w:t>
            </w:r>
          </w:p>
        </w:tc>
        <w:tc>
          <w:tcPr>
            <w:tcW w:w="1227" w:type="pct"/>
            <w:noWrap w:val="0"/>
            <w:vAlign w:val="center"/>
          </w:tcPr>
          <w:p w14:paraId="7B6F9948">
            <w:pPr>
              <w:pStyle w:val="142"/>
              <w:spacing w:line="240" w:lineRule="auto"/>
              <w:jc w:val="center"/>
              <w:rPr>
                <w:rFonts w:hint="eastAsia" w:ascii="Times New Roman" w:hAnsi="Times New Roman" w:eastAsia="宋体" w:cs="Times New Roman"/>
                <w:b/>
                <w:bCs/>
                <w:kern w:val="2"/>
                <w:sz w:val="24"/>
                <w:szCs w:val="21"/>
                <w:lang w:val="en-US" w:eastAsia="zh-CN" w:bidi="ar-SA"/>
              </w:rPr>
            </w:pPr>
            <w:r>
              <w:rPr>
                <w:rFonts w:hint="eastAsia"/>
                <w:b/>
                <w:bCs/>
                <w:lang w:eastAsia="zh-CN"/>
              </w:rPr>
              <w:t>牛羊</w:t>
            </w:r>
          </w:p>
        </w:tc>
        <w:tc>
          <w:tcPr>
            <w:tcW w:w="1432" w:type="pct"/>
            <w:noWrap w:val="0"/>
            <w:vAlign w:val="center"/>
          </w:tcPr>
          <w:p w14:paraId="3DEFB9A2">
            <w:pPr>
              <w:pStyle w:val="142"/>
              <w:spacing w:line="240" w:lineRule="auto"/>
              <w:jc w:val="center"/>
              <w:rPr>
                <w:rFonts w:hint="eastAsia" w:ascii="Times New Roman" w:hAnsi="Times New Roman" w:eastAsia="宋体" w:cs="Times New Roman"/>
                <w:b/>
                <w:bCs/>
                <w:kern w:val="2"/>
                <w:sz w:val="24"/>
                <w:szCs w:val="21"/>
                <w:lang w:val="en-US" w:eastAsia="zh-CN" w:bidi="ar-SA"/>
              </w:rPr>
            </w:pPr>
            <w:r>
              <w:rPr>
                <w:rFonts w:hint="eastAsia"/>
                <w:b/>
                <w:bCs/>
                <w:lang w:eastAsia="zh-CN"/>
              </w:rPr>
              <w:t>禽类</w:t>
            </w:r>
          </w:p>
        </w:tc>
      </w:tr>
      <w:tr w14:paraId="5197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176D9B4E">
            <w:pPr>
              <w:pStyle w:val="142"/>
              <w:spacing w:line="240" w:lineRule="auto"/>
              <w:jc w:val="center"/>
            </w:pPr>
            <w:r>
              <w:rPr>
                <w:rFonts w:hint="eastAsia"/>
              </w:rPr>
              <w:t>蓬江区</w:t>
            </w:r>
          </w:p>
        </w:tc>
        <w:tc>
          <w:tcPr>
            <w:tcW w:w="1219" w:type="pct"/>
            <w:noWrap/>
            <w:vAlign w:val="center"/>
          </w:tcPr>
          <w:p w14:paraId="3D25B8E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w:t>
            </w:r>
          </w:p>
        </w:tc>
        <w:tc>
          <w:tcPr>
            <w:tcW w:w="1227" w:type="pct"/>
            <w:noWrap/>
            <w:vAlign w:val="center"/>
          </w:tcPr>
          <w:p w14:paraId="31F5A00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w:t>
            </w:r>
          </w:p>
        </w:tc>
        <w:tc>
          <w:tcPr>
            <w:tcW w:w="1432" w:type="pct"/>
            <w:noWrap/>
            <w:vAlign w:val="center"/>
          </w:tcPr>
          <w:p w14:paraId="3988297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20</w:t>
            </w:r>
          </w:p>
        </w:tc>
      </w:tr>
      <w:tr w14:paraId="67CB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450574A9">
            <w:pPr>
              <w:pStyle w:val="142"/>
              <w:spacing w:line="240" w:lineRule="auto"/>
              <w:jc w:val="center"/>
            </w:pPr>
            <w:r>
              <w:rPr>
                <w:rFonts w:hint="eastAsia"/>
              </w:rPr>
              <w:t>江海区</w:t>
            </w:r>
          </w:p>
        </w:tc>
        <w:tc>
          <w:tcPr>
            <w:tcW w:w="1219" w:type="pct"/>
            <w:noWrap/>
            <w:vAlign w:val="center"/>
          </w:tcPr>
          <w:p w14:paraId="1322104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w:t>
            </w:r>
          </w:p>
        </w:tc>
        <w:tc>
          <w:tcPr>
            <w:tcW w:w="1227" w:type="pct"/>
            <w:noWrap/>
            <w:vAlign w:val="center"/>
          </w:tcPr>
          <w:p w14:paraId="219A552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w:t>
            </w:r>
          </w:p>
        </w:tc>
        <w:tc>
          <w:tcPr>
            <w:tcW w:w="1432" w:type="pct"/>
            <w:noWrap/>
            <w:vAlign w:val="center"/>
          </w:tcPr>
          <w:p w14:paraId="19AF7BB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w:t>
            </w:r>
          </w:p>
        </w:tc>
      </w:tr>
      <w:tr w14:paraId="3487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0D913914">
            <w:pPr>
              <w:pStyle w:val="142"/>
              <w:spacing w:line="240" w:lineRule="auto"/>
              <w:jc w:val="center"/>
            </w:pPr>
            <w:r>
              <w:rPr>
                <w:rFonts w:hint="eastAsia"/>
              </w:rPr>
              <w:t>新会区</w:t>
            </w:r>
          </w:p>
        </w:tc>
        <w:tc>
          <w:tcPr>
            <w:tcW w:w="1219" w:type="pct"/>
            <w:noWrap/>
            <w:vAlign w:val="center"/>
          </w:tcPr>
          <w:p w14:paraId="49F490D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31</w:t>
            </w:r>
          </w:p>
        </w:tc>
        <w:tc>
          <w:tcPr>
            <w:tcW w:w="1227" w:type="pct"/>
            <w:noWrap/>
            <w:vAlign w:val="center"/>
          </w:tcPr>
          <w:p w14:paraId="0C8D19E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0.</w:t>
            </w:r>
            <w:r>
              <w:rPr>
                <w:rFonts w:hint="eastAsia" w:eastAsia="宋体" w:cs="Times New Roman"/>
                <w:kern w:val="2"/>
                <w:sz w:val="24"/>
                <w:szCs w:val="21"/>
                <w:lang w:val="en-US" w:eastAsia="zh-CN" w:bidi="ar-SA"/>
              </w:rPr>
              <w:t>6</w:t>
            </w:r>
          </w:p>
        </w:tc>
        <w:tc>
          <w:tcPr>
            <w:tcW w:w="1432" w:type="pct"/>
            <w:noWrap/>
            <w:vAlign w:val="center"/>
          </w:tcPr>
          <w:p w14:paraId="34A9D91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18</w:t>
            </w:r>
            <w:r>
              <w:rPr>
                <w:rFonts w:hint="eastAsia" w:eastAsia="宋体" w:cs="Times New Roman"/>
                <w:kern w:val="2"/>
                <w:sz w:val="24"/>
                <w:szCs w:val="21"/>
                <w:lang w:val="en-US" w:eastAsia="zh-CN" w:bidi="ar-SA"/>
              </w:rPr>
              <w:t>30</w:t>
            </w:r>
          </w:p>
        </w:tc>
      </w:tr>
      <w:tr w14:paraId="6695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04384AD2">
            <w:pPr>
              <w:pStyle w:val="142"/>
              <w:spacing w:line="240" w:lineRule="auto"/>
              <w:jc w:val="center"/>
            </w:pPr>
            <w:r>
              <w:rPr>
                <w:rFonts w:hint="eastAsia"/>
              </w:rPr>
              <w:t>台山市</w:t>
            </w:r>
          </w:p>
        </w:tc>
        <w:tc>
          <w:tcPr>
            <w:tcW w:w="1219" w:type="pct"/>
            <w:noWrap/>
            <w:vAlign w:val="center"/>
          </w:tcPr>
          <w:p w14:paraId="7316DA2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63</w:t>
            </w:r>
          </w:p>
        </w:tc>
        <w:tc>
          <w:tcPr>
            <w:tcW w:w="1227" w:type="pct"/>
            <w:noWrap/>
            <w:vAlign w:val="center"/>
          </w:tcPr>
          <w:p w14:paraId="29DB32A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2.5</w:t>
            </w:r>
          </w:p>
        </w:tc>
        <w:tc>
          <w:tcPr>
            <w:tcW w:w="1432" w:type="pct"/>
            <w:noWrap/>
            <w:vAlign w:val="center"/>
          </w:tcPr>
          <w:p w14:paraId="45F356B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8800</w:t>
            </w:r>
          </w:p>
        </w:tc>
      </w:tr>
      <w:tr w14:paraId="2EE3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1293D916">
            <w:pPr>
              <w:pStyle w:val="142"/>
              <w:spacing w:line="240" w:lineRule="auto"/>
              <w:jc w:val="center"/>
            </w:pPr>
            <w:r>
              <w:rPr>
                <w:rFonts w:hint="eastAsia"/>
              </w:rPr>
              <w:t>开平市</w:t>
            </w:r>
          </w:p>
        </w:tc>
        <w:tc>
          <w:tcPr>
            <w:tcW w:w="1219" w:type="pct"/>
            <w:noWrap/>
            <w:vAlign w:val="center"/>
          </w:tcPr>
          <w:p w14:paraId="1DBDD62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49</w:t>
            </w:r>
          </w:p>
        </w:tc>
        <w:tc>
          <w:tcPr>
            <w:tcW w:w="1227" w:type="pct"/>
            <w:noWrap/>
            <w:vAlign w:val="center"/>
          </w:tcPr>
          <w:p w14:paraId="0D3ECAF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1</w:t>
            </w:r>
          </w:p>
        </w:tc>
        <w:tc>
          <w:tcPr>
            <w:tcW w:w="1432" w:type="pct"/>
            <w:noWrap/>
            <w:vAlign w:val="center"/>
          </w:tcPr>
          <w:p w14:paraId="410E957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6000</w:t>
            </w:r>
          </w:p>
        </w:tc>
      </w:tr>
      <w:tr w14:paraId="48B4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3A51A459">
            <w:pPr>
              <w:pStyle w:val="142"/>
              <w:spacing w:line="240" w:lineRule="auto"/>
              <w:jc w:val="center"/>
            </w:pPr>
            <w:r>
              <w:rPr>
                <w:rFonts w:hint="eastAsia"/>
              </w:rPr>
              <w:t>鹤山市</w:t>
            </w:r>
          </w:p>
        </w:tc>
        <w:tc>
          <w:tcPr>
            <w:tcW w:w="1219" w:type="pct"/>
            <w:noWrap/>
            <w:vAlign w:val="center"/>
          </w:tcPr>
          <w:p w14:paraId="2AB1579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50</w:t>
            </w:r>
          </w:p>
        </w:tc>
        <w:tc>
          <w:tcPr>
            <w:tcW w:w="1227" w:type="pct"/>
            <w:noWrap/>
            <w:vAlign w:val="center"/>
          </w:tcPr>
          <w:p w14:paraId="3B6ABC7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1</w:t>
            </w:r>
          </w:p>
        </w:tc>
        <w:tc>
          <w:tcPr>
            <w:tcW w:w="1432" w:type="pct"/>
            <w:noWrap/>
            <w:vAlign w:val="center"/>
          </w:tcPr>
          <w:p w14:paraId="4BE0C7A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1800</w:t>
            </w:r>
          </w:p>
        </w:tc>
      </w:tr>
      <w:tr w14:paraId="799C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07986F00">
            <w:pPr>
              <w:pStyle w:val="142"/>
              <w:spacing w:line="240" w:lineRule="auto"/>
              <w:jc w:val="center"/>
            </w:pPr>
            <w:r>
              <w:rPr>
                <w:rFonts w:hint="eastAsia"/>
              </w:rPr>
              <w:t>恩平市</w:t>
            </w:r>
          </w:p>
        </w:tc>
        <w:tc>
          <w:tcPr>
            <w:tcW w:w="1219" w:type="pct"/>
            <w:noWrap/>
            <w:vAlign w:val="center"/>
          </w:tcPr>
          <w:p w14:paraId="24629F2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47</w:t>
            </w:r>
          </w:p>
        </w:tc>
        <w:tc>
          <w:tcPr>
            <w:tcW w:w="1227" w:type="pct"/>
            <w:noWrap/>
            <w:vAlign w:val="center"/>
          </w:tcPr>
          <w:p w14:paraId="4D3AC6E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2</w:t>
            </w:r>
          </w:p>
        </w:tc>
        <w:tc>
          <w:tcPr>
            <w:tcW w:w="1432" w:type="pct"/>
            <w:noWrap/>
            <w:vAlign w:val="center"/>
          </w:tcPr>
          <w:p w14:paraId="30728E1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1550</w:t>
            </w:r>
          </w:p>
        </w:tc>
      </w:tr>
      <w:tr w14:paraId="1347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0" w:type="pct"/>
            <w:noWrap/>
            <w:vAlign w:val="center"/>
          </w:tcPr>
          <w:p w14:paraId="7A2546C2">
            <w:pPr>
              <w:pStyle w:val="142"/>
              <w:spacing w:line="240" w:lineRule="auto"/>
              <w:jc w:val="center"/>
              <w:rPr>
                <w:rFonts w:hint="eastAsia"/>
                <w:b/>
                <w:bCs/>
              </w:rPr>
            </w:pPr>
            <w:r>
              <w:rPr>
                <w:rFonts w:hint="eastAsia"/>
                <w:b/>
                <w:bCs/>
              </w:rPr>
              <w:t>江门市</w:t>
            </w:r>
          </w:p>
        </w:tc>
        <w:tc>
          <w:tcPr>
            <w:tcW w:w="1219" w:type="pct"/>
            <w:noWrap/>
            <w:vAlign w:val="center"/>
          </w:tcPr>
          <w:p w14:paraId="178FDD7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240</w:t>
            </w:r>
          </w:p>
        </w:tc>
        <w:tc>
          <w:tcPr>
            <w:tcW w:w="1227" w:type="pct"/>
            <w:noWrap/>
            <w:vAlign w:val="center"/>
          </w:tcPr>
          <w:p w14:paraId="085788A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7.1</w:t>
            </w:r>
          </w:p>
        </w:tc>
        <w:tc>
          <w:tcPr>
            <w:tcW w:w="1432" w:type="pct"/>
            <w:noWrap/>
            <w:vAlign w:val="center"/>
          </w:tcPr>
          <w:p w14:paraId="0942692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kern w:val="2"/>
                <w:sz w:val="24"/>
                <w:szCs w:val="21"/>
                <w:lang w:val="en-US" w:eastAsia="zh-CN" w:bidi="ar-SA"/>
              </w:rPr>
            </w:pPr>
            <w:r>
              <w:rPr>
                <w:rFonts w:hint="eastAsia" w:eastAsia="宋体" w:cs="Times New Roman"/>
                <w:kern w:val="2"/>
                <w:sz w:val="24"/>
                <w:szCs w:val="21"/>
                <w:lang w:val="en-US" w:eastAsia="zh-CN" w:bidi="ar-SA"/>
              </w:rPr>
              <w:t>20000</w:t>
            </w:r>
          </w:p>
        </w:tc>
      </w:tr>
    </w:tbl>
    <w:p w14:paraId="4FAB0A8E">
      <w:pPr>
        <w:ind w:firstLine="0" w:firstLineChars="0"/>
        <w:rPr>
          <w:rFonts w:hint="eastAsia"/>
        </w:rPr>
      </w:pPr>
    </w:p>
    <w:p w14:paraId="4F6A5571">
      <w:pPr>
        <w:ind w:firstLine="632"/>
        <w:rPr>
          <w:rFonts w:cs="Times New Roman"/>
          <w:szCs w:val="32"/>
        </w:rPr>
      </w:pPr>
      <w:r>
        <w:rPr>
          <w:rFonts w:hint="eastAsia" w:cs="Times New Roman"/>
          <w:szCs w:val="32"/>
        </w:rPr>
        <w:t>到2025年，畜禽养殖空间布局及结构进一步优化，畜禽养殖规模化率不低于83%；畜禽养殖污染防治和综合利用水平不断提升，畜禽规模养殖场粪污处理设施装备配套率</w:t>
      </w:r>
      <w:r>
        <w:rPr>
          <w:rFonts w:hint="eastAsia" w:cs="Times New Roman"/>
          <w:szCs w:val="32"/>
          <w:lang w:eastAsia="zh-CN"/>
        </w:rPr>
        <w:t>达到</w:t>
      </w:r>
      <w:r>
        <w:rPr>
          <w:rFonts w:hint="eastAsia" w:cs="Times New Roman"/>
          <w:szCs w:val="32"/>
        </w:rPr>
        <w:t>100%并确保正常运行，保留的生猪规模养殖场全面实现达标治理，畜禽粪污综合利用率达80%以上（不含达标治理部分）；畜禽养殖全链条环境监管体系不断完善，畜禽规模养殖场粪污资源化利用计划备案率、畜禽规模养殖场粪污资源化利用台账建立率均达90%以上，取得排污许可证的畜禽规模养殖场自行监测覆盖率达100%。</w:t>
      </w:r>
    </w:p>
    <w:p w14:paraId="133773B7">
      <w:pPr>
        <w:ind w:firstLine="632"/>
      </w:pPr>
      <w:r>
        <w:rPr>
          <w:rFonts w:hint="eastAsia" w:cs="Times New Roman"/>
          <w:szCs w:val="32"/>
        </w:rPr>
        <w:t>到2030年，畜禽养殖规模化率不低于85%；畜禽规模养殖场粪污处理设施装备配套率保持100%并确保正常运行，畜禽粪污综合利用率提升至85%以上（不含达标治理部分）；畜禽规模养殖场粪污资源化利用计划备案率、畜禽规模养殖场粪污资源化利用台账建立率均提升至95%以上，取得排污许可证的畜禽规模养殖场自行监测覆盖率保持100%。</w:t>
      </w:r>
    </w:p>
    <w:p w14:paraId="19F03355">
      <w:pPr>
        <w:pStyle w:val="146"/>
        <w:spacing w:line="560" w:lineRule="exact"/>
      </w:pPr>
      <w:r>
        <w:rPr>
          <w:rFonts w:hint="eastAsia"/>
        </w:rPr>
        <w:t>表2</w:t>
      </w:r>
      <w:r>
        <w:t>-</w:t>
      </w:r>
      <w:r>
        <w:rPr>
          <w:rFonts w:hint="eastAsia"/>
          <w:lang w:val="en-US" w:eastAsia="zh-CN"/>
        </w:rPr>
        <w:t>2</w:t>
      </w:r>
      <w:r>
        <w:t xml:space="preserve">  江门市畜禽养殖污染防治规划（202</w:t>
      </w:r>
      <w:r>
        <w:rPr>
          <w:rFonts w:hint="eastAsia"/>
        </w:rPr>
        <w:t>4</w:t>
      </w:r>
      <w:r>
        <w:rPr>
          <w:rFonts w:hint="eastAsia"/>
          <w:lang w:eastAsia="zh-CN"/>
        </w:rPr>
        <w:t>—</w:t>
      </w:r>
      <w:r>
        <w:t>20</w:t>
      </w:r>
      <w:r>
        <w:rPr>
          <w:rFonts w:hint="eastAsia"/>
        </w:rPr>
        <w:t>30</w:t>
      </w:r>
      <w:r>
        <w:t>年）指标体系一览表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2912"/>
        <w:gridCol w:w="1356"/>
        <w:gridCol w:w="1356"/>
        <w:gridCol w:w="1357"/>
        <w:gridCol w:w="1361"/>
      </w:tblGrid>
      <w:tr w14:paraId="7AE8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356BE1A9">
            <w:pPr>
              <w:pStyle w:val="142"/>
              <w:rPr>
                <w:rFonts w:eastAsia="楷体_GB2312"/>
                <w:b/>
                <w:bCs/>
              </w:rPr>
            </w:pPr>
            <w:r>
              <w:rPr>
                <w:rFonts w:eastAsia="楷体_GB2312"/>
                <w:b/>
                <w:bCs/>
              </w:rPr>
              <w:t>序号</w:t>
            </w:r>
          </w:p>
        </w:tc>
        <w:tc>
          <w:tcPr>
            <w:tcW w:w="1606" w:type="pct"/>
            <w:shd w:val="clear" w:color="auto" w:fill="auto"/>
            <w:vAlign w:val="center"/>
          </w:tcPr>
          <w:p w14:paraId="5427D4E7">
            <w:pPr>
              <w:pStyle w:val="142"/>
              <w:rPr>
                <w:rFonts w:eastAsia="楷体_GB2312"/>
                <w:b/>
                <w:bCs/>
              </w:rPr>
            </w:pPr>
            <w:r>
              <w:rPr>
                <w:rFonts w:eastAsia="楷体_GB2312"/>
                <w:b/>
                <w:bCs/>
              </w:rPr>
              <w:t>指标</w:t>
            </w:r>
          </w:p>
        </w:tc>
        <w:tc>
          <w:tcPr>
            <w:tcW w:w="748" w:type="pct"/>
            <w:shd w:val="clear" w:color="auto" w:fill="auto"/>
            <w:vAlign w:val="center"/>
          </w:tcPr>
          <w:p w14:paraId="00D80703">
            <w:pPr>
              <w:pStyle w:val="142"/>
              <w:rPr>
                <w:rFonts w:eastAsia="楷体_GB2312"/>
                <w:b/>
                <w:bCs/>
              </w:rPr>
            </w:pPr>
            <w:r>
              <w:rPr>
                <w:rFonts w:eastAsia="楷体_GB2312"/>
                <w:b/>
                <w:bCs/>
              </w:rPr>
              <w:t>2023年</w:t>
            </w:r>
          </w:p>
        </w:tc>
        <w:tc>
          <w:tcPr>
            <w:tcW w:w="748" w:type="pct"/>
            <w:shd w:val="clear" w:color="auto" w:fill="auto"/>
            <w:vAlign w:val="center"/>
          </w:tcPr>
          <w:p w14:paraId="63B4EB59">
            <w:pPr>
              <w:pStyle w:val="142"/>
              <w:rPr>
                <w:rFonts w:eastAsia="楷体_GB2312"/>
                <w:b/>
                <w:bCs/>
              </w:rPr>
            </w:pPr>
            <w:r>
              <w:rPr>
                <w:rFonts w:eastAsia="楷体_GB2312"/>
                <w:b/>
                <w:bCs/>
              </w:rPr>
              <w:t>2025年</w:t>
            </w:r>
          </w:p>
        </w:tc>
        <w:tc>
          <w:tcPr>
            <w:tcW w:w="748" w:type="pct"/>
            <w:shd w:val="clear" w:color="auto" w:fill="auto"/>
            <w:vAlign w:val="center"/>
          </w:tcPr>
          <w:p w14:paraId="3AB8CDD0">
            <w:pPr>
              <w:pStyle w:val="142"/>
              <w:rPr>
                <w:rFonts w:eastAsia="楷体_GB2312"/>
                <w:b/>
                <w:bCs/>
              </w:rPr>
            </w:pPr>
            <w:r>
              <w:rPr>
                <w:rFonts w:eastAsia="楷体_GB2312"/>
                <w:b/>
                <w:bCs/>
              </w:rPr>
              <w:t>2030年</w:t>
            </w:r>
          </w:p>
        </w:tc>
        <w:tc>
          <w:tcPr>
            <w:tcW w:w="750" w:type="pct"/>
            <w:shd w:val="clear" w:color="auto" w:fill="auto"/>
            <w:vAlign w:val="center"/>
          </w:tcPr>
          <w:p w14:paraId="26750C54">
            <w:pPr>
              <w:pStyle w:val="142"/>
              <w:rPr>
                <w:rFonts w:eastAsia="楷体_GB2312"/>
                <w:b/>
                <w:bCs/>
              </w:rPr>
            </w:pPr>
            <w:r>
              <w:rPr>
                <w:rFonts w:eastAsia="楷体_GB2312"/>
                <w:b/>
                <w:bCs/>
              </w:rPr>
              <w:t>指标类型</w:t>
            </w:r>
          </w:p>
        </w:tc>
      </w:tr>
      <w:tr w14:paraId="2AB4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5C3FF381">
            <w:pPr>
              <w:pStyle w:val="142"/>
              <w:rPr>
                <w:rFonts w:eastAsia="宋体"/>
              </w:rPr>
            </w:pPr>
            <w:r>
              <w:rPr>
                <w:rFonts w:eastAsia="宋体"/>
              </w:rPr>
              <w:t>1</w:t>
            </w:r>
          </w:p>
        </w:tc>
        <w:tc>
          <w:tcPr>
            <w:tcW w:w="1606" w:type="pct"/>
            <w:shd w:val="clear" w:color="auto" w:fill="auto"/>
            <w:vAlign w:val="center"/>
          </w:tcPr>
          <w:p w14:paraId="0295CDD5">
            <w:pPr>
              <w:pStyle w:val="142"/>
            </w:pPr>
            <w:r>
              <w:t>畜禽养殖规模化率</w:t>
            </w:r>
          </w:p>
        </w:tc>
        <w:tc>
          <w:tcPr>
            <w:tcW w:w="748" w:type="pct"/>
            <w:shd w:val="clear" w:color="auto" w:fill="auto"/>
            <w:vAlign w:val="center"/>
          </w:tcPr>
          <w:p w14:paraId="6870CF4B">
            <w:pPr>
              <w:pStyle w:val="142"/>
            </w:pPr>
            <w:r>
              <w:t>/</w:t>
            </w:r>
          </w:p>
        </w:tc>
        <w:tc>
          <w:tcPr>
            <w:tcW w:w="748" w:type="pct"/>
            <w:shd w:val="clear" w:color="auto" w:fill="auto"/>
            <w:vAlign w:val="center"/>
          </w:tcPr>
          <w:p w14:paraId="6B4AEB1A">
            <w:pPr>
              <w:pStyle w:val="142"/>
            </w:pPr>
            <w:r>
              <w:t>≥</w:t>
            </w:r>
            <w:r>
              <w:rPr>
                <w:rFonts w:hint="eastAsia"/>
              </w:rPr>
              <w:t>83</w:t>
            </w:r>
            <w:r>
              <w:t>%</w:t>
            </w:r>
          </w:p>
        </w:tc>
        <w:tc>
          <w:tcPr>
            <w:tcW w:w="748" w:type="pct"/>
            <w:shd w:val="clear" w:color="auto" w:fill="auto"/>
            <w:vAlign w:val="center"/>
          </w:tcPr>
          <w:p w14:paraId="375E694E">
            <w:pPr>
              <w:pStyle w:val="142"/>
            </w:pPr>
            <w:r>
              <w:t>≥</w:t>
            </w:r>
            <w:r>
              <w:rPr>
                <w:rFonts w:hint="eastAsia"/>
              </w:rPr>
              <w:t>8</w:t>
            </w:r>
            <w:r>
              <w:t>5%</w:t>
            </w:r>
          </w:p>
        </w:tc>
        <w:tc>
          <w:tcPr>
            <w:tcW w:w="750" w:type="pct"/>
            <w:shd w:val="clear" w:color="auto" w:fill="auto"/>
            <w:vAlign w:val="center"/>
          </w:tcPr>
          <w:p w14:paraId="041154A2">
            <w:pPr>
              <w:pStyle w:val="142"/>
            </w:pPr>
            <w:r>
              <w:t>预期性</w:t>
            </w:r>
          </w:p>
        </w:tc>
      </w:tr>
      <w:tr w14:paraId="6896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0573FE5F">
            <w:pPr>
              <w:pStyle w:val="142"/>
              <w:rPr>
                <w:rFonts w:eastAsia="宋体"/>
              </w:rPr>
            </w:pPr>
            <w:r>
              <w:rPr>
                <w:rFonts w:eastAsia="宋体"/>
              </w:rPr>
              <w:t>2</w:t>
            </w:r>
          </w:p>
        </w:tc>
        <w:tc>
          <w:tcPr>
            <w:tcW w:w="1606" w:type="pct"/>
            <w:shd w:val="clear" w:color="auto" w:fill="auto"/>
            <w:vAlign w:val="center"/>
          </w:tcPr>
          <w:p w14:paraId="4EBB731E">
            <w:pPr>
              <w:pStyle w:val="142"/>
            </w:pPr>
            <w:r>
              <w:t>畜禽粪污综合利用率</w:t>
            </w:r>
          </w:p>
          <w:p w14:paraId="0BDA5B44">
            <w:pPr>
              <w:pStyle w:val="142"/>
            </w:pPr>
            <w:r>
              <w:rPr>
                <w:rFonts w:hint="eastAsia"/>
              </w:rPr>
              <w:t>（不含达标治理部分）</w:t>
            </w:r>
          </w:p>
        </w:tc>
        <w:tc>
          <w:tcPr>
            <w:tcW w:w="748" w:type="pct"/>
            <w:shd w:val="clear" w:color="auto" w:fill="auto"/>
            <w:vAlign w:val="center"/>
          </w:tcPr>
          <w:p w14:paraId="452E1931">
            <w:pPr>
              <w:pStyle w:val="142"/>
              <w:rPr>
                <w:rFonts w:eastAsia="宋体"/>
              </w:rPr>
            </w:pPr>
            <w:r>
              <w:t>84.78%</w:t>
            </w:r>
          </w:p>
        </w:tc>
        <w:tc>
          <w:tcPr>
            <w:tcW w:w="748" w:type="pct"/>
            <w:shd w:val="clear" w:color="auto" w:fill="auto"/>
            <w:vAlign w:val="center"/>
          </w:tcPr>
          <w:p w14:paraId="5CE38E0D">
            <w:pPr>
              <w:pStyle w:val="142"/>
              <w:rPr>
                <w:rFonts w:eastAsia="宋体"/>
                <w:highlight w:val="none"/>
              </w:rPr>
            </w:pPr>
            <w:r>
              <w:rPr>
                <w:highlight w:val="none"/>
              </w:rPr>
              <w:t>≥80%</w:t>
            </w:r>
          </w:p>
        </w:tc>
        <w:tc>
          <w:tcPr>
            <w:tcW w:w="748" w:type="pct"/>
            <w:shd w:val="clear" w:color="auto" w:fill="auto"/>
            <w:vAlign w:val="center"/>
          </w:tcPr>
          <w:p w14:paraId="5486EB18">
            <w:pPr>
              <w:pStyle w:val="142"/>
              <w:rPr>
                <w:rFonts w:eastAsia="宋体"/>
                <w:highlight w:val="none"/>
              </w:rPr>
            </w:pPr>
            <w:r>
              <w:rPr>
                <w:highlight w:val="none"/>
              </w:rPr>
              <w:t>≥85%</w:t>
            </w:r>
          </w:p>
        </w:tc>
        <w:tc>
          <w:tcPr>
            <w:tcW w:w="750" w:type="pct"/>
            <w:shd w:val="clear" w:color="auto" w:fill="auto"/>
            <w:vAlign w:val="center"/>
          </w:tcPr>
          <w:p w14:paraId="4CD3699F">
            <w:pPr>
              <w:pStyle w:val="142"/>
            </w:pPr>
            <w:r>
              <w:t>约束性</w:t>
            </w:r>
          </w:p>
        </w:tc>
      </w:tr>
      <w:tr w14:paraId="0F3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3862616F">
            <w:pPr>
              <w:pStyle w:val="142"/>
              <w:rPr>
                <w:rFonts w:eastAsia="宋体"/>
              </w:rPr>
            </w:pPr>
            <w:r>
              <w:rPr>
                <w:rFonts w:eastAsia="宋体"/>
              </w:rPr>
              <w:t>3</w:t>
            </w:r>
          </w:p>
        </w:tc>
        <w:tc>
          <w:tcPr>
            <w:tcW w:w="1606" w:type="pct"/>
            <w:shd w:val="clear" w:color="auto" w:fill="auto"/>
            <w:vAlign w:val="center"/>
          </w:tcPr>
          <w:p w14:paraId="5AFA1FD9">
            <w:pPr>
              <w:pStyle w:val="142"/>
            </w:pPr>
            <w:r>
              <w:t>畜禽规模养殖场粪污处理设施装备配套率</w:t>
            </w:r>
          </w:p>
        </w:tc>
        <w:tc>
          <w:tcPr>
            <w:tcW w:w="748" w:type="pct"/>
            <w:shd w:val="clear" w:color="auto" w:fill="auto"/>
            <w:vAlign w:val="center"/>
          </w:tcPr>
          <w:p w14:paraId="47863A5D">
            <w:pPr>
              <w:pStyle w:val="142"/>
              <w:rPr>
                <w:rFonts w:eastAsia="宋体"/>
              </w:rPr>
            </w:pPr>
            <w:r>
              <w:t>98.45%</w:t>
            </w:r>
          </w:p>
        </w:tc>
        <w:tc>
          <w:tcPr>
            <w:tcW w:w="748" w:type="pct"/>
            <w:shd w:val="clear" w:color="auto" w:fill="auto"/>
            <w:vAlign w:val="center"/>
          </w:tcPr>
          <w:p w14:paraId="15C43EE2">
            <w:pPr>
              <w:pStyle w:val="142"/>
              <w:rPr>
                <w:rFonts w:eastAsia="宋体"/>
              </w:rPr>
            </w:pPr>
            <w:r>
              <w:t>100%</w:t>
            </w:r>
          </w:p>
        </w:tc>
        <w:tc>
          <w:tcPr>
            <w:tcW w:w="748" w:type="pct"/>
            <w:shd w:val="clear" w:color="auto" w:fill="auto"/>
            <w:vAlign w:val="center"/>
          </w:tcPr>
          <w:p w14:paraId="0C89CED4">
            <w:pPr>
              <w:pStyle w:val="142"/>
              <w:rPr>
                <w:rFonts w:eastAsia="宋体"/>
              </w:rPr>
            </w:pPr>
            <w:r>
              <w:t>100%</w:t>
            </w:r>
          </w:p>
        </w:tc>
        <w:tc>
          <w:tcPr>
            <w:tcW w:w="750" w:type="pct"/>
            <w:shd w:val="clear" w:color="auto" w:fill="auto"/>
            <w:vAlign w:val="center"/>
          </w:tcPr>
          <w:p w14:paraId="7DFA1050">
            <w:pPr>
              <w:pStyle w:val="142"/>
            </w:pPr>
            <w:r>
              <w:t>预期性</w:t>
            </w:r>
          </w:p>
        </w:tc>
      </w:tr>
      <w:tr w14:paraId="32B7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4654CE1D">
            <w:pPr>
              <w:pStyle w:val="142"/>
              <w:rPr>
                <w:rFonts w:eastAsia="宋体"/>
              </w:rPr>
            </w:pPr>
            <w:r>
              <w:rPr>
                <w:rFonts w:eastAsia="宋体"/>
              </w:rPr>
              <w:t>4</w:t>
            </w:r>
          </w:p>
        </w:tc>
        <w:tc>
          <w:tcPr>
            <w:tcW w:w="1606" w:type="pct"/>
            <w:shd w:val="clear" w:color="auto" w:fill="auto"/>
            <w:vAlign w:val="center"/>
          </w:tcPr>
          <w:p w14:paraId="703A7E34">
            <w:pPr>
              <w:pStyle w:val="142"/>
            </w:pPr>
            <w:r>
              <w:t>畜禽规模养殖场粪污资源化利用计划备案率</w:t>
            </w:r>
          </w:p>
        </w:tc>
        <w:tc>
          <w:tcPr>
            <w:tcW w:w="748" w:type="pct"/>
            <w:shd w:val="clear" w:color="auto" w:fill="auto"/>
            <w:vAlign w:val="center"/>
          </w:tcPr>
          <w:p w14:paraId="5AB675FE">
            <w:pPr>
              <w:pStyle w:val="142"/>
              <w:rPr>
                <w:rFonts w:eastAsia="宋体"/>
              </w:rPr>
            </w:pPr>
            <w:r>
              <w:t>——</w:t>
            </w:r>
          </w:p>
        </w:tc>
        <w:tc>
          <w:tcPr>
            <w:tcW w:w="748" w:type="pct"/>
            <w:shd w:val="clear" w:color="auto" w:fill="auto"/>
            <w:vAlign w:val="center"/>
          </w:tcPr>
          <w:p w14:paraId="6978CB69">
            <w:pPr>
              <w:pStyle w:val="142"/>
              <w:rPr>
                <w:rFonts w:eastAsia="宋体"/>
              </w:rPr>
            </w:pPr>
            <w:r>
              <w:t>≥9</w:t>
            </w:r>
            <w:r>
              <w:rPr>
                <w:rFonts w:hint="eastAsia"/>
              </w:rPr>
              <w:t>0</w:t>
            </w:r>
            <w:r>
              <w:t>%</w:t>
            </w:r>
          </w:p>
        </w:tc>
        <w:tc>
          <w:tcPr>
            <w:tcW w:w="748" w:type="pct"/>
            <w:shd w:val="clear" w:color="auto" w:fill="auto"/>
            <w:vAlign w:val="center"/>
          </w:tcPr>
          <w:p w14:paraId="0F580AB7">
            <w:pPr>
              <w:pStyle w:val="142"/>
              <w:rPr>
                <w:rFonts w:eastAsia="宋体"/>
              </w:rPr>
            </w:pPr>
            <w:r>
              <w:t>≥</w:t>
            </w:r>
            <w:r>
              <w:rPr>
                <w:rFonts w:hint="eastAsia"/>
              </w:rPr>
              <w:t>95</w:t>
            </w:r>
            <w:r>
              <w:t>%</w:t>
            </w:r>
          </w:p>
        </w:tc>
        <w:tc>
          <w:tcPr>
            <w:tcW w:w="750" w:type="pct"/>
            <w:shd w:val="clear" w:color="auto" w:fill="auto"/>
            <w:vAlign w:val="center"/>
          </w:tcPr>
          <w:p w14:paraId="0717BE09">
            <w:pPr>
              <w:pStyle w:val="142"/>
            </w:pPr>
            <w:r>
              <w:t>预期性</w:t>
            </w:r>
          </w:p>
        </w:tc>
      </w:tr>
      <w:tr w14:paraId="2DDF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7D530736">
            <w:pPr>
              <w:pStyle w:val="142"/>
              <w:rPr>
                <w:rFonts w:eastAsia="宋体"/>
              </w:rPr>
            </w:pPr>
            <w:r>
              <w:rPr>
                <w:rFonts w:eastAsia="宋体"/>
              </w:rPr>
              <w:t>5</w:t>
            </w:r>
          </w:p>
        </w:tc>
        <w:tc>
          <w:tcPr>
            <w:tcW w:w="1606" w:type="pct"/>
            <w:shd w:val="clear" w:color="auto" w:fill="auto"/>
            <w:vAlign w:val="center"/>
          </w:tcPr>
          <w:p w14:paraId="700A0AC3">
            <w:pPr>
              <w:pStyle w:val="142"/>
            </w:pPr>
            <w:r>
              <w:t>畜禽规模养殖场粪污资源化利用台账建立率</w:t>
            </w:r>
          </w:p>
        </w:tc>
        <w:tc>
          <w:tcPr>
            <w:tcW w:w="748" w:type="pct"/>
            <w:shd w:val="clear" w:color="auto" w:fill="auto"/>
            <w:vAlign w:val="center"/>
          </w:tcPr>
          <w:p w14:paraId="2F0F8D22">
            <w:pPr>
              <w:pStyle w:val="142"/>
              <w:rPr>
                <w:rFonts w:eastAsia="宋体"/>
              </w:rPr>
            </w:pPr>
            <w:r>
              <w:t>——</w:t>
            </w:r>
          </w:p>
        </w:tc>
        <w:tc>
          <w:tcPr>
            <w:tcW w:w="748" w:type="pct"/>
            <w:shd w:val="clear" w:color="auto" w:fill="auto"/>
            <w:vAlign w:val="center"/>
          </w:tcPr>
          <w:p w14:paraId="69DBD40B">
            <w:pPr>
              <w:pStyle w:val="142"/>
              <w:rPr>
                <w:rFonts w:eastAsia="宋体"/>
              </w:rPr>
            </w:pPr>
            <w:r>
              <w:t>≥</w:t>
            </w:r>
            <w:r>
              <w:rPr>
                <w:rFonts w:hint="eastAsia"/>
              </w:rPr>
              <w:t>90</w:t>
            </w:r>
            <w:r>
              <w:t>%</w:t>
            </w:r>
          </w:p>
        </w:tc>
        <w:tc>
          <w:tcPr>
            <w:tcW w:w="748" w:type="pct"/>
            <w:shd w:val="clear" w:color="auto" w:fill="auto"/>
            <w:vAlign w:val="center"/>
          </w:tcPr>
          <w:p w14:paraId="7CA7AF03">
            <w:pPr>
              <w:pStyle w:val="142"/>
              <w:rPr>
                <w:rFonts w:eastAsia="宋体"/>
              </w:rPr>
            </w:pPr>
            <w:r>
              <w:t>≥</w:t>
            </w:r>
            <w:r>
              <w:rPr>
                <w:rFonts w:hint="eastAsia"/>
              </w:rPr>
              <w:t>95</w:t>
            </w:r>
            <w:r>
              <w:t>%</w:t>
            </w:r>
          </w:p>
        </w:tc>
        <w:tc>
          <w:tcPr>
            <w:tcW w:w="750" w:type="pct"/>
            <w:shd w:val="clear" w:color="auto" w:fill="auto"/>
            <w:vAlign w:val="center"/>
          </w:tcPr>
          <w:p w14:paraId="1F463557">
            <w:pPr>
              <w:pStyle w:val="142"/>
            </w:pPr>
            <w:r>
              <w:t>预期性</w:t>
            </w:r>
          </w:p>
        </w:tc>
      </w:tr>
      <w:tr w14:paraId="04B1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shd w:val="clear" w:color="auto" w:fill="auto"/>
            <w:vAlign w:val="center"/>
          </w:tcPr>
          <w:p w14:paraId="116CF470">
            <w:pPr>
              <w:pStyle w:val="142"/>
              <w:rPr>
                <w:rFonts w:eastAsia="宋体"/>
              </w:rPr>
            </w:pPr>
            <w:r>
              <w:rPr>
                <w:rFonts w:eastAsia="宋体"/>
              </w:rPr>
              <w:t>6</w:t>
            </w:r>
          </w:p>
        </w:tc>
        <w:tc>
          <w:tcPr>
            <w:tcW w:w="1606" w:type="pct"/>
            <w:shd w:val="clear" w:color="auto" w:fill="auto"/>
            <w:vAlign w:val="center"/>
          </w:tcPr>
          <w:p w14:paraId="06F3E93B">
            <w:pPr>
              <w:pStyle w:val="142"/>
            </w:pPr>
            <w:r>
              <w:t>取得排污许可证的畜禽规模养殖场自行监测覆盖率</w:t>
            </w:r>
          </w:p>
        </w:tc>
        <w:tc>
          <w:tcPr>
            <w:tcW w:w="748" w:type="pct"/>
            <w:shd w:val="clear" w:color="auto" w:fill="auto"/>
            <w:vAlign w:val="center"/>
          </w:tcPr>
          <w:p w14:paraId="0EDCFF96">
            <w:pPr>
              <w:pStyle w:val="142"/>
            </w:pPr>
            <w:r>
              <w:t>——</w:t>
            </w:r>
          </w:p>
        </w:tc>
        <w:tc>
          <w:tcPr>
            <w:tcW w:w="748" w:type="pct"/>
            <w:shd w:val="clear" w:color="auto" w:fill="auto"/>
            <w:vAlign w:val="center"/>
          </w:tcPr>
          <w:p w14:paraId="08A78518">
            <w:pPr>
              <w:pStyle w:val="142"/>
              <w:rPr>
                <w:rFonts w:eastAsia="宋体"/>
              </w:rPr>
            </w:pPr>
            <w:r>
              <w:t>100%</w:t>
            </w:r>
          </w:p>
        </w:tc>
        <w:tc>
          <w:tcPr>
            <w:tcW w:w="748" w:type="pct"/>
            <w:shd w:val="clear" w:color="auto" w:fill="auto"/>
            <w:vAlign w:val="center"/>
          </w:tcPr>
          <w:p w14:paraId="658A8D37">
            <w:pPr>
              <w:pStyle w:val="142"/>
              <w:rPr>
                <w:rFonts w:eastAsia="宋体"/>
              </w:rPr>
            </w:pPr>
            <w:r>
              <w:t>100%</w:t>
            </w:r>
          </w:p>
        </w:tc>
        <w:tc>
          <w:tcPr>
            <w:tcW w:w="750" w:type="pct"/>
            <w:shd w:val="clear" w:color="auto" w:fill="auto"/>
            <w:vAlign w:val="center"/>
          </w:tcPr>
          <w:p w14:paraId="6F46BCA5">
            <w:pPr>
              <w:pStyle w:val="142"/>
            </w:pPr>
            <w:r>
              <w:t>约束性</w:t>
            </w:r>
          </w:p>
        </w:tc>
      </w:tr>
    </w:tbl>
    <w:p w14:paraId="7034DA35">
      <w:pPr>
        <w:spacing w:line="360" w:lineRule="exact"/>
        <w:ind w:firstLine="432"/>
        <w:rPr>
          <w:bCs/>
          <w:sz w:val="28"/>
          <w:szCs w:val="21"/>
        </w:rPr>
      </w:pPr>
      <w:bookmarkStart w:id="29" w:name="_Toc182410057"/>
      <w:bookmarkEnd w:id="29"/>
      <w:r>
        <w:rPr>
          <w:rFonts w:hint="eastAsia"/>
          <w:sz w:val="22"/>
          <w:szCs w:val="18"/>
        </w:rPr>
        <w:t>注：规划实施后，国家或省发布新的畜禽养殖污染防治指标或指标属性，从其新规定。</w:t>
      </w:r>
    </w:p>
    <w:p w14:paraId="774CA875">
      <w:pPr>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备注：</w:t>
      </w:r>
      <w:r>
        <w:rPr>
          <w:rFonts w:hint="eastAsia" w:ascii="方正仿宋_GB2312" w:hAnsi="方正仿宋_GB2312" w:eastAsia="方正仿宋_GB2312" w:cs="方正仿宋_GB2312"/>
          <w:color w:val="000000" w:themeColor="text1"/>
          <w14:textFill>
            <w14:solidFill>
              <w14:schemeClr w14:val="tx1"/>
            </w14:solidFill>
          </w14:textFill>
        </w:rPr>
        <w:t>摘录自《</w:t>
      </w:r>
      <w:r>
        <w:rPr>
          <w:rFonts w:hint="eastAsia" w:ascii="方正仿宋_GB2312" w:hAnsi="方正仿宋_GB2312" w:eastAsia="方正仿宋_GB2312" w:cs="方正仿宋_GB2312"/>
          <w:color w:val="000000" w:themeColor="text1"/>
          <w:lang w:eastAsia="zh-CN"/>
          <w14:textFill>
            <w14:solidFill>
              <w14:schemeClr w14:val="tx1"/>
            </w14:solidFill>
          </w14:textFill>
        </w:rPr>
        <w:t>江门市畜禽养殖污染防治规划（2024—2030年）</w:t>
      </w:r>
      <w:r>
        <w:rPr>
          <w:rFonts w:hint="eastAsia" w:ascii="方正仿宋_GB2312" w:hAnsi="方正仿宋_GB2312" w:eastAsia="方正仿宋_GB2312" w:cs="方正仿宋_GB2312"/>
          <w:color w:val="000000" w:themeColor="text1"/>
          <w14:textFill>
            <w14:solidFill>
              <w14:schemeClr w14:val="tx1"/>
            </w14:solidFill>
          </w14:textFill>
        </w:rPr>
        <w:t>》</w:t>
      </w:r>
    </w:p>
    <w:p w14:paraId="0659ED78">
      <w:pPr>
        <w:ind w:firstLine="0" w:firstLineChars="0"/>
        <w:jc w:val="both"/>
        <w:rPr>
          <w:rFonts w:hint="eastAsia" w:ascii="方正仿宋_GB2312" w:hAnsi="方正仿宋_GB2312" w:eastAsia="方正仿宋_GB2312" w:cs="方正仿宋_GB2312"/>
          <w:color w:val="000000" w:themeColor="text1"/>
          <w14:textFill>
            <w14:solidFill>
              <w14:schemeClr w14:val="tx1"/>
            </w14:solidFill>
          </w14:textFill>
        </w:rPr>
      </w:pPr>
    </w:p>
    <w:p w14:paraId="55A84DB9">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30" w:name="_Toc29724"/>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三、</w:t>
      </w:r>
      <w:r>
        <w:rPr>
          <w:rFonts w:hint="eastAsia" w:ascii="方正仿宋_GB2312" w:hAnsi="方正仿宋_GB2312" w:eastAsia="方正仿宋_GB2312" w:cs="方正仿宋_GB2312"/>
          <w:b/>
          <w:bCs w:val="0"/>
          <w:color w:val="000000" w:themeColor="text1"/>
          <w14:textFill>
            <w14:solidFill>
              <w14:schemeClr w14:val="tx1"/>
            </w14:solidFill>
          </w14:textFill>
        </w:rPr>
        <w:t>现状与形势</w:t>
      </w:r>
      <w:bookmarkEnd w:id="30"/>
    </w:p>
    <w:p w14:paraId="77614E93">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1" w:name="_Toc27236"/>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工作成效</w:t>
      </w:r>
      <w:bookmarkEnd w:id="31"/>
    </w:p>
    <w:p w14:paraId="5DB66F6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“十</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四</w:t>
      </w:r>
      <w:r>
        <w:rPr>
          <w:rFonts w:hint="eastAsia" w:ascii="方正仿宋_GB2312" w:hAnsi="方正仿宋_GB2312" w:eastAsia="方正仿宋_GB2312" w:cs="方正仿宋_GB2312"/>
          <w:color w:val="000000" w:themeColor="text1"/>
          <w14:textFill>
            <w14:solidFill>
              <w14:schemeClr w14:val="tx1"/>
            </w14:solidFill>
          </w14:textFill>
        </w:rPr>
        <w:t>五”以来，</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县有关部门坚持以习近平生态文明思想为指导，贯彻落实国家、省、市有关农业农村污染治理攻坚战、畜牧业绿色高质量发展的要求，优化畜禽养殖空间布局，推进畜禽规模化养殖粪污处理设施装备建设，促进畜禽粪污资源化利用。</w:t>
      </w:r>
    </w:p>
    <w:p w14:paraId="1E1196F7">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畜禽养殖产业区域布局进一步优化</w:t>
      </w:r>
    </w:p>
    <w:p w14:paraId="5F6DA48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印发实施《恩平市畜牧业发展规划和种养循环发展规划（2020</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2025年）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》《恩平市生猪产业发展专项规划（2022—2026年）》</w:t>
      </w:r>
      <w:r>
        <w:rPr>
          <w:rFonts w:hint="eastAsia" w:ascii="方正仿宋_GB2312" w:hAnsi="方正仿宋_GB2312" w:eastAsia="方正仿宋_GB2312" w:cs="方正仿宋_GB2312"/>
          <w:color w:val="000000" w:themeColor="text1"/>
          <w14:textFill>
            <w14:solidFill>
              <w14:schemeClr w14:val="tx1"/>
            </w14:solidFill>
          </w14:textFill>
        </w:rPr>
        <w:t>，从确保粮食安全和食物安全的大局出发，优化农业生产布局，</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形成以横陂镇、大槐镇、沙湖镇为重点的</w:t>
      </w:r>
      <w:r>
        <w:rPr>
          <w:rFonts w:hint="eastAsia" w:ascii="方正仿宋_GB2312" w:hAnsi="方正仿宋_GB2312" w:eastAsia="方正仿宋_GB2312" w:cs="方正仿宋_GB2312"/>
          <w:color w:val="000000" w:themeColor="text1"/>
          <w14:textFill>
            <w14:solidFill>
              <w14:schemeClr w14:val="tx1"/>
            </w14:solidFill>
          </w14:textFill>
        </w:rPr>
        <w:t>生猪高质高效标准养殖样板区</w:t>
      </w:r>
      <w:r>
        <w:rPr>
          <w:rFonts w:hint="eastAsia" w:ascii="方正仿宋_GB2312" w:hAnsi="方正仿宋_GB2312" w:eastAsia="方正仿宋_GB2312" w:cs="方正仿宋_GB2312"/>
          <w:color w:val="000000" w:themeColor="text1"/>
          <w:lang w:eastAsia="zh-CN"/>
          <w14:textFill>
            <w14:solidFill>
              <w14:schemeClr w14:val="tx1"/>
            </w14:solidFill>
          </w14:textFill>
        </w:rPr>
        <w:t>，形成以恩城街道、圣堂镇、君堂镇、东成镇为重点的生猪适度规模经营养殖推广示范区，以及以牛江镇、良西镇、大田镇、那吉镇为</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重点</w:t>
      </w:r>
      <w:r>
        <w:rPr>
          <w:rFonts w:hint="eastAsia" w:ascii="方正仿宋_GB2312" w:hAnsi="方正仿宋_GB2312" w:eastAsia="方正仿宋_GB2312" w:cs="方正仿宋_GB2312"/>
          <w:color w:val="000000" w:themeColor="text1"/>
          <w:lang w:eastAsia="zh-CN"/>
          <w14:textFill>
            <w14:solidFill>
              <w14:schemeClr w14:val="tx1"/>
            </w14:solidFill>
          </w14:textFill>
        </w:rPr>
        <w:t>的生猪绿色生态循环养殖发展区</w:t>
      </w:r>
      <w:r>
        <w:rPr>
          <w:rFonts w:hint="eastAsia" w:ascii="方正仿宋_GB2312" w:hAnsi="方正仿宋_GB2312" w:eastAsia="方正仿宋_GB2312" w:cs="方正仿宋_GB2312"/>
          <w:color w:val="000000" w:themeColor="text1"/>
          <w14:textFill>
            <w14:solidFill>
              <w14:schemeClr w14:val="tx1"/>
            </w14:solidFill>
          </w14:textFill>
        </w:rPr>
        <w:t>。根据国家和省工作部署要求</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结合自身的环境容量，优化调整禁养区范围，共划定禁养区面积602.</w:t>
      </w:r>
      <w:r>
        <w:rPr>
          <w:rFonts w:hint="eastAsia" w:ascii="方正仿宋_GB2312" w:hAnsi="方正仿宋_GB2312" w:eastAsia="方正仿宋_GB2312" w:cs="方正仿宋_GB2312"/>
          <w:color w:val="000000" w:themeColor="text1"/>
          <w:lang w:eastAsia="zh-CN"/>
          <w14:textFill>
            <w14:solidFill>
              <w14:schemeClr w14:val="tx1"/>
            </w14:solidFill>
          </w14:textFill>
        </w:rPr>
        <w:t>86 km²</w:t>
      </w:r>
      <w:r>
        <w:rPr>
          <w:rFonts w:hint="eastAsia" w:ascii="方正仿宋_GB2312" w:hAnsi="方正仿宋_GB2312" w:eastAsia="方正仿宋_GB2312" w:cs="方正仿宋_GB2312"/>
          <w:color w:val="000000" w:themeColor="text1"/>
          <w14:textFill>
            <w14:solidFill>
              <w14:schemeClr w14:val="tx1"/>
            </w14:solidFill>
          </w14:textFill>
        </w:rPr>
        <w:t>，占全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总面积的35.58%。</w:t>
      </w:r>
    </w:p>
    <w:p w14:paraId="2B757248">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畜禽废弃物资源化利用率不断提高</w:t>
      </w:r>
    </w:p>
    <w:p w14:paraId="35243F63">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出台《关于印发恩平市2023年生猪养殖场污染排查防治工作方案的通知》</w:t>
      </w:r>
      <w:r>
        <w:rPr>
          <w:rFonts w:hint="eastAsia" w:ascii="方正仿宋_GB2312" w:hAnsi="方正仿宋_GB2312" w:eastAsia="方正仿宋_GB2312" w:cs="方正仿宋_GB2312"/>
          <w:color w:val="000000" w:themeColor="text1"/>
          <w:lang w:eastAsia="zh-CN"/>
          <w14:textFill>
            <w14:solidFill>
              <w14:schemeClr w14:val="tx1"/>
            </w14:solidFill>
          </w14:textFill>
        </w:rPr>
        <w:t>（恩府办〔2023〕52号）</w:t>
      </w:r>
      <w:r>
        <w:rPr>
          <w:rFonts w:hint="eastAsia" w:ascii="方正仿宋_GB2312" w:hAnsi="方正仿宋_GB2312" w:eastAsia="方正仿宋_GB2312" w:cs="方正仿宋_GB2312"/>
          <w:color w:val="000000" w:themeColor="text1"/>
          <w14:textFill>
            <w14:solidFill>
              <w14:schemeClr w14:val="tx1"/>
            </w14:solidFill>
          </w14:textFill>
        </w:rPr>
        <w:t>，全面落实规模化畜禽养殖场</w:t>
      </w:r>
      <w:r>
        <w:rPr>
          <w:rFonts w:hint="eastAsia" w:ascii="方正仿宋_GB2312" w:hAnsi="方正仿宋_GB2312" w:eastAsia="方正仿宋_GB2312" w:cs="方正仿宋_GB2312"/>
          <w:color w:val="000000" w:themeColor="text1"/>
          <w:lang w:eastAsia="zh-CN"/>
          <w14:textFill>
            <w14:solidFill>
              <w14:schemeClr w14:val="tx1"/>
            </w14:solidFill>
          </w14:textFill>
        </w:rPr>
        <w:t>的</w:t>
      </w:r>
      <w:r>
        <w:rPr>
          <w:rFonts w:hint="eastAsia" w:ascii="方正仿宋_GB2312" w:hAnsi="方正仿宋_GB2312" w:eastAsia="方正仿宋_GB2312" w:cs="方正仿宋_GB2312"/>
          <w:color w:val="000000" w:themeColor="text1"/>
          <w14:textFill>
            <w14:solidFill>
              <w14:schemeClr w14:val="tx1"/>
            </w14:solidFill>
          </w14:textFill>
        </w:rPr>
        <w:t>污染治理主体责任，监督指导畜禽规模养殖场切实履行污染治理主体责任，按照“谁污染</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谁治理”的原则，根据《畜禽规模养殖污染防治条例》规定，建设相应的治污设施。</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全市清退非法生猪养殖场960家，剩余的133家白名单生猪养殖场</w:t>
      </w:r>
      <w:r>
        <w:rPr>
          <w:rFonts w:hint="eastAsia" w:ascii="方正仿宋_GB2312" w:hAnsi="方正仿宋_GB2312" w:eastAsia="方正仿宋_GB2312" w:cs="方正仿宋_GB2312"/>
          <w:color w:val="000000" w:themeColor="text1"/>
          <w14:textFill>
            <w14:solidFill>
              <w14:schemeClr w14:val="tx1"/>
            </w14:solidFill>
          </w14:textFill>
        </w:rPr>
        <w:t>全部配套建设干清粪、雨污分流、固液分离、沼气工程、粪便和污水储存场所等污染治理设施。切实增强养殖业主的环境责任意识、绿色发展意识，提高养殖业主开展畜禽养殖污染治理的能力和水平，建立日常粪污处理工作制度，保证设施正常运行，确保养殖粪污有效处理利用和达标排放。以就地消纳、能量循环、综合利用为主线，全面推进养殖废弃物资源化利用，构建种养循环发展机制。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年全市畜禽粪污综合利用率达</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81.03</w:t>
      </w:r>
      <w:r>
        <w:rPr>
          <w:rFonts w:hint="eastAsia" w:ascii="方正仿宋_GB2312" w:hAnsi="方正仿宋_GB2312" w:eastAsia="方正仿宋_GB2312" w:cs="方正仿宋_GB2312"/>
          <w:color w:val="000000" w:themeColor="text1"/>
          <w14:textFill>
            <w14:solidFill>
              <w14:schemeClr w14:val="tx1"/>
            </w14:solidFill>
          </w14:textFill>
        </w:rPr>
        <w:t>%，高于同期广东省畜禽粪污综合利用水平。</w:t>
      </w:r>
    </w:p>
    <w:p w14:paraId="56B1324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畜禽养殖污染防控机制更加完善</w:t>
      </w:r>
    </w:p>
    <w:p w14:paraId="5FA37A51">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全面落实畜禽养殖行业排污许可证制度，累计完成</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21</w:t>
      </w:r>
      <w:r>
        <w:rPr>
          <w:rFonts w:hint="eastAsia" w:ascii="方正仿宋_GB2312" w:hAnsi="方正仿宋_GB2312" w:eastAsia="方正仿宋_GB2312" w:cs="方正仿宋_GB2312"/>
          <w:color w:val="000000" w:themeColor="text1"/>
          <w14:textFill>
            <w14:solidFill>
              <w14:schemeClr w14:val="tx1"/>
            </w14:solidFill>
          </w14:textFill>
        </w:rPr>
        <w:t>家畜禽养殖场排污许可（登记）证的核发与备案工作。</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组织生态环境</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农业农村、水利等部门全面开展生猪养殖场污染排查防治工作，引导一批具备整改条件的生猪养殖场限期完善粪污防治设施设备，建立逐场验收制度。加强畜禽养殖业事中事后监管，</w:t>
      </w:r>
      <w:r>
        <w:rPr>
          <w:rFonts w:hint="eastAsia" w:ascii="方正仿宋_GB2312" w:hAnsi="方正仿宋_GB2312" w:eastAsia="方正仿宋_GB2312" w:cs="方正仿宋_GB2312"/>
          <w:color w:val="000000" w:themeColor="text1"/>
          <w:highlight w:val="none"/>
          <w14:textFill>
            <w14:solidFill>
              <w14:schemeClr w14:val="tx1"/>
            </w14:solidFill>
          </w14:textFill>
        </w:rPr>
        <w:t>202</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highlight w:val="none"/>
          <w14:textFill>
            <w14:solidFill>
              <w14:schemeClr w14:val="tx1"/>
            </w14:solidFill>
          </w14:textFill>
        </w:rPr>
        <w:t>年将</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1344</w:t>
      </w:r>
      <w:r>
        <w:rPr>
          <w:rFonts w:hint="eastAsia" w:ascii="方正仿宋_GB2312" w:hAnsi="方正仿宋_GB2312" w:eastAsia="方正仿宋_GB2312" w:cs="方正仿宋_GB2312"/>
          <w:color w:val="000000" w:themeColor="text1"/>
          <w:highlight w:val="none"/>
          <w14:textFill>
            <w14:solidFill>
              <w14:schemeClr w14:val="tx1"/>
            </w14:solidFill>
          </w14:textFill>
        </w:rPr>
        <w:t>家养殖场纳入“双随机、一公开”监管系统</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，并</w:t>
      </w:r>
      <w:r>
        <w:rPr>
          <w:rFonts w:hint="eastAsia" w:ascii="方正仿宋_GB2312" w:hAnsi="方正仿宋_GB2312" w:eastAsia="方正仿宋_GB2312" w:cs="方正仿宋_GB2312"/>
          <w:color w:val="000000" w:themeColor="text1"/>
          <w:highlight w:val="none"/>
          <w14:textFill>
            <w14:solidFill>
              <w14:schemeClr w14:val="tx1"/>
            </w14:solidFill>
          </w14:textFill>
        </w:rPr>
        <w:t>完成</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对</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16</w:t>
      </w:r>
      <w:r>
        <w:rPr>
          <w:rFonts w:hint="eastAsia" w:ascii="方正仿宋_GB2312" w:hAnsi="方正仿宋_GB2312" w:eastAsia="方正仿宋_GB2312" w:cs="方正仿宋_GB2312"/>
          <w:color w:val="000000" w:themeColor="text1"/>
          <w:highlight w:val="none"/>
          <w14:textFill>
            <w14:solidFill>
              <w14:schemeClr w14:val="tx1"/>
            </w14:solidFill>
          </w14:textFill>
        </w:rPr>
        <w:t>家</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养殖场的抽查。</w:t>
      </w:r>
      <w:r>
        <w:rPr>
          <w:rFonts w:hint="eastAsia" w:ascii="方正仿宋_GB2312" w:hAnsi="方正仿宋_GB2312" w:eastAsia="方正仿宋_GB2312" w:cs="方正仿宋_GB2312"/>
          <w:color w:val="000000" w:themeColor="text1"/>
          <w:highlight w:val="none"/>
          <w14:textFill>
            <w14:solidFill>
              <w14:schemeClr w14:val="tx1"/>
            </w14:solidFill>
          </w14:textFill>
        </w:rPr>
        <w:t>通过环保督察、信访举报、行政处罚等手段，</w:t>
      </w:r>
      <w:r>
        <w:rPr>
          <w:rFonts w:hint="eastAsia" w:ascii="方正仿宋_GB2312" w:hAnsi="方正仿宋_GB2312" w:eastAsia="方正仿宋_GB2312" w:cs="方正仿宋_GB2312"/>
          <w:color w:val="000000" w:themeColor="text1"/>
          <w14:textFill>
            <w14:solidFill>
              <w14:schemeClr w14:val="tx1"/>
            </w14:solidFill>
          </w14:textFill>
        </w:rPr>
        <w:t>督促养殖场（户）落实粪污资源化利用和污染防治主体责任，畜禽养殖污染防控机制更加完善</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督促10家养殖场安装废水在线监控并联网</w:t>
      </w:r>
      <w:r>
        <w:rPr>
          <w:rFonts w:hint="eastAsia" w:ascii="方正仿宋_GB2312" w:hAnsi="方正仿宋_GB2312" w:eastAsia="方正仿宋_GB2312" w:cs="方正仿宋_GB2312"/>
          <w:color w:val="000000" w:themeColor="text1"/>
          <w14:textFill>
            <w14:solidFill>
              <w14:schemeClr w14:val="tx1"/>
            </w14:solidFill>
          </w14:textFill>
        </w:rPr>
        <w:t>。</w:t>
      </w:r>
    </w:p>
    <w:p w14:paraId="3603CB65">
      <w:pPr>
        <w:pStyle w:val="3"/>
        <w:numPr>
          <w:ilvl w:val="1"/>
          <w:numId w:val="0"/>
        </w:numPr>
        <w:spacing w:before="156" w:after="156"/>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2" w:name="_Toc2278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存在问题</w:t>
      </w:r>
      <w:bookmarkEnd w:id="32"/>
    </w:p>
    <w:p w14:paraId="211C7D72">
      <w:pPr>
        <w:ind w:firstLine="640"/>
        <w:rPr>
          <w:rFonts w:hint="eastAsia" w:ascii="方正仿宋_GB2312" w:hAnsi="方正仿宋_GB2312" w:eastAsia="方正仿宋_GB2312" w:cs="方正仿宋_GB2312"/>
          <w:color w:val="000000" w:themeColor="text1"/>
          <w:lang w:val="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目前</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lang w:val="zh-CN"/>
          <w14:textFill>
            <w14:solidFill>
              <w14:schemeClr w14:val="tx1"/>
            </w14:solidFill>
          </w14:textFill>
        </w:rPr>
        <w:t xml:space="preserve">畜禽养殖业主要存在以下问题： </w:t>
      </w:r>
    </w:p>
    <w:p w14:paraId="7E600E97">
      <w:pPr>
        <w:ind w:firstLine="640"/>
        <w:rPr>
          <w:rFonts w:hint="default"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ab/>
      </w:r>
      <w:r>
        <w:rPr>
          <w:rFonts w:hint="eastAsia" w:ascii="方正仿宋_GB2312" w:hAnsi="方正仿宋_GB2312" w:eastAsia="方正仿宋_GB2312" w:cs="方正仿宋_GB2312"/>
          <w:color w:val="000000" w:themeColor="text1"/>
          <w:lang w:val="zh-CN"/>
          <w14:textFill>
            <w14:solidFill>
              <w14:schemeClr w14:val="tx1"/>
            </w14:solidFill>
          </w14:textFill>
        </w:rPr>
        <w:t>（1）全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lang w:val="zh-CN"/>
          <w14:textFill>
            <w14:solidFill>
              <w14:schemeClr w14:val="tx1"/>
            </w14:solidFill>
          </w14:textFill>
        </w:rPr>
        <w:t>畜禽养殖空间布局仍需优化。恩平市畜禽养殖以肉鸡和生猪为主，规模养殖场主要集中在沙湖镇、东成镇和大槐镇，三镇合计规模养殖存栏总量（以猪当量计）占全市总存栏量的51.41%以上；规模以下养殖户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lang w:val="zh-CN"/>
          <w14:textFill>
            <w14:solidFill>
              <w14:schemeClr w14:val="tx1"/>
            </w14:solidFill>
          </w14:textFill>
        </w:rPr>
        <w:t>镇，规模以下养殖存栏总量（以猪当量计）占全市总存栏量的57.49%以上。综合来看，恩平市畜禽养殖主要集中在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沙湖</w:t>
      </w:r>
      <w:r>
        <w:rPr>
          <w:rFonts w:hint="eastAsia" w:ascii="方正仿宋_GB2312" w:hAnsi="方正仿宋_GB2312" w:eastAsia="方正仿宋_GB2312" w:cs="方正仿宋_GB2312"/>
          <w:color w:val="000000" w:themeColor="text1"/>
          <w:lang w:val="zh-CN"/>
          <w14:textFill>
            <w14:solidFill>
              <w14:schemeClr w14:val="tx1"/>
            </w14:solidFill>
          </w14:textFill>
        </w:rPr>
        <w:t>镇，主要分布在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莲塘水</w:t>
      </w:r>
      <w:r>
        <w:rPr>
          <w:rFonts w:hint="eastAsia" w:ascii="方正仿宋_GB2312" w:hAnsi="方正仿宋_GB2312" w:eastAsia="方正仿宋_GB2312" w:cs="方正仿宋_GB2312"/>
          <w:color w:val="000000" w:themeColor="text1"/>
          <w:lang w:val="zh-CN"/>
          <w14:textFill>
            <w14:solidFill>
              <w14:schemeClr w14:val="tx1"/>
            </w14:solidFill>
          </w14:textFill>
        </w:rPr>
        <w:t>流域范围内，是导致</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莲塘水</w:t>
      </w:r>
      <w:r>
        <w:rPr>
          <w:rFonts w:hint="eastAsia" w:ascii="方正仿宋_GB2312" w:hAnsi="方正仿宋_GB2312" w:eastAsia="方正仿宋_GB2312" w:cs="方正仿宋_GB2312"/>
          <w:color w:val="000000" w:themeColor="text1"/>
          <w:lang w:val="zh-CN"/>
          <w14:textFill>
            <w14:solidFill>
              <w14:schemeClr w14:val="tx1"/>
            </w14:solidFill>
          </w14:textFill>
        </w:rPr>
        <w:t>水质月度不稳定达标的主要因素之一。从全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lang w:val="zh-CN"/>
          <w14:textFill>
            <w14:solidFill>
              <w14:schemeClr w14:val="tx1"/>
            </w14:solidFill>
          </w14:textFill>
        </w:rPr>
        <w:t>分布情况看，恩平市畜禽养殖面临环境承载压力和土地承载压力双重挑战，亟须对畜禽养殖空间布局进行优化。全年肉猪出栏量为61.15万头，</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要达成《恩平市生猪产业发展专项规划（2022—2026年）》提出的“至2026年，实现全市生猪年出栏量47万头”的目标，还需进一步压减生猪养殖量。</w:t>
      </w:r>
    </w:p>
    <w:p w14:paraId="22023374">
      <w:pPr>
        <w:ind w:firstLine="640"/>
        <w:rPr>
          <w:rFonts w:hint="eastAsia" w:ascii="方正仿宋_GB2312" w:hAnsi="方正仿宋_GB2312" w:eastAsia="方正仿宋_GB2312" w:cs="方正仿宋_GB2312"/>
          <w:color w:val="000000" w:themeColor="text1"/>
          <w:lang w:val="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（2）畜禽粪污综合利用水平仍需提升。一是排泄物处理设施不完善，有的养殖户虽有污水处理设施，但其容积小、处理能力弱，与污水产生量不配套；二是</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个别非法养殖场</w:t>
      </w:r>
      <w:r>
        <w:rPr>
          <w:rFonts w:hint="eastAsia" w:ascii="方正仿宋_GB2312" w:hAnsi="方正仿宋_GB2312" w:eastAsia="方正仿宋_GB2312" w:cs="方正仿宋_GB2312"/>
          <w:color w:val="000000" w:themeColor="text1"/>
          <w:lang w:val="zh-CN"/>
          <w14:textFill>
            <w14:solidFill>
              <w14:schemeClr w14:val="tx1"/>
            </w14:solidFill>
          </w14:textFill>
        </w:rPr>
        <w:t>污染防治措施落后，处理方式过于简单，排洪沟和排污沟合用，雨污未分流造成雨水和废水共排；三是由于运行或维护成本</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较高</w:t>
      </w:r>
      <w:r>
        <w:rPr>
          <w:rFonts w:hint="eastAsia" w:ascii="方正仿宋_GB2312" w:hAnsi="方正仿宋_GB2312" w:eastAsia="方正仿宋_GB2312" w:cs="方正仿宋_GB2312"/>
          <w:color w:val="000000" w:themeColor="text1"/>
          <w:lang w:val="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部分</w:t>
      </w:r>
      <w:r>
        <w:rPr>
          <w:rFonts w:hint="eastAsia" w:ascii="方正仿宋_GB2312" w:hAnsi="方正仿宋_GB2312" w:eastAsia="方正仿宋_GB2312" w:cs="方正仿宋_GB2312"/>
          <w:color w:val="000000" w:themeColor="text1"/>
          <w:lang w:val="zh-CN"/>
          <w14:textFill>
            <w14:solidFill>
              <w14:schemeClr w14:val="tx1"/>
            </w14:solidFill>
          </w14:textFill>
        </w:rPr>
        <w:t>养殖户对于粪污处理设施的</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运营</w:t>
      </w:r>
      <w:r>
        <w:rPr>
          <w:rFonts w:hint="eastAsia" w:ascii="方正仿宋_GB2312" w:hAnsi="方正仿宋_GB2312" w:eastAsia="方正仿宋_GB2312" w:cs="方正仿宋_GB2312"/>
          <w:color w:val="000000" w:themeColor="text1"/>
          <w:lang w:val="zh-CN"/>
          <w14:textFill>
            <w14:solidFill>
              <w14:schemeClr w14:val="tx1"/>
            </w14:solidFill>
          </w14:textFill>
        </w:rPr>
        <w:t>积极性不高，存在设施</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闲置的情况；</w:t>
      </w:r>
      <w:r>
        <w:rPr>
          <w:rFonts w:hint="eastAsia" w:ascii="方正仿宋_GB2312" w:hAnsi="方正仿宋_GB2312" w:eastAsia="方正仿宋_GB2312" w:cs="方正仿宋_GB2312"/>
          <w:color w:val="000000" w:themeColor="text1"/>
          <w:lang w:val="zh-CN"/>
          <w14:textFill>
            <w14:solidFill>
              <w14:schemeClr w14:val="tx1"/>
            </w14:solidFill>
          </w14:textFill>
        </w:rPr>
        <w:t xml:space="preserve">部分养殖户对畜禽养殖污染物未严格进行无害化处理，直接进行了还田还林利用或鱼塘养殖。未经有效处理的粪污在堆放过程中，容易因粪便发酵产生有害气体，释放到大气中对环境造成污染。同时也易造成污水横流，进入土壤或者沟渠，对周边的土壤或水体造成污染，甚至还会酸化土壤，诱发各种根际病害和病毒病害。 </w:t>
      </w:r>
    </w:p>
    <w:p w14:paraId="71D7CFC7">
      <w:pPr>
        <w:ind w:firstLine="640"/>
        <w:rPr>
          <w:rFonts w:hint="eastAsia" w:ascii="方正仿宋_GB2312" w:hAnsi="方正仿宋_GB2312" w:eastAsia="方正仿宋_GB2312" w:cs="方正仿宋_GB2312"/>
          <w:color w:val="000000" w:themeColor="text1"/>
          <w:lang w:val="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（3）粪污转运系统及资源化利用体系仍需建立和健全。畜禽养殖主体基本都在农村，规模以下养殖户数量较多，乡镇的田间配套设施和粪污拉运输送设施还很不完善，</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并且我市还未建成粪污集中处理中心（有机肥厂），</w:t>
      </w:r>
      <w:r>
        <w:rPr>
          <w:rFonts w:hint="eastAsia" w:ascii="方正仿宋_GB2312" w:hAnsi="方正仿宋_GB2312" w:eastAsia="方正仿宋_GB2312" w:cs="方正仿宋_GB2312"/>
          <w:color w:val="000000" w:themeColor="text1"/>
          <w:lang w:val="zh-CN"/>
          <w14:textFill>
            <w14:solidFill>
              <w14:schemeClr w14:val="tx1"/>
            </w14:solidFill>
          </w14:textFill>
        </w:rPr>
        <w:t>粪污收转运体系尚</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未建立</w:t>
      </w:r>
      <w:r>
        <w:rPr>
          <w:rFonts w:hint="eastAsia" w:ascii="方正仿宋_GB2312" w:hAnsi="方正仿宋_GB2312" w:eastAsia="方正仿宋_GB2312" w:cs="方正仿宋_GB2312"/>
          <w:color w:val="000000" w:themeColor="text1"/>
          <w:lang w:val="zh-CN"/>
          <w14:textFill>
            <w14:solidFill>
              <w14:schemeClr w14:val="tx1"/>
            </w14:solidFill>
          </w14:textFill>
        </w:rPr>
        <w:t xml:space="preserve">，大部分养殖户只看重养殖带来的效益，养殖户观念相对落后，不愿意在粪污配套设施上投入，不懂得环境治理的重要性，导致畜禽养殖行业对环境造成了很大的污染。 </w:t>
      </w:r>
    </w:p>
    <w:p w14:paraId="0DB40EC8">
      <w:pPr>
        <w:ind w:firstLine="640"/>
        <w:rPr>
          <w:rFonts w:hint="eastAsia" w:ascii="方正仿宋_GB2312" w:hAnsi="方正仿宋_GB2312" w:eastAsia="方正仿宋_GB2312" w:cs="方正仿宋_GB2312"/>
          <w:color w:val="000000" w:themeColor="text1"/>
          <w:lang w:val="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 xml:space="preserve">（4）种养结合困难，粪肥还田通道不畅。目前，种植业和养殖业各自向着规模化和专业化发展，导致“种地不养猪、养猪不种地”现象普遍。且由于畜禽粪水作为肥料供农作物生长尚处于摸索阶段，种植户对粪肥还田普遍存在大肠杆菌超标、重金属超标、盐量过高导致土壤盐化等问题的担忧，种植户亦未意识到发展种养生态循环模式的综合效益，过度依赖化肥。此外，田间地头缺少符合处理要求的储粪（液）池和综合利用管网，粪肥合理调配、规范粪肥还田也面临困难。 </w:t>
      </w:r>
    </w:p>
    <w:p w14:paraId="1130E00D">
      <w:pPr>
        <w:ind w:firstLine="640"/>
        <w:rPr>
          <w:rFonts w:hint="eastAsia" w:ascii="方正仿宋_GB2312" w:hAnsi="方正仿宋_GB2312" w:eastAsia="方正仿宋_GB2312" w:cs="方正仿宋_GB2312"/>
          <w:color w:val="000000" w:themeColor="text1"/>
          <w:lang w:val="zh-CN"/>
          <w14:textFill>
            <w14:solidFill>
              <w14:schemeClr w14:val="tx1"/>
            </w14:solidFill>
          </w14:textFill>
        </w:rPr>
      </w:pPr>
      <w:r>
        <w:rPr>
          <w:rFonts w:hint="eastAsia" w:ascii="方正仿宋_GB2312" w:hAnsi="方正仿宋_GB2312" w:eastAsia="方正仿宋_GB2312" w:cs="方正仿宋_GB2312"/>
          <w:color w:val="000000" w:themeColor="text1"/>
          <w:lang w:val="zh-CN"/>
          <w14:textFill>
            <w14:solidFill>
              <w14:schemeClr w14:val="tx1"/>
            </w14:solidFill>
          </w14:textFill>
        </w:rPr>
        <w:t>（5）恩平市养殖场数量多、分布面广，养殖动态变化大、涉及群体多。</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虽然经过三轮排查以及每年的排查，目前恩平市禁养区范围内未发现养殖场。但是</w:t>
      </w:r>
      <w:r>
        <w:rPr>
          <w:rFonts w:hint="eastAsia" w:ascii="方正仿宋_GB2312" w:hAnsi="方正仿宋_GB2312" w:eastAsia="方正仿宋_GB2312" w:cs="方正仿宋_GB2312"/>
          <w:color w:val="000000" w:themeColor="text1"/>
          <w:lang w:val="zh-CN"/>
          <w14:textFill>
            <w14:solidFill>
              <w14:schemeClr w14:val="tx1"/>
            </w14:solidFill>
          </w14:textFill>
        </w:rPr>
        <w:t>畜禽养殖污染防治监管工作涉及面也较广，包括畜禽养殖禁养区管理、农业面源污染防控等，畜禽养殖污染防治工作对监管能力要求较高。同时，对恩平市不同政府部门、市镇两级政府之间的信息共享和执法联动也提出较高的要求。再加上非洲猪瘟等重大疫情防控要求，相关监管部门和各镇管理人员难以直接进入养殖场监管执法，无法从源头进行监管，进一步加剧了监管难度，养殖场及其周边区域的生态环境可能因此存在风险。</w:t>
      </w:r>
    </w:p>
    <w:p w14:paraId="18F49540">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33" w:name="_Toc3502"/>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四、</w:t>
      </w:r>
      <w:r>
        <w:rPr>
          <w:rFonts w:hint="eastAsia" w:ascii="方正仿宋_GB2312" w:hAnsi="方正仿宋_GB2312" w:eastAsia="方正仿宋_GB2312" w:cs="方正仿宋_GB2312"/>
          <w:b/>
          <w:bCs w:val="0"/>
          <w:color w:val="000000" w:themeColor="text1"/>
          <w14:textFill>
            <w14:solidFill>
              <w14:schemeClr w14:val="tx1"/>
            </w14:solidFill>
          </w14:textFill>
        </w:rPr>
        <w:t>规划目标</w:t>
      </w:r>
      <w:bookmarkEnd w:id="33"/>
    </w:p>
    <w:p w14:paraId="6FC0E7BE">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4" w:name="_Toc2029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指导思想</w:t>
      </w:r>
      <w:bookmarkEnd w:id="34"/>
    </w:p>
    <w:p w14:paraId="6BDBF78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以习近平新时代中国特色社会主义思想为引领，深入贯彻党的</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二十大精神</w:t>
      </w:r>
      <w:r>
        <w:rPr>
          <w:rFonts w:hint="eastAsia" w:ascii="方正仿宋_GB2312" w:hAnsi="方正仿宋_GB2312" w:eastAsia="方正仿宋_GB2312" w:cs="方正仿宋_GB2312"/>
          <w:color w:val="000000" w:themeColor="text1"/>
          <w:szCs w:val="24"/>
          <w14:textFill>
            <w14:solidFill>
              <w14:schemeClr w14:val="tx1"/>
            </w14:solidFill>
          </w14:textFill>
        </w:rPr>
        <w:t>，积极响应</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党的二十大提出的</w:t>
      </w:r>
      <w:r>
        <w:rPr>
          <w:rFonts w:hint="eastAsia" w:ascii="方正仿宋_GB2312" w:hAnsi="方正仿宋_GB2312" w:eastAsia="方正仿宋_GB2312" w:cs="方正仿宋_GB2312"/>
          <w:color w:val="000000" w:themeColor="text1"/>
          <w:szCs w:val="24"/>
          <w14:textFill>
            <w14:solidFill>
              <w14:schemeClr w14:val="tx1"/>
            </w14:solidFill>
          </w14:textFill>
        </w:rPr>
        <w:t>“加快建设农业强国”的战略目标，坚定不移地树立并践行“绿水青山就是金山银山”的发展理念，坚持山水林田湖草沙一体化保护与系统治理的原则，着力构建以“三线一单”为核心的生态环境分区管控体系，提升生态环境治理体系和治理能力现代化水平，确保生态环境高水平保护能够持续推动生态环境质量的稳步改善。推动畜禽养殖全面绿色转型和高质量发展，加快实现生态环境与经济建设和谐共生的新格局，促进农业强国的建设进程，确保生态文明建设与经济社会发展在更高水平上实现良性互动。</w:t>
      </w:r>
    </w:p>
    <w:p w14:paraId="4D1CACCF">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5" w:name="_Toc206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14:textFill>
            <w14:solidFill>
              <w14:schemeClr w14:val="tx1"/>
            </w14:solidFill>
          </w14:textFill>
        </w:rPr>
        <w:t>规划原则</w:t>
      </w:r>
      <w:bookmarkEnd w:id="35"/>
    </w:p>
    <w:p w14:paraId="31CD8C48">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6" w:name="_Hlk180660771"/>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统筹规划，合理布局</w:t>
      </w:r>
    </w:p>
    <w:p w14:paraId="281A344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遵循“种养结合、循环发展”基本原则，科学合理确定养殖规模与养殖品种，统筹布局养殖空间，确保环境保护与畜禽养殖业的健康发展并重。在强化环境保护的同时，必须充分考虑畜禽养殖业的实际需求，通过转变传统的畜禽养殖生产方式，实现环境保护与产业发展的和谐共生。</w:t>
      </w:r>
    </w:p>
    <w:p w14:paraId="63B595E9">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因地制宜，多元利用</w:t>
      </w:r>
    </w:p>
    <w:p w14:paraId="02F3E48E">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以畜禽规模养殖场作为整治的重点对象，特别是将生猪、肉鸡养殖污染作为首要突破口，全面开展畜禽养殖污染整治行动，坚持因地制宜、因场施策的原则，根据不同区域的生态环境特点、不同畜种的养殖特性以及不同养殖场的规模大小，制定差异化的整治方案。</w:t>
      </w:r>
    </w:p>
    <w:p w14:paraId="69519EE4">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种养结合，生态发展</w:t>
      </w:r>
    </w:p>
    <w:p w14:paraId="3505B96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深刻认识到畜禽粪污的特殊性及其作为农业生态循环系统中重要资源的潜力，充分发挥畜禽养殖在促进农业生态循环中的纽带作用，将资源化利用作为解决畜禽养殖污染问题的首要策略。通过有机肥加工、沼气综合利用等多种途径，实现畜禽粪污的高效转化与利用。合理规划养殖规模与种植结构，确保畜禽粪污的产生量与周边土地的消纳能力相匹配，实现养殖废弃物的就地就近利用。充分利用畜禽粪污的资源属性，通过资源化利用和生态农业的发展模式，实现畜禽养殖污染问题的有效解决，推动畜牧业的绿色、可持续发展。</w:t>
      </w:r>
    </w:p>
    <w:p w14:paraId="69B6D5CB">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政府引导，市场运作</w:t>
      </w:r>
    </w:p>
    <w:p w14:paraId="3FB5311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确立企业投入的主导地位，辅以政府的适当支持，积极吸引社会资本的广泛参与。充分发挥市场配置资源的决定性作用，引导和鼓励社会资本积极投入畜禽养殖废弃物资源化利用产业。通过创新投融资模式、拓宽融资渠道、优化投资环境等措施，吸引更多的社会资本，形成政府、企业、社会资本共同参与的良好格局，培育和发展一个健康、可持续的畜禽养殖废弃物资源化利用产业。</w:t>
      </w:r>
    </w:p>
    <w:bookmarkEnd w:id="36"/>
    <w:p w14:paraId="4C8F9EDF">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37" w:name="_Toc20372"/>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规划目标和指标</w:t>
      </w:r>
      <w:bookmarkEnd w:id="37"/>
    </w:p>
    <w:p w14:paraId="6021177E">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规划目标</w:t>
      </w:r>
    </w:p>
    <w:p w14:paraId="2E4E76DD">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结合《恩平市畜牧业发展规划和种养循环发展规划（2020</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2025年）</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关于印发恩平市生猪产业发展专项规划（2022</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2026年）的通知》（恩府〔2024〕14号）</w:t>
      </w:r>
      <w:r>
        <w:rPr>
          <w:rFonts w:hint="eastAsia" w:ascii="方正仿宋_GB2312" w:hAnsi="方正仿宋_GB2312" w:eastAsia="方正仿宋_GB2312" w:cs="方正仿宋_GB2312"/>
          <w:color w:val="000000" w:themeColor="text1"/>
          <w:lang w:eastAsia="zh-CN"/>
          <w14:textFill>
            <w14:solidFill>
              <w14:schemeClr w14:val="tx1"/>
            </w14:solidFill>
          </w14:textFill>
        </w:rPr>
        <w:t>，以及恩平市</w:t>
      </w:r>
      <w:r>
        <w:rPr>
          <w:rFonts w:hint="eastAsia" w:ascii="方正仿宋_GB2312" w:hAnsi="方正仿宋_GB2312" w:eastAsia="方正仿宋_GB2312" w:cs="方正仿宋_GB2312"/>
          <w:color w:val="000000" w:themeColor="text1"/>
          <w14:textFill>
            <w14:solidFill>
              <w14:schemeClr w14:val="tx1"/>
            </w14:solidFill>
          </w14:textFill>
        </w:rPr>
        <w:t>生态环境保护</w:t>
      </w:r>
      <w:r>
        <w:rPr>
          <w:rFonts w:hint="eastAsia" w:ascii="方正仿宋_GB2312" w:hAnsi="方正仿宋_GB2312" w:eastAsia="方正仿宋_GB2312" w:cs="方正仿宋_GB2312"/>
          <w:color w:val="000000" w:themeColor="text1"/>
          <w:lang w:eastAsia="zh-CN"/>
          <w14:textFill>
            <w14:solidFill>
              <w14:schemeClr w14:val="tx1"/>
            </w14:solidFill>
          </w14:textFill>
        </w:rPr>
        <w:t>和</w:t>
      </w:r>
      <w:r>
        <w:rPr>
          <w:rFonts w:hint="eastAsia" w:ascii="方正仿宋_GB2312" w:hAnsi="方正仿宋_GB2312" w:eastAsia="方正仿宋_GB2312" w:cs="方正仿宋_GB2312"/>
          <w:color w:val="000000" w:themeColor="text1"/>
          <w14:textFill>
            <w14:solidFill>
              <w14:schemeClr w14:val="tx1"/>
            </w14:solidFill>
          </w14:textFill>
        </w:rPr>
        <w:t>畜禽养殖业持续健康发展要求</w:t>
      </w:r>
      <w:r>
        <w:rPr>
          <w:rFonts w:hint="eastAsia" w:ascii="方正仿宋_GB2312" w:hAnsi="方正仿宋_GB2312" w:eastAsia="方正仿宋_GB2312" w:cs="方正仿宋_GB2312"/>
          <w:color w:val="000000" w:themeColor="text1"/>
          <w:lang w:eastAsia="zh-CN"/>
          <w14:textFill>
            <w14:solidFill>
              <w14:schemeClr w14:val="tx1"/>
            </w14:solidFill>
          </w14:textFill>
        </w:rPr>
        <w:t>，确定</w:t>
      </w:r>
      <w:r>
        <w:rPr>
          <w:rFonts w:hint="eastAsia" w:ascii="方正仿宋_GB2312" w:hAnsi="方正仿宋_GB2312" w:eastAsia="方正仿宋_GB2312" w:cs="方正仿宋_GB2312"/>
          <w:color w:val="000000" w:themeColor="text1"/>
          <w14:textFill>
            <w14:solidFill>
              <w14:schemeClr w14:val="tx1"/>
            </w14:solidFill>
          </w14:textFill>
        </w:rPr>
        <w:t>畜禽养殖业发展目标，推动畜禽养殖业朝着更加绿色、高效、可持续的方向发展，以实现经济、社会与环境效益的和谐统一。</w:t>
      </w:r>
    </w:p>
    <w:p w14:paraId="1332CB9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近期目标：到202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14:textFill>
            <w14:solidFill>
              <w14:schemeClr w14:val="tx1"/>
            </w14:solidFill>
          </w14:textFill>
        </w:rPr>
        <w:t>年，逐步优化</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畜禽养殖的整体布局，积极探索并构建</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域内畜禽养殖业</w:t>
      </w:r>
      <w:r>
        <w:rPr>
          <w:rFonts w:hint="eastAsia" w:ascii="方正仿宋_GB2312" w:hAnsi="方正仿宋_GB2312" w:eastAsia="方正仿宋_GB2312" w:cs="方正仿宋_GB2312"/>
          <w:color w:val="000000" w:themeColor="text1"/>
          <w:lang w:eastAsia="zh-CN"/>
          <w14:textFill>
            <w14:solidFill>
              <w14:schemeClr w14:val="tx1"/>
            </w14:solidFill>
          </w14:textFill>
        </w:rPr>
        <w:t>废弃物循环利用体系</w:t>
      </w:r>
      <w:r>
        <w:rPr>
          <w:rFonts w:hint="eastAsia" w:ascii="方正仿宋_GB2312" w:hAnsi="方正仿宋_GB2312" w:eastAsia="方正仿宋_GB2312" w:cs="方正仿宋_GB2312"/>
          <w:color w:val="000000" w:themeColor="text1"/>
          <w14:textFill>
            <w14:solidFill>
              <w14:schemeClr w14:val="tx1"/>
            </w14:solidFill>
          </w14:textFill>
        </w:rPr>
        <w:t>，同时推动形成种养紧密结合的循环发展模式。优化畜禽养殖禁养区的</w:t>
      </w:r>
      <w:r>
        <w:rPr>
          <w:rFonts w:hint="eastAsia" w:ascii="方正仿宋_GB2312" w:hAnsi="方正仿宋_GB2312" w:eastAsia="方正仿宋_GB2312" w:cs="方正仿宋_GB2312"/>
          <w:color w:val="000000" w:themeColor="text1"/>
          <w:lang w:eastAsia="zh-CN"/>
          <w14:textFill>
            <w14:solidFill>
              <w14:schemeClr w14:val="tx1"/>
            </w14:solidFill>
          </w14:textFill>
        </w:rPr>
        <w:t>划定，</w:t>
      </w:r>
      <w:r>
        <w:rPr>
          <w:rFonts w:hint="eastAsia" w:ascii="方正仿宋_GB2312" w:hAnsi="方正仿宋_GB2312" w:eastAsia="方正仿宋_GB2312" w:cs="方正仿宋_GB2312"/>
          <w:color w:val="000000" w:themeColor="text1"/>
          <w14:textFill>
            <w14:solidFill>
              <w14:schemeClr w14:val="tx1"/>
            </w14:solidFill>
          </w14:textFill>
        </w:rPr>
        <w:t>分阶段、有计划地清退禁养区内不符合规定的养殖场，不断推动区域生态环境的持续</w:t>
      </w:r>
      <w:r>
        <w:rPr>
          <w:rFonts w:hint="eastAsia" w:ascii="方正仿宋_GB2312" w:hAnsi="方正仿宋_GB2312" w:eastAsia="方正仿宋_GB2312" w:cs="方正仿宋_GB2312"/>
          <w:color w:val="000000" w:themeColor="text1"/>
          <w:lang w:eastAsia="zh-CN"/>
          <w14:textFill>
            <w14:solidFill>
              <w14:schemeClr w14:val="tx1"/>
            </w14:solidFill>
          </w14:textFill>
        </w:rPr>
        <w:t>改善</w:t>
      </w:r>
      <w:r>
        <w:rPr>
          <w:rFonts w:hint="eastAsia" w:ascii="方正仿宋_GB2312" w:hAnsi="方正仿宋_GB2312" w:eastAsia="方正仿宋_GB2312" w:cs="方正仿宋_GB2312"/>
          <w:color w:val="000000" w:themeColor="text1"/>
          <w14:textFill>
            <w14:solidFill>
              <w14:schemeClr w14:val="tx1"/>
            </w14:solidFill>
          </w14:textFill>
        </w:rPr>
        <w:t>。</w:t>
      </w:r>
    </w:p>
    <w:p w14:paraId="415CBD6A">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到</w:t>
      </w:r>
      <w:r>
        <w:rPr>
          <w:rFonts w:hint="eastAsia" w:ascii="方正仿宋_GB2312" w:hAnsi="方正仿宋_GB2312" w:eastAsia="方正仿宋_GB2312" w:cs="方正仿宋_GB2312"/>
          <w:color w:val="000000" w:themeColor="text1"/>
          <w14:textFill>
            <w14:solidFill>
              <w14:schemeClr w14:val="tx1"/>
            </w14:solidFill>
          </w14:textFill>
        </w:rPr>
        <w:t>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年，全面推动畜禽养殖布局的持续优化与结构调整，使其更加科学合理。</w:t>
      </w:r>
      <w:r>
        <w:rPr>
          <w:rFonts w:hint="eastAsia" w:ascii="方正仿宋_GB2312" w:hAnsi="方正仿宋_GB2312" w:eastAsia="方正仿宋_GB2312" w:cs="方正仿宋_GB2312"/>
          <w:color w:val="000000" w:themeColor="text1"/>
          <w:lang w:eastAsia="zh-CN"/>
          <w14:textFill>
            <w14:solidFill>
              <w14:schemeClr w14:val="tx1"/>
            </w14:solidFill>
          </w14:textFill>
        </w:rPr>
        <w:t>充分发挥畜禽养殖污染治理及资源化利用设施</w:t>
      </w:r>
      <w:r>
        <w:rPr>
          <w:rFonts w:hint="eastAsia" w:ascii="方正仿宋_GB2312" w:hAnsi="方正仿宋_GB2312" w:eastAsia="方正仿宋_GB2312" w:cs="方正仿宋_GB2312"/>
          <w:color w:val="000000" w:themeColor="text1"/>
          <w14:textFill>
            <w14:solidFill>
              <w14:schemeClr w14:val="tx1"/>
            </w14:solidFill>
          </w14:textFill>
        </w:rPr>
        <w:t>效能，</w:t>
      </w:r>
      <w:r>
        <w:rPr>
          <w:rFonts w:hint="eastAsia" w:ascii="方正仿宋_GB2312" w:hAnsi="方正仿宋_GB2312" w:eastAsia="方正仿宋_GB2312" w:cs="方正仿宋_GB2312"/>
          <w:color w:val="000000" w:themeColor="text1"/>
          <w:lang w:eastAsia="zh-CN"/>
          <w14:textFill>
            <w14:solidFill>
              <w14:schemeClr w14:val="tx1"/>
            </w14:solidFill>
          </w14:textFill>
        </w:rPr>
        <w:t>显著提升</w:t>
      </w:r>
      <w:r>
        <w:rPr>
          <w:rFonts w:hint="eastAsia" w:ascii="方正仿宋_GB2312" w:hAnsi="方正仿宋_GB2312" w:eastAsia="方正仿宋_GB2312" w:cs="方正仿宋_GB2312"/>
          <w:color w:val="000000" w:themeColor="text1"/>
          <w14:textFill>
            <w14:solidFill>
              <w14:schemeClr w14:val="tx1"/>
            </w14:solidFill>
          </w14:textFill>
        </w:rPr>
        <w:t>畜禽粪污的资源化利用率</w:t>
      </w:r>
      <w:r>
        <w:rPr>
          <w:rFonts w:hint="eastAsia" w:ascii="方正仿宋_GB2312" w:hAnsi="方正仿宋_GB2312" w:eastAsia="方正仿宋_GB2312" w:cs="方正仿宋_GB2312"/>
          <w:color w:val="000000" w:themeColor="text1"/>
          <w:lang w:eastAsia="zh-CN"/>
          <w14:textFill>
            <w14:solidFill>
              <w14:schemeClr w14:val="tx1"/>
            </w14:solidFill>
          </w14:textFill>
        </w:rPr>
        <w:t>，持续改善</w:t>
      </w:r>
      <w:r>
        <w:rPr>
          <w:rFonts w:hint="eastAsia" w:ascii="方正仿宋_GB2312" w:hAnsi="方正仿宋_GB2312" w:eastAsia="方正仿宋_GB2312" w:cs="方正仿宋_GB2312"/>
          <w:color w:val="000000" w:themeColor="text1"/>
          <w14:textFill>
            <w14:solidFill>
              <w14:schemeClr w14:val="tx1"/>
            </w14:solidFill>
          </w14:textFill>
        </w:rPr>
        <w:t>区域生态环境质量</w:t>
      </w:r>
      <w:r>
        <w:rPr>
          <w:rFonts w:hint="eastAsia" w:ascii="方正仿宋_GB2312" w:hAnsi="方正仿宋_GB2312" w:eastAsia="方正仿宋_GB2312" w:cs="方正仿宋_GB2312"/>
          <w:color w:val="000000" w:themeColor="text1"/>
          <w:lang w:eastAsia="zh-CN"/>
          <w14:textFill>
            <w14:solidFill>
              <w14:schemeClr w14:val="tx1"/>
            </w14:solidFill>
          </w14:textFill>
        </w:rPr>
        <w:t>，进一步增强</w:t>
      </w:r>
      <w:r>
        <w:rPr>
          <w:rFonts w:hint="eastAsia" w:ascii="方正仿宋_GB2312" w:hAnsi="方正仿宋_GB2312" w:eastAsia="方正仿宋_GB2312" w:cs="方正仿宋_GB2312"/>
          <w:color w:val="000000" w:themeColor="text1"/>
          <w14:textFill>
            <w14:solidFill>
              <w14:schemeClr w14:val="tx1"/>
            </w14:solidFill>
          </w14:textFill>
        </w:rPr>
        <w:t>污染防治监管</w:t>
      </w:r>
      <w:r>
        <w:rPr>
          <w:rFonts w:hint="eastAsia" w:ascii="方正仿宋_GB2312" w:hAnsi="方正仿宋_GB2312" w:eastAsia="方正仿宋_GB2312" w:cs="方正仿宋_GB2312"/>
          <w:color w:val="000000" w:themeColor="text1"/>
          <w:lang w:eastAsia="zh-CN"/>
          <w14:textFill>
            <w14:solidFill>
              <w14:schemeClr w14:val="tx1"/>
            </w14:solidFill>
          </w14:textFill>
        </w:rPr>
        <w:t>能力</w:t>
      </w:r>
      <w:r>
        <w:rPr>
          <w:rFonts w:hint="eastAsia" w:ascii="方正仿宋_GB2312" w:hAnsi="方正仿宋_GB2312" w:eastAsia="方正仿宋_GB2312" w:cs="方正仿宋_GB2312"/>
          <w:color w:val="000000" w:themeColor="text1"/>
          <w14:textFill>
            <w14:solidFill>
              <w14:schemeClr w14:val="tx1"/>
            </w14:solidFill>
          </w14:textFill>
        </w:rPr>
        <w:t>，实现</w:t>
      </w:r>
      <w:r>
        <w:rPr>
          <w:rFonts w:hint="eastAsia" w:ascii="方正仿宋_GB2312" w:hAnsi="方正仿宋_GB2312" w:eastAsia="方正仿宋_GB2312" w:cs="方正仿宋_GB2312"/>
          <w:color w:val="000000" w:themeColor="text1"/>
          <w:lang w:eastAsia="zh-CN"/>
          <w14:textFill>
            <w14:solidFill>
              <w14:schemeClr w14:val="tx1"/>
            </w14:solidFill>
          </w14:textFill>
        </w:rPr>
        <w:t>畜牧业</w:t>
      </w:r>
      <w:r>
        <w:rPr>
          <w:rFonts w:hint="eastAsia" w:ascii="方正仿宋_GB2312" w:hAnsi="方正仿宋_GB2312" w:eastAsia="方正仿宋_GB2312" w:cs="方正仿宋_GB2312"/>
          <w:color w:val="000000" w:themeColor="text1"/>
          <w14:textFill>
            <w14:solidFill>
              <w14:schemeClr w14:val="tx1"/>
            </w14:solidFill>
          </w14:textFill>
        </w:rPr>
        <w:t>健康可持续发展与生态环境</w:t>
      </w:r>
      <w:r>
        <w:rPr>
          <w:rFonts w:hint="eastAsia" w:ascii="方正仿宋_GB2312" w:hAnsi="方正仿宋_GB2312" w:eastAsia="方正仿宋_GB2312" w:cs="方正仿宋_GB2312"/>
          <w:color w:val="000000" w:themeColor="text1"/>
          <w:lang w:eastAsia="zh-CN"/>
          <w14:textFill>
            <w14:solidFill>
              <w14:schemeClr w14:val="tx1"/>
            </w14:solidFill>
          </w14:textFill>
        </w:rPr>
        <w:t>高水平保护的</w:t>
      </w:r>
      <w:r>
        <w:rPr>
          <w:rFonts w:hint="eastAsia" w:ascii="方正仿宋_GB2312" w:hAnsi="方正仿宋_GB2312" w:eastAsia="方正仿宋_GB2312" w:cs="方正仿宋_GB2312"/>
          <w:color w:val="000000" w:themeColor="text1"/>
          <w14:textFill>
            <w14:solidFill>
              <w14:schemeClr w14:val="tx1"/>
            </w14:solidFill>
          </w14:textFill>
        </w:rPr>
        <w:t>双重目标，为</w:t>
      </w:r>
      <w:r>
        <w:rPr>
          <w:rFonts w:hint="eastAsia" w:ascii="方正仿宋_GB2312" w:hAnsi="方正仿宋_GB2312" w:eastAsia="方正仿宋_GB2312" w:cs="方正仿宋_GB2312"/>
          <w:color w:val="000000" w:themeColor="text1"/>
          <w:lang w:eastAsia="zh-CN"/>
          <w14:textFill>
            <w14:solidFill>
              <w14:schemeClr w14:val="tx1"/>
            </w14:solidFill>
          </w14:textFill>
        </w:rPr>
        <w:t>全市</w:t>
      </w:r>
      <w:r>
        <w:rPr>
          <w:rFonts w:hint="eastAsia" w:ascii="方正仿宋_GB2312" w:hAnsi="方正仿宋_GB2312" w:eastAsia="方正仿宋_GB2312" w:cs="方正仿宋_GB2312"/>
          <w:color w:val="000000" w:themeColor="text1"/>
          <w14:textFill>
            <w14:solidFill>
              <w14:schemeClr w14:val="tx1"/>
            </w14:solidFill>
          </w14:textFill>
        </w:rPr>
        <w:t>绿色发展奠定坚实基础。</w:t>
      </w:r>
    </w:p>
    <w:p w14:paraId="7003DC25">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规划指标</w:t>
      </w:r>
    </w:p>
    <w:p w14:paraId="277CC718">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结合</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14:textFill>
            <w14:solidFill>
              <w14:schemeClr w14:val="tx1"/>
            </w14:solidFill>
          </w14:textFill>
        </w:rPr>
        <w:t>市及</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生态环境保护规划、畜牧业发展规划等部署要求，确定本次规划指标。</w:t>
      </w:r>
    </w:p>
    <w:p w14:paraId="78EEAC1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畜禽养殖规模化发展。引导养殖专业户和散养户逐步转型，鼓励温氏</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海大</w:t>
      </w:r>
      <w:r>
        <w:rPr>
          <w:rFonts w:hint="eastAsia" w:ascii="方正仿宋_GB2312" w:hAnsi="方正仿宋_GB2312" w:eastAsia="方正仿宋_GB2312" w:cs="方正仿宋_GB2312"/>
          <w:color w:val="000000" w:themeColor="text1"/>
          <w14:textFill>
            <w14:solidFill>
              <w14:schemeClr w14:val="tx1"/>
            </w14:solidFill>
          </w14:textFill>
        </w:rPr>
        <w:t>等畜禽养殖龙头企业发挥引领带动作用，通过政策扶持、技术指导等鼓励</w:t>
      </w:r>
      <w:r>
        <w:rPr>
          <w:rFonts w:hint="eastAsia" w:ascii="方正仿宋_GB2312" w:hAnsi="方正仿宋_GB2312" w:eastAsia="方正仿宋_GB2312" w:cs="方正仿宋_GB2312"/>
          <w:color w:val="000000" w:themeColor="text1"/>
          <w:lang w:eastAsia="zh-CN"/>
          <w14:textFill>
            <w14:solidFill>
              <w14:schemeClr w14:val="tx1"/>
            </w14:solidFill>
          </w14:textFill>
        </w:rPr>
        <w:t>其向</w:t>
      </w:r>
      <w:r>
        <w:rPr>
          <w:rFonts w:hint="eastAsia" w:ascii="方正仿宋_GB2312" w:hAnsi="方正仿宋_GB2312" w:eastAsia="方正仿宋_GB2312" w:cs="方正仿宋_GB2312"/>
          <w:color w:val="000000" w:themeColor="text1"/>
          <w14:textFill>
            <w14:solidFill>
              <w14:schemeClr w14:val="tx1"/>
            </w14:solidFill>
          </w14:textFill>
        </w:rPr>
        <w:t>现代化、规模化养殖场升级，提升养殖效率与效益，实现集约化、标准化、生态化的高质量发展，减少环境污染，到20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畜禽养殖规模化率维持在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85</w:t>
      </w:r>
      <w:r>
        <w:rPr>
          <w:rFonts w:hint="eastAsia" w:ascii="方正仿宋_GB2312" w:hAnsi="方正仿宋_GB2312" w:eastAsia="方正仿宋_GB2312" w:cs="方正仿宋_GB2312"/>
          <w:color w:val="000000" w:themeColor="text1"/>
          <w14:textFill>
            <w14:solidFill>
              <w14:schemeClr w14:val="tx1"/>
            </w14:solidFill>
          </w14:textFill>
        </w:rPr>
        <w:t>%。</w:t>
      </w:r>
    </w:p>
    <w:p w14:paraId="774D26C0">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畜禽粪污资源化利用率持续提升。积极推进畜禽粪污的综合管理策略，通过引入先进的处理技术和创新模式，结合科学的养殖管理与循环利用体系，到20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畜禽粪污综合利用率达8</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14:textFill>
            <w14:solidFill>
              <w14:schemeClr w14:val="tx1"/>
            </w14:solidFill>
          </w14:textFill>
        </w:rPr>
        <w:t>%。</w:t>
      </w:r>
    </w:p>
    <w:p w14:paraId="27598819">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畜禽规模养殖场配套粪污处理设施并稳定运行。加强畜禽规模养殖场粪污处理设施监管，确保粪污处理设施稳定运行，促进粪污资源的高效转化与循环利用。到20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年畜禽规模养殖场粪污处理设施装备配套率稳定在100%。</w:t>
      </w:r>
    </w:p>
    <w:p w14:paraId="30C6DE3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提高畜禽规模养殖粪污资源利用台账精细化管理。加强畜禽规模养殖粪污资源利用台账精细化管理，加强粪污资源化利用方面的记录与追踪，确保养殖活动的环保性、高效性与可持续性。到20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年畜禽规模养殖粪污资源化利用率台账建设率达</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95</w:t>
      </w:r>
      <w:r>
        <w:rPr>
          <w:rFonts w:hint="eastAsia" w:ascii="方正仿宋_GB2312" w:hAnsi="方正仿宋_GB2312" w:eastAsia="方正仿宋_GB2312" w:cs="方正仿宋_GB2312"/>
          <w:color w:val="000000" w:themeColor="text1"/>
          <w14:textFill>
            <w14:solidFill>
              <w14:schemeClr w14:val="tx1"/>
            </w14:solidFill>
          </w14:textFill>
        </w:rPr>
        <w:t>%。</w:t>
      </w:r>
    </w:p>
    <w:p w14:paraId="6C4F1FC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加强畜禽规模养殖场自行监测。提升并加强畜禽规模养殖场的环保自律与自我监管能力，通过培训与指导，鼓励畜禽规模养殖场建立健全自行监测体系，制定科学的监测计划与方案，确保畜禽养殖污染物的达标排放。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年设有排污口的畜禽规模养殖场自行监测覆盖率达100%。</w:t>
      </w:r>
    </w:p>
    <w:p w14:paraId="29BF6726">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表14</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畜禽养殖污染防治规划指标</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2753"/>
        <w:gridCol w:w="1357"/>
        <w:gridCol w:w="1357"/>
        <w:gridCol w:w="1357"/>
        <w:gridCol w:w="1360"/>
      </w:tblGrid>
      <w:tr w14:paraId="7CB5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75178B31">
            <w:pPr>
              <w:pStyle w:val="142"/>
              <w:rPr>
                <w:rFonts w:hint="eastAsia" w:ascii="方正仿宋_GB2312" w:hAnsi="方正仿宋_GB2312" w:eastAsia="方正仿宋_GB2312" w:cs="方正仿宋_GB2312"/>
                <w:b/>
                <w:bCs/>
              </w:rPr>
            </w:pPr>
            <w:bookmarkStart w:id="38" w:name="_Hlk185281931"/>
            <w:r>
              <w:rPr>
                <w:rFonts w:hint="eastAsia" w:ascii="方正仿宋_GB2312" w:hAnsi="方正仿宋_GB2312" w:eastAsia="方正仿宋_GB2312" w:cs="方正仿宋_GB2312"/>
                <w:b/>
                <w:bCs/>
              </w:rPr>
              <w:t>序号</w:t>
            </w:r>
          </w:p>
        </w:tc>
        <w:tc>
          <w:tcPr>
            <w:tcW w:w="1518" w:type="pct"/>
            <w:shd w:val="clear" w:color="auto" w:fill="auto"/>
            <w:vAlign w:val="center"/>
          </w:tcPr>
          <w:p w14:paraId="2EB5F583">
            <w:pPr>
              <w:pStyle w:val="142"/>
              <w:rPr>
                <w:rFonts w:hint="eastAsia" w:ascii="方正仿宋_GB2312" w:hAnsi="方正仿宋_GB2312" w:eastAsia="方正仿宋_GB2312" w:cs="方正仿宋_GB2312"/>
                <w:b/>
                <w:bCs/>
              </w:rPr>
            </w:pPr>
            <w:r>
              <w:rPr>
                <w:rFonts w:hint="eastAsia" w:ascii="方正仿宋_GB2312" w:hAnsi="方正仿宋_GB2312" w:eastAsia="方正仿宋_GB2312" w:cs="方正仿宋_GB2312"/>
                <w:b/>
                <w:bCs/>
              </w:rPr>
              <w:t>指标</w:t>
            </w:r>
          </w:p>
        </w:tc>
        <w:tc>
          <w:tcPr>
            <w:tcW w:w="748" w:type="pct"/>
            <w:shd w:val="clear" w:color="auto" w:fill="auto"/>
            <w:vAlign w:val="center"/>
          </w:tcPr>
          <w:p w14:paraId="536232CF">
            <w:pPr>
              <w:pStyle w:val="142"/>
              <w:rPr>
                <w:rFonts w:hint="eastAsia" w:ascii="方正仿宋_GB2312" w:hAnsi="方正仿宋_GB2312" w:eastAsia="方正仿宋_GB2312" w:cs="方正仿宋_GB2312"/>
                <w:b/>
                <w:bCs/>
              </w:rPr>
            </w:pPr>
            <w:r>
              <w:rPr>
                <w:rFonts w:hint="eastAsia" w:ascii="方正仿宋_GB2312" w:hAnsi="方正仿宋_GB2312" w:eastAsia="方正仿宋_GB2312" w:cs="方正仿宋_GB2312"/>
                <w:b/>
                <w:bCs/>
              </w:rPr>
              <w:t>202</w:t>
            </w:r>
            <w:r>
              <w:rPr>
                <w:rFonts w:hint="eastAsia" w:ascii="方正仿宋_GB2312" w:hAnsi="方正仿宋_GB2312" w:eastAsia="方正仿宋_GB2312" w:cs="方正仿宋_GB2312"/>
                <w:b/>
                <w:bCs/>
                <w:lang w:val="en-US" w:eastAsia="zh-CN"/>
              </w:rPr>
              <w:t>4</w:t>
            </w:r>
            <w:r>
              <w:rPr>
                <w:rFonts w:hint="eastAsia" w:ascii="方正仿宋_GB2312" w:hAnsi="方正仿宋_GB2312" w:eastAsia="方正仿宋_GB2312" w:cs="方正仿宋_GB2312"/>
                <w:b/>
                <w:bCs/>
              </w:rPr>
              <w:t>年</w:t>
            </w:r>
          </w:p>
        </w:tc>
        <w:tc>
          <w:tcPr>
            <w:tcW w:w="748" w:type="pct"/>
            <w:shd w:val="clear" w:color="auto" w:fill="auto"/>
            <w:vAlign w:val="center"/>
          </w:tcPr>
          <w:p w14:paraId="052DE309">
            <w:pPr>
              <w:pStyle w:val="142"/>
              <w:rPr>
                <w:rFonts w:hint="eastAsia" w:ascii="方正仿宋_GB2312" w:hAnsi="方正仿宋_GB2312" w:eastAsia="方正仿宋_GB2312" w:cs="方正仿宋_GB2312"/>
                <w:b/>
                <w:bCs/>
              </w:rPr>
            </w:pPr>
            <w:r>
              <w:rPr>
                <w:rFonts w:hint="eastAsia" w:ascii="方正仿宋_GB2312" w:hAnsi="方正仿宋_GB2312" w:eastAsia="方正仿宋_GB2312" w:cs="方正仿宋_GB2312"/>
                <w:b/>
                <w:bCs/>
              </w:rPr>
              <w:t>202</w:t>
            </w:r>
            <w:r>
              <w:rPr>
                <w:rFonts w:hint="eastAsia" w:ascii="方正仿宋_GB2312" w:hAnsi="方正仿宋_GB2312" w:eastAsia="方正仿宋_GB2312" w:cs="方正仿宋_GB2312"/>
                <w:b/>
                <w:bCs/>
                <w:lang w:val="en-US" w:eastAsia="zh-CN"/>
              </w:rPr>
              <w:t>6</w:t>
            </w:r>
            <w:r>
              <w:rPr>
                <w:rFonts w:hint="eastAsia" w:ascii="方正仿宋_GB2312" w:hAnsi="方正仿宋_GB2312" w:eastAsia="方正仿宋_GB2312" w:cs="方正仿宋_GB2312"/>
                <w:b/>
                <w:bCs/>
              </w:rPr>
              <w:t>年</w:t>
            </w:r>
          </w:p>
        </w:tc>
        <w:tc>
          <w:tcPr>
            <w:tcW w:w="748" w:type="pct"/>
            <w:shd w:val="clear" w:color="auto" w:fill="auto"/>
            <w:vAlign w:val="center"/>
          </w:tcPr>
          <w:p w14:paraId="45A293EF">
            <w:pPr>
              <w:pStyle w:val="142"/>
              <w:rPr>
                <w:rFonts w:hint="eastAsia" w:ascii="方正仿宋_GB2312" w:hAnsi="方正仿宋_GB2312" w:eastAsia="方正仿宋_GB2312" w:cs="方正仿宋_GB2312"/>
                <w:b/>
                <w:bCs/>
              </w:rPr>
            </w:pPr>
            <w:r>
              <w:rPr>
                <w:rFonts w:hint="eastAsia" w:ascii="方正仿宋_GB2312" w:hAnsi="方正仿宋_GB2312" w:eastAsia="方正仿宋_GB2312" w:cs="方正仿宋_GB2312"/>
                <w:b/>
                <w:bCs/>
              </w:rPr>
              <w:t>2030年</w:t>
            </w:r>
          </w:p>
        </w:tc>
        <w:tc>
          <w:tcPr>
            <w:tcW w:w="750" w:type="pct"/>
            <w:shd w:val="clear" w:color="auto" w:fill="auto"/>
            <w:vAlign w:val="center"/>
          </w:tcPr>
          <w:p w14:paraId="00B62D07">
            <w:pPr>
              <w:pStyle w:val="142"/>
              <w:rPr>
                <w:rFonts w:hint="eastAsia" w:ascii="方正仿宋_GB2312" w:hAnsi="方正仿宋_GB2312" w:eastAsia="方正仿宋_GB2312" w:cs="方正仿宋_GB2312"/>
                <w:b/>
                <w:bCs/>
              </w:rPr>
            </w:pPr>
            <w:r>
              <w:rPr>
                <w:rFonts w:hint="eastAsia" w:ascii="方正仿宋_GB2312" w:hAnsi="方正仿宋_GB2312" w:eastAsia="方正仿宋_GB2312" w:cs="方正仿宋_GB2312"/>
                <w:b/>
                <w:bCs/>
              </w:rPr>
              <w:t>指标类型</w:t>
            </w:r>
          </w:p>
        </w:tc>
      </w:tr>
      <w:tr w14:paraId="4E58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6847A523">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w:t>
            </w:r>
          </w:p>
        </w:tc>
        <w:tc>
          <w:tcPr>
            <w:tcW w:w="1518" w:type="pct"/>
            <w:shd w:val="clear" w:color="auto" w:fill="auto"/>
            <w:vAlign w:val="center"/>
          </w:tcPr>
          <w:p w14:paraId="43B89528">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畜禽养殖规模化率</w:t>
            </w:r>
          </w:p>
        </w:tc>
        <w:tc>
          <w:tcPr>
            <w:tcW w:w="748" w:type="pct"/>
            <w:shd w:val="clear" w:color="auto" w:fill="auto"/>
            <w:vAlign w:val="center"/>
          </w:tcPr>
          <w:p w14:paraId="7E838066">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w:t>
            </w:r>
          </w:p>
        </w:tc>
        <w:tc>
          <w:tcPr>
            <w:tcW w:w="748" w:type="pct"/>
            <w:shd w:val="clear" w:color="auto" w:fill="auto"/>
            <w:vAlign w:val="center"/>
          </w:tcPr>
          <w:p w14:paraId="6173C041">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≥83%</w:t>
            </w:r>
          </w:p>
        </w:tc>
        <w:tc>
          <w:tcPr>
            <w:tcW w:w="748" w:type="pct"/>
            <w:shd w:val="clear" w:color="auto" w:fill="auto"/>
            <w:vAlign w:val="center"/>
          </w:tcPr>
          <w:p w14:paraId="0D4CFA33">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≥85%</w:t>
            </w:r>
          </w:p>
        </w:tc>
        <w:tc>
          <w:tcPr>
            <w:tcW w:w="750" w:type="pct"/>
            <w:shd w:val="clear" w:color="auto" w:fill="auto"/>
            <w:vAlign w:val="center"/>
          </w:tcPr>
          <w:p w14:paraId="5BF51AAB">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预期性</w:t>
            </w:r>
          </w:p>
        </w:tc>
      </w:tr>
      <w:tr w14:paraId="7A9D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6DD76457">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w:t>
            </w:r>
          </w:p>
        </w:tc>
        <w:tc>
          <w:tcPr>
            <w:tcW w:w="1518" w:type="pct"/>
            <w:shd w:val="clear" w:color="auto" w:fill="auto"/>
            <w:vAlign w:val="center"/>
          </w:tcPr>
          <w:p w14:paraId="53A3A337">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畜禽粪污综合利用率</w:t>
            </w:r>
          </w:p>
          <w:p w14:paraId="697F58DA">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（不含达标治理部分）</w:t>
            </w:r>
          </w:p>
        </w:tc>
        <w:tc>
          <w:tcPr>
            <w:tcW w:w="748" w:type="pct"/>
            <w:shd w:val="clear" w:color="auto" w:fill="auto"/>
            <w:vAlign w:val="center"/>
          </w:tcPr>
          <w:p w14:paraId="4ADF3C01">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81.03</w:t>
            </w:r>
            <w:r>
              <w:rPr>
                <w:rFonts w:hint="eastAsia" w:ascii="方正仿宋_GB2312" w:hAnsi="方正仿宋_GB2312" w:eastAsia="方正仿宋_GB2312" w:cs="方正仿宋_GB2312"/>
              </w:rPr>
              <w:t>%</w:t>
            </w:r>
          </w:p>
        </w:tc>
        <w:tc>
          <w:tcPr>
            <w:tcW w:w="748" w:type="pct"/>
            <w:shd w:val="clear" w:color="auto" w:fill="auto"/>
            <w:vAlign w:val="center"/>
          </w:tcPr>
          <w:p w14:paraId="01466EBF">
            <w:pPr>
              <w:pStyle w:val="142"/>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≥80%</w:t>
            </w:r>
          </w:p>
        </w:tc>
        <w:tc>
          <w:tcPr>
            <w:tcW w:w="748" w:type="pct"/>
            <w:shd w:val="clear" w:color="auto" w:fill="auto"/>
            <w:vAlign w:val="center"/>
          </w:tcPr>
          <w:p w14:paraId="7EC457C8">
            <w:pPr>
              <w:pStyle w:val="142"/>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≥85%</w:t>
            </w:r>
          </w:p>
        </w:tc>
        <w:tc>
          <w:tcPr>
            <w:tcW w:w="750" w:type="pct"/>
            <w:shd w:val="clear" w:color="auto" w:fill="auto"/>
            <w:vAlign w:val="center"/>
          </w:tcPr>
          <w:p w14:paraId="671E0749">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约束性</w:t>
            </w:r>
          </w:p>
        </w:tc>
      </w:tr>
      <w:tr w14:paraId="5E13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72CEA7AE">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w:t>
            </w:r>
          </w:p>
        </w:tc>
        <w:tc>
          <w:tcPr>
            <w:tcW w:w="1518" w:type="pct"/>
            <w:shd w:val="clear" w:color="auto" w:fill="auto"/>
            <w:vAlign w:val="center"/>
          </w:tcPr>
          <w:p w14:paraId="67F3D777">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畜禽规模养殖场粪污处理设施装备配套率</w:t>
            </w:r>
          </w:p>
        </w:tc>
        <w:tc>
          <w:tcPr>
            <w:tcW w:w="748" w:type="pct"/>
            <w:shd w:val="clear" w:color="auto" w:fill="auto"/>
            <w:vAlign w:val="center"/>
          </w:tcPr>
          <w:p w14:paraId="0D0CB9FF">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100</w:t>
            </w:r>
            <w:r>
              <w:rPr>
                <w:rFonts w:hint="eastAsia" w:ascii="方正仿宋_GB2312" w:hAnsi="方正仿宋_GB2312" w:eastAsia="方正仿宋_GB2312" w:cs="方正仿宋_GB2312"/>
              </w:rPr>
              <w:t>%</w:t>
            </w:r>
          </w:p>
        </w:tc>
        <w:tc>
          <w:tcPr>
            <w:tcW w:w="748" w:type="pct"/>
            <w:shd w:val="clear" w:color="auto" w:fill="auto"/>
            <w:vAlign w:val="center"/>
          </w:tcPr>
          <w:p w14:paraId="0FE6CDF1">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100%</w:t>
            </w:r>
          </w:p>
        </w:tc>
        <w:tc>
          <w:tcPr>
            <w:tcW w:w="748" w:type="pct"/>
            <w:shd w:val="clear" w:color="auto" w:fill="auto"/>
            <w:vAlign w:val="center"/>
          </w:tcPr>
          <w:p w14:paraId="27E83BAC">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100%</w:t>
            </w:r>
          </w:p>
        </w:tc>
        <w:tc>
          <w:tcPr>
            <w:tcW w:w="750" w:type="pct"/>
            <w:shd w:val="clear" w:color="auto" w:fill="auto"/>
            <w:vAlign w:val="center"/>
          </w:tcPr>
          <w:p w14:paraId="76EBA95C">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预期性</w:t>
            </w:r>
          </w:p>
        </w:tc>
      </w:tr>
      <w:tr w14:paraId="4890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5DB6270F">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4</w:t>
            </w:r>
          </w:p>
        </w:tc>
        <w:tc>
          <w:tcPr>
            <w:tcW w:w="1518" w:type="pct"/>
            <w:shd w:val="clear" w:color="auto" w:fill="auto"/>
            <w:vAlign w:val="center"/>
          </w:tcPr>
          <w:p w14:paraId="0F1B8383">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畜禽规模养殖场粪污资源化利用计划备案率</w:t>
            </w:r>
          </w:p>
        </w:tc>
        <w:tc>
          <w:tcPr>
            <w:tcW w:w="748" w:type="pct"/>
            <w:shd w:val="clear" w:color="auto" w:fill="auto"/>
            <w:vAlign w:val="center"/>
          </w:tcPr>
          <w:p w14:paraId="43DCBD35">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w:t>
            </w:r>
          </w:p>
        </w:tc>
        <w:tc>
          <w:tcPr>
            <w:tcW w:w="748" w:type="pct"/>
            <w:shd w:val="clear" w:color="auto" w:fill="auto"/>
            <w:vAlign w:val="center"/>
          </w:tcPr>
          <w:p w14:paraId="06840E16">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≥90%</w:t>
            </w:r>
          </w:p>
        </w:tc>
        <w:tc>
          <w:tcPr>
            <w:tcW w:w="748" w:type="pct"/>
            <w:shd w:val="clear" w:color="auto" w:fill="auto"/>
            <w:vAlign w:val="center"/>
          </w:tcPr>
          <w:p w14:paraId="226B6C06">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≥95%</w:t>
            </w:r>
          </w:p>
        </w:tc>
        <w:tc>
          <w:tcPr>
            <w:tcW w:w="750" w:type="pct"/>
            <w:shd w:val="clear" w:color="auto" w:fill="auto"/>
            <w:vAlign w:val="center"/>
          </w:tcPr>
          <w:p w14:paraId="608F99A2">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预期性</w:t>
            </w:r>
          </w:p>
        </w:tc>
      </w:tr>
      <w:tr w14:paraId="12A1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08E72784">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5</w:t>
            </w:r>
          </w:p>
        </w:tc>
        <w:tc>
          <w:tcPr>
            <w:tcW w:w="1518" w:type="pct"/>
            <w:shd w:val="clear" w:color="auto" w:fill="auto"/>
            <w:vAlign w:val="center"/>
          </w:tcPr>
          <w:p w14:paraId="692C640E">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畜禽规模养殖场粪污资源化利用台账建立率</w:t>
            </w:r>
          </w:p>
        </w:tc>
        <w:tc>
          <w:tcPr>
            <w:tcW w:w="748" w:type="pct"/>
            <w:shd w:val="clear" w:color="auto" w:fill="auto"/>
            <w:vAlign w:val="center"/>
          </w:tcPr>
          <w:p w14:paraId="57E9E24A">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w:t>
            </w:r>
          </w:p>
        </w:tc>
        <w:tc>
          <w:tcPr>
            <w:tcW w:w="748" w:type="pct"/>
            <w:shd w:val="clear" w:color="auto" w:fill="auto"/>
            <w:vAlign w:val="center"/>
          </w:tcPr>
          <w:p w14:paraId="0E3EEDE1">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≥90%</w:t>
            </w:r>
          </w:p>
        </w:tc>
        <w:tc>
          <w:tcPr>
            <w:tcW w:w="748" w:type="pct"/>
            <w:shd w:val="clear" w:color="auto" w:fill="auto"/>
            <w:vAlign w:val="center"/>
          </w:tcPr>
          <w:p w14:paraId="286E3508">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≥95%</w:t>
            </w:r>
          </w:p>
        </w:tc>
        <w:tc>
          <w:tcPr>
            <w:tcW w:w="750" w:type="pct"/>
            <w:shd w:val="clear" w:color="auto" w:fill="auto"/>
            <w:vAlign w:val="center"/>
          </w:tcPr>
          <w:p w14:paraId="41A7DB09">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预期性</w:t>
            </w:r>
          </w:p>
        </w:tc>
      </w:tr>
      <w:tr w14:paraId="4897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shd w:val="clear" w:color="auto" w:fill="auto"/>
            <w:vAlign w:val="center"/>
          </w:tcPr>
          <w:p w14:paraId="3AD2A185">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6</w:t>
            </w:r>
          </w:p>
        </w:tc>
        <w:tc>
          <w:tcPr>
            <w:tcW w:w="1518" w:type="pct"/>
            <w:shd w:val="clear" w:color="auto" w:fill="auto"/>
            <w:vAlign w:val="center"/>
          </w:tcPr>
          <w:p w14:paraId="0CC603B5">
            <w:pPr>
              <w:pStyle w:val="142"/>
              <w:rPr>
                <w:rFonts w:hint="eastAsia" w:ascii="方正仿宋_GB2312" w:hAnsi="方正仿宋_GB2312" w:eastAsia="方正仿宋_GB2312" w:cs="方正仿宋_GB2312"/>
              </w:rPr>
            </w:pPr>
            <w:bookmarkStart w:id="39" w:name="_Hlk185364752"/>
            <w:r>
              <w:rPr>
                <w:rFonts w:hint="eastAsia" w:ascii="方正仿宋_GB2312" w:hAnsi="方正仿宋_GB2312" w:eastAsia="方正仿宋_GB2312" w:cs="方正仿宋_GB2312"/>
              </w:rPr>
              <w:t>取得排污许可证</w:t>
            </w:r>
            <w:bookmarkEnd w:id="39"/>
            <w:r>
              <w:rPr>
                <w:rFonts w:hint="eastAsia" w:ascii="方正仿宋_GB2312" w:hAnsi="方正仿宋_GB2312" w:eastAsia="方正仿宋_GB2312" w:cs="方正仿宋_GB2312"/>
              </w:rPr>
              <w:t>的畜禽规模养殖场自行监测覆盖率</w:t>
            </w:r>
          </w:p>
        </w:tc>
        <w:tc>
          <w:tcPr>
            <w:tcW w:w="748" w:type="pct"/>
            <w:shd w:val="clear" w:color="auto" w:fill="auto"/>
            <w:vAlign w:val="center"/>
          </w:tcPr>
          <w:p w14:paraId="27AB14B1">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w:t>
            </w:r>
          </w:p>
        </w:tc>
        <w:tc>
          <w:tcPr>
            <w:tcW w:w="748" w:type="pct"/>
            <w:shd w:val="clear" w:color="auto" w:fill="auto"/>
            <w:vAlign w:val="center"/>
          </w:tcPr>
          <w:p w14:paraId="1F5DE92B">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100%</w:t>
            </w:r>
          </w:p>
        </w:tc>
        <w:tc>
          <w:tcPr>
            <w:tcW w:w="748" w:type="pct"/>
            <w:shd w:val="clear" w:color="auto" w:fill="auto"/>
            <w:vAlign w:val="center"/>
          </w:tcPr>
          <w:p w14:paraId="7147AC6E">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100%</w:t>
            </w:r>
          </w:p>
        </w:tc>
        <w:tc>
          <w:tcPr>
            <w:tcW w:w="750" w:type="pct"/>
            <w:shd w:val="clear" w:color="auto" w:fill="auto"/>
            <w:vAlign w:val="center"/>
          </w:tcPr>
          <w:p w14:paraId="4CF784D0">
            <w:pPr>
              <w:pStyle w:val="14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约束性</w:t>
            </w:r>
          </w:p>
        </w:tc>
      </w:tr>
      <w:bookmarkEnd w:id="38"/>
    </w:tbl>
    <w:p w14:paraId="67BE3B39">
      <w:p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p>
    <w:p w14:paraId="1B36E400">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40" w:name="_Toc187940531"/>
      <w:bookmarkStart w:id="41" w:name="_Toc9059"/>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（四）</w:t>
      </w:r>
      <w:r>
        <w:rPr>
          <w:rFonts w:hint="eastAsia" w:ascii="方正仿宋_GB2312" w:hAnsi="方正仿宋_GB2312" w:eastAsia="方正仿宋_GB2312" w:cs="方正仿宋_GB2312"/>
          <w:color w:val="000000" w:themeColor="text1"/>
          <w14:textFill>
            <w14:solidFill>
              <w14:schemeClr w14:val="tx1"/>
            </w14:solidFill>
          </w14:textFill>
        </w:rPr>
        <w:t>环境承载力分析</w:t>
      </w:r>
      <w:bookmarkEnd w:id="40"/>
      <w:bookmarkEnd w:id="41"/>
    </w:p>
    <w:p w14:paraId="23D58C59">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水环境承载力分析</w:t>
      </w:r>
    </w:p>
    <w:p w14:paraId="5275FC96">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依据《水环境承载力评价办法（试行）》，统计202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年</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szCs w:val="24"/>
          <w14:textFill>
            <w14:solidFill>
              <w14:schemeClr w14:val="tx1"/>
            </w14:solidFill>
          </w14:textFill>
        </w:rPr>
        <w:t>国</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考、省考</w:t>
      </w:r>
      <w:r>
        <w:rPr>
          <w:rFonts w:hint="eastAsia" w:ascii="方正仿宋_GB2312" w:hAnsi="方正仿宋_GB2312" w:eastAsia="方正仿宋_GB2312" w:cs="方正仿宋_GB2312"/>
          <w:color w:val="000000" w:themeColor="text1"/>
          <w:szCs w:val="24"/>
          <w14:textFill>
            <w14:solidFill>
              <w14:schemeClr w14:val="tx1"/>
            </w14:solidFill>
          </w14:textFill>
        </w:rPr>
        <w:t>、市</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考</w:t>
      </w:r>
      <w:r>
        <w:rPr>
          <w:rFonts w:hint="eastAsia" w:ascii="方正仿宋_GB2312" w:hAnsi="方正仿宋_GB2312" w:eastAsia="方正仿宋_GB2312" w:cs="方正仿宋_GB2312"/>
          <w:color w:val="000000" w:themeColor="text1"/>
          <w:szCs w:val="24"/>
          <w14:textFill>
            <w14:solidFill>
              <w14:schemeClr w14:val="tx1"/>
            </w14:solidFill>
          </w14:textFill>
        </w:rPr>
        <w:t>断面河流水质达标情况，计算得到主要河流环境承载力，水环境承载力指数越大，表明区域水环境系统对社会经济系统支持能力越强。根据评价区域水环境承载力指数大小，将评价结果划分为超载、临界超载、未超载三种类型。当Rc&lt;70%时，判定该区域为超载状态；当70%≤Rc&lt;90%时，判定该区域为临界超载状态；当Rc≥90%时，判定该区域为未超载状态。</w:t>
      </w:r>
    </w:p>
    <w:p w14:paraId="1367E08F">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水环境承载力评价指标体系包括水质时间达标率和水质空间达标率两个评价指标，反映评价区域内水质在时间和空间尺度上的达标情况。水质达标情况参照《地表水环境质量标准》（GB3838-2002）和《地表水环境质量评价办法（试行）》（环办〔2011〕22号）中的单因子评价法进行评价。</w:t>
      </w:r>
    </w:p>
    <w:p w14:paraId="131E8E2A">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水质时间达标率（A1）：</w:t>
      </w:r>
    </w:p>
    <w:p w14:paraId="1640AE49">
      <w:pPr>
        <w:spacing w:line="0" w:lineRule="atLeast"/>
        <w:ind w:firstLine="640"/>
        <w:rPr>
          <w:rFonts w:hint="eastAsia" w:ascii="方正仿宋_GB2312" w:hAnsi="方正仿宋_GB2312" w:eastAsia="方正仿宋_GB2312" w:cs="方正仿宋_GB2312"/>
          <w:color w:val="000000" w:themeColor="text1"/>
          <w14:textFill>
            <w14:solidFill>
              <w14:schemeClr w14:val="tx1"/>
            </w14:solidFill>
          </w14:textFill>
        </w:rPr>
      </w:pPr>
      <m:oMathPara>
        <m:oMath>
          <m:sSub>
            <m:sSubPr>
              <m:ctrlPr>
                <w:rPr>
                  <w:rFonts w:hint="eastAsia" w:ascii="Cambria Math" w:hAnsi="Cambria Math" w:eastAsia="方正仿宋_GB2312" w:cs="方正仿宋_GB2312"/>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A</m:t>
              </m:r>
              <m:ctrlPr>
                <w:rPr>
                  <w:rFonts w:hint="eastAsia" w:ascii="Cambria Math" w:hAnsi="Cambria Math" w:eastAsia="方正仿宋_GB2312" w:cs="方正仿宋_GB2312"/>
                  <w:color w:val="000000" w:themeColor="text1"/>
                  <w14:textFill>
                    <w14:solidFill>
                      <w14:schemeClr w14:val="tx1"/>
                    </w14:solidFill>
                  </w14:textFill>
                </w:rPr>
              </m:ctrlPr>
            </m:e>
            <m: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1</m:t>
              </m:r>
              <m:ctrlPr>
                <w:rPr>
                  <w:rFonts w:hint="eastAsia" w:ascii="Cambria Math" w:hAnsi="Cambria Math" w:eastAsia="方正仿宋_GB2312" w:cs="方正仿宋_GB2312"/>
                  <w:color w:val="000000" w:themeColor="text1"/>
                  <w14:textFill>
                    <w14:solidFill>
                      <w14:schemeClr w14:val="tx1"/>
                    </w14:solidFill>
                  </w14:textFill>
                </w:rPr>
              </m:ctrlPr>
            </m:sub>
          </m:s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m:t>
          </m:r>
          <m:f>
            <m:fPr>
              <m:ctrlPr>
                <w:rPr>
                  <w:rFonts w:hint="eastAsia" w:ascii="Cambria Math" w:hAnsi="Cambria Math" w:eastAsia="方正仿宋_GB2312" w:cs="方正仿宋_GB2312"/>
                  <w:color w:val="000000" w:themeColor="text1"/>
                  <w14:textFill>
                    <w14:solidFill>
                      <w14:schemeClr w14:val="tx1"/>
                    </w14:solidFill>
                  </w14:textFill>
                </w:rPr>
              </m:ctrlPr>
            </m:fPr>
            <m:num>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1</m:t>
              </m:r>
              <m:ctrlPr>
                <w:rPr>
                  <w:rFonts w:hint="eastAsia" w:ascii="Cambria Math" w:hAnsi="Cambria Math" w:eastAsia="方正仿宋_GB2312" w:cs="方正仿宋_GB2312"/>
                  <w:color w:val="000000" w:themeColor="text1"/>
                  <w14:textFill>
                    <w14:solidFill>
                      <w14:schemeClr w14:val="tx1"/>
                    </w14:solidFill>
                  </w14:textFill>
                </w:rPr>
              </m:ctrlPr>
            </m:num>
            <m:den>
              <m:r>
                <m:rPr>
                  <m:nor/>
                </m:rPr>
                <w:rPr>
                  <w:rFonts w:hint="eastAsia" w:ascii="Cambria Math" w:hAnsi="Cambria Math" w:eastAsia="方正仿宋_GB2312" w:cs="方正仿宋_GB2312"/>
                  <w:i/>
                  <w:color w:val="000000" w:themeColor="text1"/>
                  <w14:textFill>
                    <w14:solidFill>
                      <w14:schemeClr w14:val="tx1"/>
                    </w14:solidFill>
                  </w14:textFill>
                </w:rPr>
                <m:t>n</m:t>
              </m:r>
              <m:ctrlPr>
                <w:rPr>
                  <w:rFonts w:hint="eastAsia" w:ascii="Cambria Math" w:hAnsi="Cambria Math" w:eastAsia="方正仿宋_GB2312" w:cs="方正仿宋_GB2312"/>
                  <w:color w:val="000000" w:themeColor="text1"/>
                  <w14:textFill>
                    <w14:solidFill>
                      <w14:schemeClr w14:val="tx1"/>
                    </w14:solidFill>
                  </w14:textFill>
                </w:rPr>
              </m:ctrlPr>
            </m:den>
          </m:f>
          <m:nary>
            <m:naryPr>
              <m:chr m:val="∑"/>
              <m:grow m:val="1"/>
              <m:ctrlPr>
                <w:rPr>
                  <w:rFonts w:hint="eastAsia" w:ascii="Cambria Math" w:hAnsi="Cambria Math" w:eastAsia="方正仿宋_GB2312" w:cs="方正仿宋_GB2312"/>
                  <w:color w:val="000000" w:themeColor="text1"/>
                  <w14:textFill>
                    <w14:solidFill>
                      <w14:schemeClr w14:val="tx1"/>
                    </w14:solidFill>
                  </w14:textFill>
                </w:rPr>
              </m:ctrlPr>
            </m:naryPr>
            <m:sub>
              <m:r>
                <m:rPr>
                  <m:nor/>
                </m:rPr>
                <w:rPr>
                  <w:rFonts w:hint="eastAsia" w:ascii="Cambria Math" w:hAnsi="Cambria Math" w:eastAsia="方正仿宋_GB2312" w:cs="方正仿宋_GB2312"/>
                  <w:i/>
                  <w:color w:val="000000" w:themeColor="text1"/>
                  <w14:textFill>
                    <w14:solidFill>
                      <w14:schemeClr w14:val="tx1"/>
                    </w14:solidFill>
                  </w14:textFill>
                </w:rPr>
                <m:t>i</m:t>
              </m:r>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=0</m:t>
              </m:r>
              <m:ctrlPr>
                <w:rPr>
                  <w:rFonts w:hint="eastAsia" w:ascii="Cambria Math" w:hAnsi="Cambria Math" w:eastAsia="方正仿宋_GB2312" w:cs="方正仿宋_GB2312"/>
                  <w:color w:val="000000" w:themeColor="text1"/>
                  <w14:textFill>
                    <w14:solidFill>
                      <w14:schemeClr w14:val="tx1"/>
                    </w14:solidFill>
                  </w14:textFill>
                </w:rPr>
              </m:ctrlPr>
            </m:sub>
            <m:sup>
              <m:r>
                <m:rPr>
                  <m:nor/>
                </m:rPr>
                <w:rPr>
                  <w:rFonts w:hint="eastAsia" w:ascii="Cambria Math" w:hAnsi="Cambria Math" w:eastAsia="方正仿宋_GB2312" w:cs="方正仿宋_GB2312"/>
                  <w:i/>
                  <w:color w:val="000000" w:themeColor="text1"/>
                  <w14:textFill>
                    <w14:solidFill>
                      <w14:schemeClr w14:val="tx1"/>
                    </w14:solidFill>
                  </w14:textFill>
                </w:rPr>
                <m:t>n</m:t>
              </m:r>
              <m:ctrlPr>
                <w:rPr>
                  <w:rFonts w:hint="eastAsia" w:ascii="Cambria Math" w:hAnsi="Cambria Math" w:eastAsia="方正仿宋_GB2312" w:cs="方正仿宋_GB2312"/>
                  <w:color w:val="000000" w:themeColor="text1"/>
                  <w14:textFill>
                    <w14:solidFill>
                      <w14:schemeClr w14:val="tx1"/>
                    </w14:solidFill>
                  </w14:textFill>
                </w:rPr>
              </m:ctrlPr>
            </m:sup>
            <m:e>
              <m:sSub>
                <m:sSubPr>
                  <m:ctrlPr>
                    <w:rPr>
                      <w:rFonts w:hint="eastAsia" w:ascii="Cambria Math" w:hAnsi="Cambria Math" w:eastAsia="方正仿宋_GB2312" w:cs="方正仿宋_GB2312"/>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C</m:t>
                  </m:r>
                  <m:ctrlPr>
                    <w:rPr>
                      <w:rFonts w:hint="eastAsia" w:ascii="Cambria Math" w:hAnsi="Cambria Math" w:eastAsia="方正仿宋_GB2312" w:cs="方正仿宋_GB2312"/>
                      <w:color w:val="000000" w:themeColor="text1"/>
                      <w14:textFill>
                        <w14:solidFill>
                          <w14:schemeClr w14:val="tx1"/>
                        </w14:solidFill>
                      </w14:textFill>
                    </w:rPr>
                  </m:ctrlPr>
                </m:e>
                <m:sub>
                  <m:r>
                    <m:rPr>
                      <m:nor/>
                    </m:rPr>
                    <w:rPr>
                      <w:rFonts w:hint="eastAsia" w:ascii="Cambria Math" w:hAnsi="Cambria Math" w:eastAsia="方正仿宋_GB2312" w:cs="方正仿宋_GB2312"/>
                      <w:i/>
                      <w:color w:val="000000" w:themeColor="text1"/>
                      <w14:textFill>
                        <w14:solidFill>
                          <w14:schemeClr w14:val="tx1"/>
                        </w14:solidFill>
                      </w14:textFill>
                    </w:rPr>
                    <m:t>i</m:t>
                  </m:r>
                  <m:ctrlPr>
                    <w:rPr>
                      <w:rFonts w:hint="eastAsia" w:ascii="Cambria Math" w:hAnsi="Cambria Math" w:eastAsia="方正仿宋_GB2312" w:cs="方正仿宋_GB2312"/>
                      <w:color w:val="000000" w:themeColor="text1"/>
                      <w14:textFill>
                        <w14:solidFill>
                          <w14:schemeClr w14:val="tx1"/>
                        </w14:solidFill>
                      </w14:textFill>
                    </w:rPr>
                  </m:ctrlPr>
                </m:sub>
              </m:sSub>
              <m:ctrlPr>
                <w:rPr>
                  <w:rFonts w:hint="eastAsia" w:ascii="Cambria Math" w:hAnsi="Cambria Math" w:eastAsia="方正仿宋_GB2312" w:cs="方正仿宋_GB2312"/>
                  <w:color w:val="000000" w:themeColor="text1"/>
                  <w14:textFill>
                    <w14:solidFill>
                      <w14:schemeClr w14:val="tx1"/>
                    </w14:solidFill>
                  </w14:textFill>
                </w:rPr>
              </m:ctrlPr>
            </m:e>
          </m:nary>
        </m:oMath>
      </m:oMathPara>
    </w:p>
    <w:p w14:paraId="4A6AF5DE">
      <w:pPr>
        <w:spacing w:line="0" w:lineRule="atLeast"/>
        <w:ind w:firstLine="640"/>
        <w:rPr>
          <w:rFonts w:hint="eastAsia" w:ascii="方正仿宋_GB2312" w:hAnsi="方正仿宋_GB2312" w:eastAsia="方正仿宋_GB2312" w:cs="方正仿宋_GB2312"/>
          <w:color w:val="000000" w:themeColor="text1"/>
          <w14:textFill>
            <w14:solidFill>
              <w14:schemeClr w14:val="tx1"/>
            </w14:solidFill>
          </w14:textFill>
        </w:rPr>
      </w:pPr>
      <m:oMathPara>
        <m:oMath>
          <m:sSub>
            <m:sSubPr>
              <m:ctrlPr>
                <w:rPr>
                  <w:rFonts w:hint="eastAsia" w:ascii="Cambria Math" w:hAnsi="Cambria Math" w:eastAsia="方正仿宋_GB2312" w:cs="方正仿宋_GB2312"/>
                  <w:i/>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C</m:t>
              </m:r>
              <m:ctrlPr>
                <w:rPr>
                  <w:rFonts w:hint="eastAsia" w:ascii="Cambria Math" w:hAnsi="Cambria Math" w:eastAsia="方正仿宋_GB2312" w:cs="方正仿宋_GB2312"/>
                  <w:i/>
                  <w:color w:val="000000" w:themeColor="text1"/>
                  <w14:textFill>
                    <w14:solidFill>
                      <w14:schemeClr w14:val="tx1"/>
                    </w14:solidFill>
                  </w14:textFill>
                </w:rPr>
              </m:ctrlPr>
            </m:e>
            <m:sub>
              <m:r>
                <m:rPr>
                  <m:nor/>
                </m:rPr>
                <w:rPr>
                  <w:rFonts w:hint="eastAsia" w:ascii="Cambria Math" w:hAnsi="Cambria Math" w:eastAsia="方正仿宋_GB2312" w:cs="方正仿宋_GB2312"/>
                  <w:i/>
                  <w:color w:val="000000" w:themeColor="text1"/>
                  <w14:textFill>
                    <w14:solidFill>
                      <w14:schemeClr w14:val="tx1"/>
                    </w14:solidFill>
                  </w14:textFill>
                </w:rPr>
                <m:t>i</m:t>
              </m:r>
              <m:ctrlPr>
                <w:rPr>
                  <w:rFonts w:hint="eastAsia" w:ascii="Cambria Math" w:hAnsi="Cambria Math" w:eastAsia="方正仿宋_GB2312" w:cs="方正仿宋_GB2312"/>
                  <w:i/>
                  <w:color w:val="000000" w:themeColor="text1"/>
                  <w14:textFill>
                    <w14:solidFill>
                      <w14:schemeClr w14:val="tx1"/>
                    </w14:solidFill>
                  </w14:textFill>
                </w:rPr>
              </m:ctrlPr>
            </m:sub>
          </m:s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m:t>
          </m:r>
          <m:f>
            <m:fPr>
              <m:ctrlPr>
                <w:rPr>
                  <w:rFonts w:hint="eastAsia" w:ascii="Cambria Math" w:hAnsi="Cambria Math" w:eastAsia="方正仿宋_GB2312" w:cs="方正仿宋_GB2312"/>
                  <w:color w:val="000000" w:themeColor="text1"/>
                  <w14:textFill>
                    <w14:solidFill>
                      <w14:schemeClr w14:val="tx1"/>
                    </w14:solidFill>
                  </w14:textFill>
                </w:rPr>
              </m:ctrlPr>
            </m:fPr>
            <m:num>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断面达标次数</m:t>
              </m:r>
              <m:ctrlPr>
                <w:rPr>
                  <w:rFonts w:hint="eastAsia" w:ascii="Cambria Math" w:hAnsi="Cambria Math" w:eastAsia="方正仿宋_GB2312" w:cs="方正仿宋_GB2312"/>
                  <w:color w:val="000000" w:themeColor="text1"/>
                  <w14:textFill>
                    <w14:solidFill>
                      <w14:schemeClr w14:val="tx1"/>
                    </w14:solidFill>
                  </w14:textFill>
                </w:rPr>
              </m:ctrlPr>
            </m:num>
            <m:den>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评价年监测总次数</m:t>
              </m:r>
              <m:ctrlPr>
                <w:rPr>
                  <w:rFonts w:hint="eastAsia" w:ascii="Cambria Math" w:hAnsi="Cambria Math" w:eastAsia="方正仿宋_GB2312" w:cs="方正仿宋_GB2312"/>
                  <w:color w:val="000000" w:themeColor="text1"/>
                  <w14:textFill>
                    <w14:solidFill>
                      <w14:schemeClr w14:val="tx1"/>
                    </w14:solidFill>
                  </w14:textFill>
                </w:rPr>
              </m:ctrlPr>
            </m:den>
          </m:f>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×100%</m:t>
          </m:r>
        </m:oMath>
      </m:oMathPara>
    </w:p>
    <w:p w14:paraId="04672D34">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式中，n为区域内断面个数；Ci是指第i个断面（点位）水质时间达标率。</w:t>
      </w:r>
    </w:p>
    <w:p w14:paraId="053DD86B">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水质空间达标率（A</w:t>
      </w:r>
      <w:r>
        <w:rPr>
          <w:rFonts w:hint="eastAsia" w:ascii="方正仿宋_GB2312" w:hAnsi="方正仿宋_GB2312" w:eastAsia="方正仿宋_GB2312" w:cs="方正仿宋_GB2312"/>
          <w:color w:val="000000" w:themeColor="text1"/>
          <w:vertAlign w:val="subscript"/>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w:t>
      </w:r>
    </w:p>
    <w:p w14:paraId="30A44103">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指区域内年度达标断面个数占断面总个数的百分比。</w:t>
      </w:r>
    </w:p>
    <w:p w14:paraId="285ED62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水环境承载力指数（Rc）：</w:t>
      </w:r>
    </w:p>
    <w:p w14:paraId="594A4346">
      <w:pPr>
        <w:spacing w:line="0" w:lineRule="atLeast"/>
        <w:ind w:firstLine="640"/>
        <w:rPr>
          <w:rFonts w:hint="eastAsia" w:ascii="方正仿宋_GB2312" w:hAnsi="方正仿宋_GB2312" w:eastAsia="方正仿宋_GB2312" w:cs="方正仿宋_GB2312"/>
          <w:color w:val="000000" w:themeColor="text1"/>
          <w14:textFill>
            <w14:solidFill>
              <w14:schemeClr w14:val="tx1"/>
            </w14:solidFill>
          </w14:textFill>
        </w:rPr>
      </w:pPr>
      <m:oMathPara>
        <m:oMath>
          <m:sSub>
            <m:sSubPr>
              <m:ctrlPr>
                <w:rPr>
                  <w:rFonts w:hint="eastAsia" w:ascii="Cambria Math" w:hAnsi="Cambria Math" w:eastAsia="方正仿宋_GB2312" w:cs="方正仿宋_GB2312"/>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R</m:t>
              </m:r>
              <m:ctrlPr>
                <w:rPr>
                  <w:rFonts w:hint="eastAsia" w:ascii="Cambria Math" w:hAnsi="Cambria Math" w:eastAsia="方正仿宋_GB2312" w:cs="方正仿宋_GB2312"/>
                  <w:color w:val="000000" w:themeColor="text1"/>
                  <w14:textFill>
                    <w14:solidFill>
                      <w14:schemeClr w14:val="tx1"/>
                    </w14:solidFill>
                  </w14:textFill>
                </w:rPr>
              </m:ctrlPr>
            </m:e>
            <m:sub>
              <m:r>
                <m:rPr>
                  <m:nor/>
                </m:rPr>
                <w:rPr>
                  <w:rFonts w:hint="eastAsia" w:ascii="Cambria Math" w:hAnsi="Cambria Math" w:eastAsia="方正仿宋_GB2312" w:cs="方正仿宋_GB2312"/>
                  <w:i/>
                  <w:color w:val="000000" w:themeColor="text1"/>
                  <w14:textFill>
                    <w14:solidFill>
                      <w14:schemeClr w14:val="tx1"/>
                    </w14:solidFill>
                  </w14:textFill>
                </w:rPr>
                <m:t>c</m:t>
              </m:r>
              <m:ctrlPr>
                <w:rPr>
                  <w:rFonts w:hint="eastAsia" w:ascii="Cambria Math" w:hAnsi="Cambria Math" w:eastAsia="方正仿宋_GB2312" w:cs="方正仿宋_GB2312"/>
                  <w:color w:val="000000" w:themeColor="text1"/>
                  <w14:textFill>
                    <w14:solidFill>
                      <w14:schemeClr w14:val="tx1"/>
                    </w14:solidFill>
                  </w14:textFill>
                </w:rPr>
              </m:ctrlPr>
            </m:sub>
          </m:s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m:t>
          </m:r>
          <m:f>
            <m:fPr>
              <m:ctrlPr>
                <w:rPr>
                  <w:rFonts w:hint="eastAsia" w:ascii="Cambria Math" w:hAnsi="Cambria Math" w:eastAsia="方正仿宋_GB2312" w:cs="方正仿宋_GB2312"/>
                  <w:color w:val="000000" w:themeColor="text1"/>
                  <w14:textFill>
                    <w14:solidFill>
                      <w14:schemeClr w14:val="tx1"/>
                    </w14:solidFill>
                  </w14:textFill>
                </w:rPr>
              </m:ctrlPr>
            </m:fPr>
            <m:num>
              <m:sSub>
                <m:sSubPr>
                  <m:ctrlPr>
                    <w:rPr>
                      <w:rFonts w:hint="eastAsia" w:ascii="Cambria Math" w:hAnsi="Cambria Math" w:eastAsia="方正仿宋_GB2312" w:cs="方正仿宋_GB2312"/>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A</m:t>
                  </m:r>
                  <m:ctrlPr>
                    <w:rPr>
                      <w:rFonts w:hint="eastAsia" w:ascii="Cambria Math" w:hAnsi="Cambria Math" w:eastAsia="方正仿宋_GB2312" w:cs="方正仿宋_GB2312"/>
                      <w:color w:val="000000" w:themeColor="text1"/>
                      <w14:textFill>
                        <w14:solidFill>
                          <w14:schemeClr w14:val="tx1"/>
                        </w14:solidFill>
                      </w14:textFill>
                    </w:rPr>
                  </m:ctrlPr>
                </m:e>
                <m: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1</m:t>
                  </m:r>
                  <m:ctrlPr>
                    <w:rPr>
                      <w:rFonts w:hint="eastAsia" w:ascii="Cambria Math" w:hAnsi="Cambria Math" w:eastAsia="方正仿宋_GB2312" w:cs="方正仿宋_GB2312"/>
                      <w:color w:val="000000" w:themeColor="text1"/>
                      <w14:textFill>
                        <w14:solidFill>
                          <w14:schemeClr w14:val="tx1"/>
                        </w14:solidFill>
                      </w14:textFill>
                    </w:rPr>
                  </m:ctrlPr>
                </m:sub>
              </m:s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m:t>
              </m:r>
              <m:sSub>
                <m:sSubPr>
                  <m:ctrlPr>
                    <w:rPr>
                      <w:rFonts w:hint="eastAsia" w:ascii="Cambria Math" w:hAnsi="Cambria Math" w:eastAsia="方正仿宋_GB2312" w:cs="方正仿宋_GB2312"/>
                      <w:color w:val="000000" w:themeColor="text1"/>
                      <w14:textFill>
                        <w14:solidFill>
                          <w14:schemeClr w14:val="tx1"/>
                        </w14:solidFill>
                      </w14:textFill>
                    </w:rPr>
                  </m:ctrlPr>
                </m:sSubPr>
                <m:e>
                  <m:r>
                    <m:rPr>
                      <m:nor/>
                    </m:rPr>
                    <w:rPr>
                      <w:rFonts w:hint="eastAsia" w:ascii="Cambria Math" w:hAnsi="Cambria Math" w:eastAsia="方正仿宋_GB2312" w:cs="方正仿宋_GB2312"/>
                      <w:i/>
                      <w:color w:val="000000" w:themeColor="text1"/>
                      <w14:textFill>
                        <w14:solidFill>
                          <w14:schemeClr w14:val="tx1"/>
                        </w14:solidFill>
                      </w14:textFill>
                    </w:rPr>
                    <m:t>A</m:t>
                  </m:r>
                  <m:ctrlPr>
                    <w:rPr>
                      <w:rFonts w:hint="eastAsia" w:ascii="Cambria Math" w:hAnsi="Cambria Math" w:eastAsia="方正仿宋_GB2312" w:cs="方正仿宋_GB2312"/>
                      <w:color w:val="000000" w:themeColor="text1"/>
                      <w14:textFill>
                        <w14:solidFill>
                          <w14:schemeClr w14:val="tx1"/>
                        </w14:solidFill>
                      </w14:textFill>
                    </w:rPr>
                  </m:ctrlPr>
                </m:e>
                <m:sub>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2</m:t>
                  </m:r>
                  <m:ctrlPr>
                    <w:rPr>
                      <w:rFonts w:hint="eastAsia" w:ascii="Cambria Math" w:hAnsi="Cambria Math" w:eastAsia="方正仿宋_GB2312" w:cs="方正仿宋_GB2312"/>
                      <w:color w:val="000000" w:themeColor="text1"/>
                      <w14:textFill>
                        <w14:solidFill>
                          <w14:schemeClr w14:val="tx1"/>
                        </w14:solidFill>
                      </w14:textFill>
                    </w:rPr>
                  </m:ctrlPr>
                </m:sub>
              </m:sSub>
              <m:ctrlPr>
                <w:rPr>
                  <w:rFonts w:hint="eastAsia" w:ascii="Cambria Math" w:hAnsi="Cambria Math" w:eastAsia="方正仿宋_GB2312" w:cs="方正仿宋_GB2312"/>
                  <w:color w:val="000000" w:themeColor="text1"/>
                  <w14:textFill>
                    <w14:solidFill>
                      <w14:schemeClr w14:val="tx1"/>
                    </w14:solidFill>
                  </w14:textFill>
                </w:rPr>
              </m:ctrlPr>
            </m:num>
            <m:den>
              <m:r>
                <m:rPr>
                  <m:nor/>
                  <m:sty m:val="p"/>
                </m:rPr>
                <w:rPr>
                  <w:rFonts w:hint="eastAsia" w:ascii="Cambria Math" w:hAnsi="Cambria Math" w:eastAsia="方正仿宋_GB2312" w:cs="方正仿宋_GB2312"/>
                  <w:b w:val="0"/>
                  <w:i w:val="0"/>
                  <w:color w:val="000000" w:themeColor="text1"/>
                  <w14:textFill>
                    <w14:solidFill>
                      <w14:schemeClr w14:val="tx1"/>
                    </w14:solidFill>
                  </w14:textFill>
                </w:rPr>
                <m:t>2</m:t>
              </m:r>
              <m:ctrlPr>
                <w:rPr>
                  <w:rFonts w:hint="eastAsia" w:ascii="Cambria Math" w:hAnsi="Cambria Math" w:eastAsia="方正仿宋_GB2312" w:cs="方正仿宋_GB2312"/>
                  <w:color w:val="000000" w:themeColor="text1"/>
                  <w14:textFill>
                    <w14:solidFill>
                      <w14:schemeClr w14:val="tx1"/>
                    </w14:solidFill>
                  </w14:textFill>
                </w:rPr>
              </m:ctrlPr>
            </m:den>
          </m:f>
        </m:oMath>
      </m:oMathPara>
    </w:p>
    <w:p w14:paraId="1103BB9C">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式中，Rc是水环境承载力指数；A</w:t>
      </w:r>
      <w:r>
        <w:rPr>
          <w:rFonts w:hint="eastAsia" w:ascii="方正仿宋_GB2312" w:hAnsi="方正仿宋_GB2312" w:eastAsia="方正仿宋_GB2312" w:cs="方正仿宋_GB2312"/>
          <w:color w:val="000000" w:themeColor="text1"/>
          <w:vertAlign w:val="subscript"/>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是水质时间达标率；A</w:t>
      </w:r>
      <w:r>
        <w:rPr>
          <w:rFonts w:hint="eastAsia" w:ascii="方正仿宋_GB2312" w:hAnsi="方正仿宋_GB2312" w:eastAsia="方正仿宋_GB2312" w:cs="方正仿宋_GB2312"/>
          <w:color w:val="000000" w:themeColor="text1"/>
          <w:vertAlign w:val="subscript"/>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是水质空间达标率。</w:t>
      </w:r>
    </w:p>
    <w:p w14:paraId="574107B8">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footerReference r:id="rId22" w:type="default"/>
          <w:footerReference r:id="rId23"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74D1F296">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年度水环境承载力指数计算结果下表。</w:t>
      </w:r>
    </w:p>
    <w:p w14:paraId="35544F0B">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表15</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年地表水考核断面达标情况评价结果</w:t>
      </w:r>
    </w:p>
    <w:tbl>
      <w:tblPr>
        <w:tblStyle w:val="5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300"/>
        <w:gridCol w:w="1297"/>
        <w:gridCol w:w="1438"/>
        <w:gridCol w:w="1008"/>
        <w:gridCol w:w="868"/>
        <w:gridCol w:w="1151"/>
        <w:gridCol w:w="1151"/>
        <w:gridCol w:w="1008"/>
        <w:gridCol w:w="1008"/>
        <w:gridCol w:w="1306"/>
        <w:gridCol w:w="1001"/>
      </w:tblGrid>
      <w:tr w14:paraId="4F326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7E6917DC">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序号</w:t>
            </w:r>
          </w:p>
        </w:tc>
        <w:tc>
          <w:tcPr>
            <w:tcW w:w="490" w:type="pct"/>
            <w:vAlign w:val="center"/>
          </w:tcPr>
          <w:p w14:paraId="20C53BF9">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断面名称</w:t>
            </w:r>
          </w:p>
        </w:tc>
        <w:tc>
          <w:tcPr>
            <w:tcW w:w="489" w:type="pct"/>
            <w:vAlign w:val="center"/>
          </w:tcPr>
          <w:p w14:paraId="499A8C68">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考核类型</w:t>
            </w:r>
          </w:p>
        </w:tc>
        <w:tc>
          <w:tcPr>
            <w:tcW w:w="542" w:type="pct"/>
            <w:vAlign w:val="center"/>
          </w:tcPr>
          <w:p w14:paraId="49096086">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所属水系</w:t>
            </w:r>
          </w:p>
        </w:tc>
        <w:tc>
          <w:tcPr>
            <w:tcW w:w="380" w:type="pct"/>
            <w:vAlign w:val="center"/>
          </w:tcPr>
          <w:p w14:paraId="07C8E05B">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水质考核目标</w:t>
            </w:r>
          </w:p>
        </w:tc>
        <w:tc>
          <w:tcPr>
            <w:tcW w:w="327" w:type="pct"/>
            <w:vAlign w:val="center"/>
          </w:tcPr>
          <w:p w14:paraId="4053B736">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2022年水质</w:t>
            </w:r>
          </w:p>
        </w:tc>
        <w:tc>
          <w:tcPr>
            <w:tcW w:w="434" w:type="pct"/>
            <w:vAlign w:val="center"/>
          </w:tcPr>
          <w:p w14:paraId="66A85647">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水质时间达标率Ci</w:t>
            </w:r>
          </w:p>
        </w:tc>
        <w:tc>
          <w:tcPr>
            <w:tcW w:w="434" w:type="pct"/>
            <w:vAlign w:val="center"/>
          </w:tcPr>
          <w:p w14:paraId="6302BC74">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水质时间达标率A1</w:t>
            </w:r>
          </w:p>
        </w:tc>
        <w:tc>
          <w:tcPr>
            <w:tcW w:w="380" w:type="pct"/>
            <w:vAlign w:val="center"/>
          </w:tcPr>
          <w:p w14:paraId="7B04A619">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年均值达标情况</w:t>
            </w:r>
          </w:p>
        </w:tc>
        <w:tc>
          <w:tcPr>
            <w:tcW w:w="380" w:type="pct"/>
            <w:vAlign w:val="center"/>
          </w:tcPr>
          <w:p w14:paraId="7C6505DD">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水质空间达标率A2</w:t>
            </w:r>
          </w:p>
        </w:tc>
        <w:tc>
          <w:tcPr>
            <w:tcW w:w="492" w:type="pct"/>
            <w:vAlign w:val="center"/>
          </w:tcPr>
          <w:p w14:paraId="4A9EE7FF">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2022年水环境承载力Rc</w:t>
            </w:r>
          </w:p>
        </w:tc>
        <w:tc>
          <w:tcPr>
            <w:tcW w:w="377" w:type="pct"/>
            <w:vAlign w:val="center"/>
          </w:tcPr>
          <w:p w14:paraId="4D36ED17">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水环境承载状态</w:t>
            </w:r>
          </w:p>
        </w:tc>
      </w:tr>
      <w:tr w14:paraId="530158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5ADFA6A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w:t>
            </w:r>
          </w:p>
        </w:tc>
        <w:tc>
          <w:tcPr>
            <w:tcW w:w="490" w:type="pct"/>
            <w:vAlign w:val="center"/>
          </w:tcPr>
          <w:p w14:paraId="51094E0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恩城水厂</w:t>
            </w:r>
          </w:p>
        </w:tc>
        <w:tc>
          <w:tcPr>
            <w:tcW w:w="489" w:type="pct"/>
            <w:vAlign w:val="center"/>
          </w:tcPr>
          <w:p w14:paraId="6D042C73">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国考</w:t>
            </w:r>
          </w:p>
        </w:tc>
        <w:tc>
          <w:tcPr>
            <w:tcW w:w="542" w:type="pct"/>
            <w:vMerge w:val="restart"/>
            <w:vAlign w:val="center"/>
          </w:tcPr>
          <w:p w14:paraId="423B14A1">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珠江三角洲</w:t>
            </w:r>
          </w:p>
        </w:tc>
        <w:tc>
          <w:tcPr>
            <w:tcW w:w="380" w:type="pct"/>
            <w:vAlign w:val="center"/>
          </w:tcPr>
          <w:p w14:paraId="715699A7">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327" w:type="pct"/>
            <w:vAlign w:val="center"/>
          </w:tcPr>
          <w:p w14:paraId="225182EC">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434" w:type="pct"/>
            <w:vAlign w:val="center"/>
          </w:tcPr>
          <w:p w14:paraId="2C1856E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91.67</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434" w:type="pct"/>
            <w:vMerge w:val="restart"/>
            <w:vAlign w:val="center"/>
          </w:tcPr>
          <w:p w14:paraId="3CCA941D">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81.25%</w:t>
            </w:r>
          </w:p>
        </w:tc>
        <w:tc>
          <w:tcPr>
            <w:tcW w:w="380" w:type="pct"/>
            <w:vAlign w:val="center"/>
          </w:tcPr>
          <w:p w14:paraId="42A0FF3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restart"/>
            <w:vAlign w:val="center"/>
          </w:tcPr>
          <w:p w14:paraId="1670FA21">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87.5</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492" w:type="pct"/>
            <w:vMerge w:val="restart"/>
            <w:vAlign w:val="center"/>
          </w:tcPr>
          <w:p w14:paraId="7CD836A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84.375</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377" w:type="pct"/>
            <w:vMerge w:val="restart"/>
            <w:vAlign w:val="center"/>
          </w:tcPr>
          <w:p w14:paraId="7A1A036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临界超载状态</w:t>
            </w:r>
          </w:p>
        </w:tc>
      </w:tr>
      <w:tr w14:paraId="2AF46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75B179D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w:t>
            </w:r>
          </w:p>
        </w:tc>
        <w:tc>
          <w:tcPr>
            <w:tcW w:w="490" w:type="pct"/>
            <w:vAlign w:val="center"/>
          </w:tcPr>
          <w:p w14:paraId="349C2225">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义兴</w:t>
            </w:r>
          </w:p>
        </w:tc>
        <w:tc>
          <w:tcPr>
            <w:tcW w:w="489" w:type="pct"/>
            <w:vAlign w:val="center"/>
          </w:tcPr>
          <w:p w14:paraId="64D6B4CA">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省考</w:t>
            </w:r>
          </w:p>
        </w:tc>
        <w:tc>
          <w:tcPr>
            <w:tcW w:w="542" w:type="pct"/>
            <w:vMerge w:val="continue"/>
            <w:vAlign w:val="center"/>
          </w:tcPr>
          <w:p w14:paraId="1BE290F0">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5DDEFBB6">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327" w:type="pct"/>
            <w:vAlign w:val="center"/>
          </w:tcPr>
          <w:p w14:paraId="4E6B5B9E">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434" w:type="pct"/>
            <w:vAlign w:val="center"/>
          </w:tcPr>
          <w:p w14:paraId="07A6A8D3">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100%</w:t>
            </w:r>
          </w:p>
        </w:tc>
        <w:tc>
          <w:tcPr>
            <w:tcW w:w="434" w:type="pct"/>
            <w:vMerge w:val="continue"/>
            <w:vAlign w:val="center"/>
          </w:tcPr>
          <w:p w14:paraId="1FA753C3">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714520A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04028515">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6FB82502">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0670A847">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3E557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7DAC981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3</w:t>
            </w:r>
          </w:p>
        </w:tc>
        <w:tc>
          <w:tcPr>
            <w:tcW w:w="490" w:type="pct"/>
            <w:vAlign w:val="center"/>
          </w:tcPr>
          <w:p w14:paraId="61532A6E">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锦江水库</w:t>
            </w:r>
          </w:p>
        </w:tc>
        <w:tc>
          <w:tcPr>
            <w:tcW w:w="489" w:type="pct"/>
            <w:vAlign w:val="center"/>
          </w:tcPr>
          <w:p w14:paraId="4E8F9ED8">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省考</w:t>
            </w:r>
          </w:p>
        </w:tc>
        <w:tc>
          <w:tcPr>
            <w:tcW w:w="542" w:type="pct"/>
            <w:vMerge w:val="continue"/>
            <w:vAlign w:val="center"/>
          </w:tcPr>
          <w:p w14:paraId="76CD98FC">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4872F78E">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327" w:type="pct"/>
            <w:vAlign w:val="center"/>
          </w:tcPr>
          <w:p w14:paraId="7D8FCDBC">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434" w:type="pct"/>
            <w:vAlign w:val="center"/>
          </w:tcPr>
          <w:p w14:paraId="10D4AC9F">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100</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434" w:type="pct"/>
            <w:vMerge w:val="continue"/>
            <w:vAlign w:val="center"/>
          </w:tcPr>
          <w:p w14:paraId="49EF0509">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71A109BA">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49FF0E25">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58CE78BB">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03FA8F3B">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42DD7B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271" w:type="pct"/>
            <w:vAlign w:val="center"/>
          </w:tcPr>
          <w:p w14:paraId="6EBB3D1C">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4</w:t>
            </w:r>
          </w:p>
        </w:tc>
        <w:tc>
          <w:tcPr>
            <w:tcW w:w="490" w:type="pct"/>
            <w:vAlign w:val="center"/>
          </w:tcPr>
          <w:p w14:paraId="202451EF">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莲塘水</w:t>
            </w:r>
          </w:p>
        </w:tc>
        <w:tc>
          <w:tcPr>
            <w:tcW w:w="489" w:type="pct"/>
            <w:vAlign w:val="center"/>
          </w:tcPr>
          <w:p w14:paraId="2C6813EB">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42" w:type="pct"/>
            <w:vMerge w:val="continue"/>
            <w:vAlign w:val="center"/>
          </w:tcPr>
          <w:p w14:paraId="2FD0ECE6">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7D1CF4D0">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327" w:type="pct"/>
            <w:vAlign w:val="center"/>
          </w:tcPr>
          <w:p w14:paraId="5AE8D7C8">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434" w:type="pct"/>
            <w:vAlign w:val="center"/>
          </w:tcPr>
          <w:p w14:paraId="31AAF630">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58.33</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434" w:type="pct"/>
            <w:vMerge w:val="continue"/>
            <w:vAlign w:val="center"/>
          </w:tcPr>
          <w:p w14:paraId="06B363D0">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2B08C3E8">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0A506E9B">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4AAFE32F">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58AB68BA">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31824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271" w:type="pct"/>
            <w:vAlign w:val="center"/>
          </w:tcPr>
          <w:p w14:paraId="0FD3850F">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p>
        </w:tc>
        <w:tc>
          <w:tcPr>
            <w:tcW w:w="490" w:type="pct"/>
            <w:vAlign w:val="center"/>
          </w:tcPr>
          <w:p w14:paraId="4D15782B">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朗底水</w:t>
            </w:r>
          </w:p>
        </w:tc>
        <w:tc>
          <w:tcPr>
            <w:tcW w:w="489" w:type="pct"/>
            <w:vAlign w:val="center"/>
          </w:tcPr>
          <w:p w14:paraId="1DDD833E">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42" w:type="pct"/>
            <w:vMerge w:val="continue"/>
            <w:vAlign w:val="center"/>
          </w:tcPr>
          <w:p w14:paraId="78CF34E2">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59E69B89">
            <w:pPr>
              <w:pStyle w:val="53"/>
              <w:ind w:firstLine="0" w:firstLineChars="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lang w:val="en-US" w:eastAsia="zh-CN"/>
              </w:rPr>
              <w:t>Ⅱ类</w:t>
            </w:r>
          </w:p>
        </w:tc>
        <w:tc>
          <w:tcPr>
            <w:tcW w:w="327" w:type="pct"/>
            <w:vAlign w:val="center"/>
          </w:tcPr>
          <w:p w14:paraId="6708378F">
            <w:pPr>
              <w:pStyle w:val="53"/>
              <w:ind w:firstLine="0" w:firstLineChars="0"/>
              <w:jc w:val="center"/>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lang w:val="en-US" w:eastAsia="zh-CN"/>
              </w:rPr>
              <w:t>Ⅲ类</w:t>
            </w:r>
          </w:p>
        </w:tc>
        <w:tc>
          <w:tcPr>
            <w:tcW w:w="434" w:type="pct"/>
            <w:vAlign w:val="center"/>
          </w:tcPr>
          <w:p w14:paraId="6D98EDE2">
            <w:pPr>
              <w:pStyle w:val="53"/>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66.67%</w:t>
            </w:r>
          </w:p>
        </w:tc>
        <w:tc>
          <w:tcPr>
            <w:tcW w:w="434" w:type="pct"/>
            <w:vMerge w:val="continue"/>
            <w:vAlign w:val="center"/>
          </w:tcPr>
          <w:p w14:paraId="50DCF5AE">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60B7C2A1">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不达标</w:t>
            </w:r>
          </w:p>
        </w:tc>
        <w:tc>
          <w:tcPr>
            <w:tcW w:w="380" w:type="pct"/>
            <w:vMerge w:val="continue"/>
            <w:vAlign w:val="center"/>
          </w:tcPr>
          <w:p w14:paraId="1BB6C8CD">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457CCFE2">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1CD0C7E6">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7A6A2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740933E6">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6</w:t>
            </w:r>
          </w:p>
        </w:tc>
        <w:tc>
          <w:tcPr>
            <w:tcW w:w="490" w:type="pct"/>
            <w:vAlign w:val="center"/>
          </w:tcPr>
          <w:p w14:paraId="480D0110">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公仔河</w:t>
            </w:r>
          </w:p>
        </w:tc>
        <w:tc>
          <w:tcPr>
            <w:tcW w:w="489" w:type="pct"/>
            <w:vAlign w:val="center"/>
          </w:tcPr>
          <w:p w14:paraId="57A6A0B3">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42" w:type="pct"/>
            <w:vMerge w:val="continue"/>
            <w:vAlign w:val="center"/>
          </w:tcPr>
          <w:p w14:paraId="348B28BF">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60C8AA95">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327" w:type="pct"/>
            <w:vAlign w:val="center"/>
          </w:tcPr>
          <w:p w14:paraId="049088CC">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434" w:type="pct"/>
            <w:vAlign w:val="center"/>
          </w:tcPr>
          <w:p w14:paraId="5447B002">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83.33%</w:t>
            </w:r>
          </w:p>
        </w:tc>
        <w:tc>
          <w:tcPr>
            <w:tcW w:w="434" w:type="pct"/>
            <w:vMerge w:val="continue"/>
            <w:vAlign w:val="center"/>
          </w:tcPr>
          <w:p w14:paraId="100E6777">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0569F4B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4E7A91B6">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24BE5287">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7A774EDA">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201913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vAlign w:val="center"/>
          </w:tcPr>
          <w:p w14:paraId="77ECC365">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w:t>
            </w:r>
          </w:p>
        </w:tc>
        <w:tc>
          <w:tcPr>
            <w:tcW w:w="490" w:type="pct"/>
            <w:vAlign w:val="center"/>
          </w:tcPr>
          <w:p w14:paraId="214514E0">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良西河</w:t>
            </w:r>
          </w:p>
        </w:tc>
        <w:tc>
          <w:tcPr>
            <w:tcW w:w="489" w:type="pct"/>
            <w:vAlign w:val="center"/>
          </w:tcPr>
          <w:p w14:paraId="53FFFE6B">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42" w:type="pct"/>
            <w:vMerge w:val="continue"/>
            <w:vAlign w:val="center"/>
          </w:tcPr>
          <w:p w14:paraId="3DE87232">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0433D776">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327" w:type="pct"/>
            <w:vAlign w:val="center"/>
          </w:tcPr>
          <w:p w14:paraId="7C980ACB">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Ⅱ类</w:t>
            </w:r>
          </w:p>
        </w:tc>
        <w:tc>
          <w:tcPr>
            <w:tcW w:w="434" w:type="pct"/>
            <w:vAlign w:val="center"/>
          </w:tcPr>
          <w:p w14:paraId="64418B1C">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75%</w:t>
            </w:r>
          </w:p>
        </w:tc>
        <w:tc>
          <w:tcPr>
            <w:tcW w:w="434" w:type="pct"/>
            <w:vMerge w:val="continue"/>
            <w:vAlign w:val="center"/>
          </w:tcPr>
          <w:p w14:paraId="6BB53BDD">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6C2866C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5D9B21D3">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5790A0C7">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2BC5ACB4">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r w14:paraId="0927B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271" w:type="pct"/>
            <w:vAlign w:val="center"/>
          </w:tcPr>
          <w:p w14:paraId="14C36A22">
            <w:pPr>
              <w:pStyle w:val="53"/>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490" w:type="pct"/>
            <w:vAlign w:val="center"/>
          </w:tcPr>
          <w:p w14:paraId="3A7AE3B5">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琅哥河</w:t>
            </w:r>
          </w:p>
        </w:tc>
        <w:tc>
          <w:tcPr>
            <w:tcW w:w="489" w:type="pct"/>
            <w:vAlign w:val="center"/>
          </w:tcPr>
          <w:p w14:paraId="3964F70A">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市考</w:t>
            </w:r>
          </w:p>
        </w:tc>
        <w:tc>
          <w:tcPr>
            <w:tcW w:w="542" w:type="pct"/>
            <w:vMerge w:val="continue"/>
            <w:vAlign w:val="center"/>
          </w:tcPr>
          <w:p w14:paraId="40E333AF">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66BB18FC">
            <w:pPr>
              <w:pStyle w:val="53"/>
              <w:ind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327" w:type="pct"/>
            <w:vAlign w:val="center"/>
          </w:tcPr>
          <w:p w14:paraId="258A757A">
            <w:pPr>
              <w:pStyle w:val="53"/>
              <w:ind w:firstLine="0" w:firstLineChars="0"/>
              <w:jc w:val="center"/>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Ⅲ类</w:t>
            </w:r>
          </w:p>
        </w:tc>
        <w:tc>
          <w:tcPr>
            <w:tcW w:w="434" w:type="pct"/>
            <w:vAlign w:val="center"/>
          </w:tcPr>
          <w:p w14:paraId="642B073E">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75%</w:t>
            </w:r>
          </w:p>
        </w:tc>
        <w:tc>
          <w:tcPr>
            <w:tcW w:w="434" w:type="pct"/>
            <w:vMerge w:val="continue"/>
            <w:vAlign w:val="center"/>
          </w:tcPr>
          <w:p w14:paraId="631E5224">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80" w:type="pct"/>
            <w:vAlign w:val="center"/>
          </w:tcPr>
          <w:p w14:paraId="63660CE7">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达标</w:t>
            </w:r>
          </w:p>
        </w:tc>
        <w:tc>
          <w:tcPr>
            <w:tcW w:w="380" w:type="pct"/>
            <w:vMerge w:val="continue"/>
            <w:vAlign w:val="center"/>
          </w:tcPr>
          <w:p w14:paraId="7F6FFCFE">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492" w:type="pct"/>
            <w:vMerge w:val="continue"/>
            <w:vAlign w:val="center"/>
          </w:tcPr>
          <w:p w14:paraId="0975E505">
            <w:pPr>
              <w:pStyle w:val="53"/>
              <w:rPr>
                <w:rFonts w:hint="eastAsia" w:ascii="方正仿宋_GB2312" w:hAnsi="方正仿宋_GB2312" w:eastAsia="方正仿宋_GB2312" w:cs="方正仿宋_GB2312"/>
                <w:color w:val="000000" w:themeColor="text1"/>
                <w14:textFill>
                  <w14:solidFill>
                    <w14:schemeClr w14:val="tx1"/>
                  </w14:solidFill>
                </w14:textFill>
              </w:rPr>
            </w:pPr>
          </w:p>
        </w:tc>
        <w:tc>
          <w:tcPr>
            <w:tcW w:w="377" w:type="pct"/>
            <w:vMerge w:val="continue"/>
            <w:vAlign w:val="center"/>
          </w:tcPr>
          <w:p w14:paraId="6AF57D4C">
            <w:pPr>
              <w:pStyle w:val="53"/>
              <w:rPr>
                <w:rFonts w:hint="eastAsia" w:ascii="方正仿宋_GB2312" w:hAnsi="方正仿宋_GB2312" w:eastAsia="方正仿宋_GB2312" w:cs="方正仿宋_GB2312"/>
                <w:color w:val="000000" w:themeColor="text1"/>
                <w14:textFill>
                  <w14:solidFill>
                    <w14:schemeClr w14:val="tx1"/>
                  </w14:solidFill>
                </w14:textFill>
              </w:rPr>
            </w:pPr>
          </w:p>
        </w:tc>
      </w:tr>
    </w:tbl>
    <w:p w14:paraId="45DA34E7">
      <w:pPr>
        <w:pStyle w:val="48"/>
        <w:numPr>
          <w:ilvl w:val="8"/>
          <w:numId w:val="0"/>
        </w:numPr>
        <w:ind w:left="0" w:leftChars="0" w:firstLine="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i w:val="0"/>
          <w:color w:val="000000" w:themeColor="text1"/>
          <w:kern w:val="2"/>
          <w:sz w:val="32"/>
          <w:szCs w:val="21"/>
          <w:lang w:val="en-US" w:eastAsia="zh-CN" w:bidi="ar-SA"/>
          <w14:textFill>
            <w14:solidFill>
              <w14:schemeClr w14:val="tx1"/>
            </w14:solidFill>
          </w14:textFill>
        </w:rPr>
        <w:t>表16</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202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14:textFill>
            <w14:solidFill>
              <w14:schemeClr w14:val="tx1"/>
            </w14:solidFill>
          </w14:textFill>
        </w:rPr>
        <w:t>年水环境承载力指数计算结果表</w:t>
      </w:r>
    </w:p>
    <w:tbl>
      <w:tblPr>
        <w:tblStyle w:val="5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1445"/>
        <w:gridCol w:w="2447"/>
        <w:gridCol w:w="2447"/>
        <w:gridCol w:w="2885"/>
        <w:gridCol w:w="2591"/>
      </w:tblGrid>
      <w:tr w14:paraId="28BF9B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3" w:type="pct"/>
            <w:vAlign w:val="center"/>
          </w:tcPr>
          <w:p w14:paraId="5F2C69D8">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行政区</w:t>
            </w:r>
          </w:p>
        </w:tc>
        <w:tc>
          <w:tcPr>
            <w:tcW w:w="545" w:type="pct"/>
            <w:vAlign w:val="center"/>
          </w:tcPr>
          <w:p w14:paraId="45E55AD6">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断面数量</w:t>
            </w:r>
          </w:p>
        </w:tc>
        <w:tc>
          <w:tcPr>
            <w:tcW w:w="923" w:type="pct"/>
            <w:vAlign w:val="center"/>
          </w:tcPr>
          <w:p w14:paraId="0ADA95A4">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水质时间达标率A1</w:t>
            </w:r>
          </w:p>
        </w:tc>
        <w:tc>
          <w:tcPr>
            <w:tcW w:w="923" w:type="pct"/>
            <w:vAlign w:val="center"/>
          </w:tcPr>
          <w:p w14:paraId="7EAB7C81">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水质空间达标率A2</w:t>
            </w:r>
          </w:p>
        </w:tc>
        <w:tc>
          <w:tcPr>
            <w:tcW w:w="1088" w:type="pct"/>
            <w:vAlign w:val="center"/>
          </w:tcPr>
          <w:p w14:paraId="13D46F74">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2022年水环境承载力Rc</w:t>
            </w:r>
          </w:p>
        </w:tc>
        <w:tc>
          <w:tcPr>
            <w:tcW w:w="977" w:type="pct"/>
            <w:vAlign w:val="center"/>
          </w:tcPr>
          <w:p w14:paraId="57C48217">
            <w:pPr>
              <w:pStyle w:val="53"/>
              <w:rPr>
                <w:rFonts w:hint="eastAsia" w:ascii="方正仿宋_GB2312" w:hAnsi="方正仿宋_GB2312" w:eastAsia="方正仿宋_GB2312" w:cs="方正仿宋_GB2312"/>
                <w:b/>
                <w:i w:val="0"/>
                <w:color w:val="000000" w:themeColor="text1"/>
                <w14:textFill>
                  <w14:solidFill>
                    <w14:schemeClr w14:val="tx1"/>
                  </w14:solidFill>
                </w14:textFill>
              </w:rPr>
            </w:pPr>
            <w:r>
              <w:rPr>
                <w:rFonts w:hint="eastAsia" w:ascii="方正仿宋_GB2312" w:hAnsi="方正仿宋_GB2312" w:eastAsia="方正仿宋_GB2312" w:cs="方正仿宋_GB2312"/>
                <w:b/>
                <w:i w:val="0"/>
                <w:color w:val="000000" w:themeColor="text1"/>
                <w14:textFill>
                  <w14:solidFill>
                    <w14:schemeClr w14:val="tx1"/>
                  </w14:solidFill>
                </w14:textFill>
              </w:rPr>
              <w:t>水环境承载状态</w:t>
            </w:r>
          </w:p>
        </w:tc>
      </w:tr>
      <w:tr w14:paraId="73960F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3" w:type="pct"/>
            <w:vAlign w:val="center"/>
          </w:tcPr>
          <w:p w14:paraId="59ADF9C1">
            <w:pPr>
              <w:pStyle w:val="53"/>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p>
        </w:tc>
        <w:tc>
          <w:tcPr>
            <w:tcW w:w="545" w:type="pct"/>
            <w:vAlign w:val="center"/>
          </w:tcPr>
          <w:p w14:paraId="02533BA1">
            <w:pPr>
              <w:pStyle w:val="53"/>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w:t>
            </w:r>
          </w:p>
        </w:tc>
        <w:tc>
          <w:tcPr>
            <w:tcW w:w="923" w:type="pct"/>
            <w:vAlign w:val="center"/>
          </w:tcPr>
          <w:p w14:paraId="4E235326">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81.25%</w:t>
            </w:r>
          </w:p>
        </w:tc>
        <w:tc>
          <w:tcPr>
            <w:tcW w:w="923" w:type="pct"/>
            <w:vAlign w:val="center"/>
          </w:tcPr>
          <w:p w14:paraId="3C39B379">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87.5</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1088" w:type="pct"/>
            <w:vAlign w:val="center"/>
          </w:tcPr>
          <w:p w14:paraId="0CA6EB32">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84.375</w:t>
            </w:r>
            <w:r>
              <w:rPr>
                <w:rFonts w:hint="eastAsia" w:ascii="方正仿宋_GB2312" w:hAnsi="方正仿宋_GB2312" w:eastAsia="方正仿宋_GB2312" w:cs="方正仿宋_GB2312"/>
                <w:color w:val="000000" w:themeColor="text1"/>
                <w14:textFill>
                  <w14:solidFill>
                    <w14:schemeClr w14:val="tx1"/>
                  </w14:solidFill>
                </w14:textFill>
              </w:rPr>
              <w:t>%</w:t>
            </w:r>
          </w:p>
        </w:tc>
        <w:tc>
          <w:tcPr>
            <w:tcW w:w="977" w:type="pct"/>
            <w:vAlign w:val="center"/>
          </w:tcPr>
          <w:p w14:paraId="7A99A684">
            <w:pPr>
              <w:pStyle w:val="53"/>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临界超载状态</w:t>
            </w:r>
          </w:p>
        </w:tc>
      </w:tr>
    </w:tbl>
    <w:p w14:paraId="5EDCF9DD">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szCs w:val="24"/>
          <w14:textFill>
            <w14:solidFill>
              <w14:schemeClr w14:val="tx1"/>
            </w14:solidFill>
          </w14:textFill>
        </w:rPr>
        <w:t>区域水环境承载力指数</w:t>
      </w:r>
      <w:r>
        <w:rPr>
          <w:rFonts w:hint="eastAsia" w:ascii="方正仿宋_GB2312" w:hAnsi="方正仿宋_GB2312" w:eastAsia="方正仿宋_GB2312" w:cs="方正仿宋_GB2312"/>
          <w:color w:val="000000" w:themeColor="text1"/>
          <w14:textFill>
            <w14:solidFill>
              <w14:schemeClr w14:val="tx1"/>
            </w14:solidFill>
          </w14:textFill>
        </w:rPr>
        <w:t>84.375%</w:t>
      </w:r>
      <w:r>
        <w:rPr>
          <w:rFonts w:hint="eastAsia" w:ascii="方正仿宋_GB2312" w:hAnsi="方正仿宋_GB2312" w:eastAsia="方正仿宋_GB2312" w:cs="方正仿宋_GB2312"/>
          <w:color w:val="000000" w:themeColor="text1"/>
          <w:szCs w:val="24"/>
          <w14:textFill>
            <w14:solidFill>
              <w14:schemeClr w14:val="tx1"/>
            </w14:solidFill>
          </w14:textFill>
        </w:rPr>
        <w:t>，整体属于临界超载状态。</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szCs w:val="24"/>
          <w14:textFill>
            <w14:solidFill>
              <w14:schemeClr w14:val="tx1"/>
            </w14:solidFill>
          </w14:textFill>
        </w:rPr>
        <w:t>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年主要超标断面为朗底水</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szCs w:val="24"/>
          <w14:textFill>
            <w14:solidFill>
              <w14:schemeClr w14:val="tx1"/>
            </w14:solidFill>
          </w14:textFill>
        </w:rPr>
        <w:t>考断面，水质时间达标率为66.67%，</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另外莲塘水市考断面</w:t>
      </w:r>
      <w:r>
        <w:rPr>
          <w:rFonts w:hint="eastAsia" w:ascii="方正仿宋_GB2312" w:hAnsi="方正仿宋_GB2312" w:eastAsia="方正仿宋_GB2312" w:cs="方正仿宋_GB2312"/>
          <w:color w:val="000000" w:themeColor="text1"/>
          <w:szCs w:val="24"/>
          <w14:textFill>
            <w14:solidFill>
              <w14:schemeClr w14:val="tx1"/>
            </w14:solidFill>
          </w14:textFill>
        </w:rPr>
        <w:t>虽然年均值能够达标，但是月度水质超标频率仍较高，水环境压力较大。</w:t>
      </w:r>
    </w:p>
    <w:p w14:paraId="6BD33354">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p>
    <w:p w14:paraId="2064FC61">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footerReference r:id="rId24" w:type="default"/>
          <w:footerReference r:id="rId25" w:type="even"/>
          <w:pgSz w:w="16838" w:h="11906" w:orient="landscape"/>
          <w:pgMar w:top="1588" w:right="2098" w:bottom="1474" w:left="1701"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5D32C737">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土地承载力分析</w:t>
      </w:r>
    </w:p>
    <w:p w14:paraId="43F4BD01">
      <w:pPr>
        <w:spacing w:line="560" w:lineRule="exact"/>
        <w:ind w:firstLine="640" w:firstLineChars="200"/>
        <w:jc w:val="left"/>
        <w:outlineLvl w:val="9"/>
        <w:rPr>
          <w:rFonts w:hint="eastAsia" w:ascii="方正仿宋_GB2312" w:hAnsi="方正仿宋_GB2312" w:eastAsia="方正仿宋_GB2312" w:cs="方正仿宋_GB2312"/>
          <w:color w:val="auto"/>
          <w:highlight w:val="none"/>
          <w:lang w:eastAsia="zh-CN"/>
        </w:rPr>
      </w:pPr>
      <w:bookmarkStart w:id="42" w:name="_Toc23755"/>
      <w:r>
        <w:rPr>
          <w:rFonts w:hint="eastAsia" w:ascii="方正仿宋_GB2312" w:hAnsi="方正仿宋_GB2312" w:eastAsia="方正仿宋_GB2312" w:cs="方正仿宋_GB2312"/>
          <w:color w:val="auto"/>
          <w:highlight w:val="none"/>
          <w:lang w:val="en-US" w:eastAsia="zh-CN"/>
        </w:rPr>
        <w:t>一</w:t>
      </w:r>
      <w:r>
        <w:rPr>
          <w:rFonts w:hint="eastAsia" w:ascii="方正仿宋_GB2312" w:hAnsi="方正仿宋_GB2312" w:eastAsia="方正仿宋_GB2312" w:cs="方正仿宋_GB2312"/>
          <w:color w:val="auto"/>
          <w:highlight w:val="none"/>
          <w:lang w:eastAsia="zh-CN"/>
        </w:rPr>
        <w:t>、计算方法</w:t>
      </w:r>
    </w:p>
    <w:p w14:paraId="72BFD2CD">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畜禽粪污土地承载力是指在土地生态系统可持续运行的条件下，一定区域内耕地、林地和草地等所能承载的最大畜禽存栏量。参照畜禽粪污土地承载力的定义，根据农业农村部（原农业部）办公厅《畜禽粪污土地承载力测算技术指南》，全市区域植物粪肥养分需求量计算方法如下（各市、区植物粪肥养分需求量计算方法一致）：</w:t>
      </w:r>
    </w:p>
    <w:p w14:paraId="1D467DFA">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drawing>
          <wp:anchor distT="0" distB="0" distL="114300" distR="114300" simplePos="0" relativeHeight="251659264" behindDoc="0" locked="0" layoutInCell="1" allowOverlap="1">
            <wp:simplePos x="0" y="0"/>
            <wp:positionH relativeFrom="column">
              <wp:posOffset>2349500</wp:posOffset>
            </wp:positionH>
            <wp:positionV relativeFrom="paragraph">
              <wp:posOffset>167005</wp:posOffset>
            </wp:positionV>
            <wp:extent cx="866775" cy="437515"/>
            <wp:effectExtent l="0" t="0" r="0" b="0"/>
            <wp:wrapSquare wrapText="bothSides"/>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pic:cNvPicPr>
                      <a:picLocks noChangeAspect="1"/>
                    </pic:cNvPicPr>
                  </pic:nvPicPr>
                  <pic:blipFill>
                    <a:blip r:embed="rId42"/>
                    <a:stretch>
                      <a:fillRect/>
                    </a:stretch>
                  </pic:blipFill>
                  <pic:spPr>
                    <a:xfrm>
                      <a:off x="0" y="0"/>
                      <a:ext cx="866775" cy="437515"/>
                    </a:xfrm>
                    <a:prstGeom prst="rect">
                      <a:avLst/>
                    </a:prstGeom>
                    <a:noFill/>
                    <a:ln>
                      <a:noFill/>
                    </a:ln>
                  </pic:spPr>
                </pic:pic>
              </a:graphicData>
            </a:graphic>
          </wp:anchor>
        </w:drawing>
      </w:r>
    </w:p>
    <w:p w14:paraId="0949577D">
      <w:pPr>
        <w:ind w:firstLine="640" w:firstLineChars="200"/>
        <w:rPr>
          <w:rFonts w:hint="eastAsia" w:ascii="方正仿宋_GB2312" w:hAnsi="方正仿宋_GB2312" w:eastAsia="方正仿宋_GB2312" w:cs="方正仿宋_GB2312"/>
          <w:color w:val="auto"/>
          <w:highlight w:val="none"/>
        </w:rPr>
      </w:pPr>
    </w:p>
    <w:p w14:paraId="7B9D0AD1">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A——区域作物养分需求量，根据区域内种植业各类作物的氮（磷）养分需求量测算，计算方法为：</w:t>
      </w:r>
    </w:p>
    <w:p w14:paraId="7AE44290">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γ——施肥供给养分占比，氮（磷）施肥供给养分占比根据土壤氮（磷）养分确定，此处取35%；</w:t>
      </w:r>
    </w:p>
    <w:p w14:paraId="52FAAA0C">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λ——粪肥占施肥比例，指畜禽粪便有机肥提供的养分（氮、磷）占作物、蔬菜等生长、发育全过程施肥总量的比值；</w:t>
      </w:r>
    </w:p>
    <w:p w14:paraId="11281368">
      <w:pPr>
        <w:ind w:firstLine="6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——粪肥当季利用率，氮素取30%，磷素取35%；</w:t>
      </w:r>
    </w:p>
    <w:p w14:paraId="10FAB34D">
      <w:pPr>
        <w:spacing w:line="560" w:lineRule="exact"/>
        <w:ind w:firstLine="640" w:firstLineChars="200"/>
        <w:jc w:val="left"/>
        <w:outlineLvl w:val="9"/>
        <w:rPr>
          <w:rFonts w:hint="eastAsia" w:ascii="方正仿宋_GB2312" w:hAnsi="方正仿宋_GB2312" w:eastAsia="方正仿宋_GB2312" w:cs="方正仿宋_GB2312"/>
          <w:color w:val="auto"/>
          <w:highlight w:val="none"/>
        </w:rPr>
      </w:pPr>
    </w:p>
    <w:p w14:paraId="3E9EDE0E">
      <w:pPr>
        <w:pStyle w:val="20"/>
        <w:ind w:left="0" w:leftChars="0" w:firstLine="64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color w:val="auto"/>
          <w:kern w:val="2"/>
          <w:sz w:val="32"/>
          <w:szCs w:val="21"/>
          <w:highlight w:val="none"/>
          <w:lang w:val="en-US" w:eastAsia="zh-CN" w:bidi="ar-SA"/>
        </w:rPr>
        <w:t>二、畜禽粪污土地承载力</w:t>
      </w:r>
    </w:p>
    <w:p w14:paraId="05AB1B39">
      <w:pPr>
        <w:spacing w:line="560" w:lineRule="exact"/>
        <w:ind w:firstLine="640" w:firstLineChars="200"/>
        <w:jc w:val="left"/>
        <w:outlineLvl w:val="9"/>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highlight w:val="none"/>
        </w:rPr>
        <w:t>根据</w:t>
      </w:r>
      <w:r>
        <w:rPr>
          <w:rFonts w:hint="eastAsia" w:ascii="方正仿宋_GB2312" w:hAnsi="方正仿宋_GB2312" w:eastAsia="方正仿宋_GB2312" w:cs="方正仿宋_GB2312"/>
          <w:color w:val="auto"/>
          <w:highlight w:val="none"/>
          <w:lang w:val="en-US" w:eastAsia="zh-CN"/>
        </w:rPr>
        <w:t>江门</w:t>
      </w:r>
      <w:r>
        <w:rPr>
          <w:rFonts w:hint="eastAsia" w:ascii="方正仿宋_GB2312" w:hAnsi="方正仿宋_GB2312" w:eastAsia="方正仿宋_GB2312" w:cs="方正仿宋_GB2312"/>
          <w:color w:val="auto"/>
          <w:highlight w:val="none"/>
        </w:rPr>
        <w:t>市 202</w:t>
      </w:r>
      <w:r>
        <w:rPr>
          <w:rFonts w:hint="eastAsia" w:ascii="方正仿宋_GB2312" w:hAnsi="方正仿宋_GB2312" w:eastAsia="方正仿宋_GB2312" w:cs="方正仿宋_GB2312"/>
          <w:color w:val="auto"/>
          <w:highlight w:val="none"/>
          <w:lang w:val="en-US" w:eastAsia="zh-CN"/>
        </w:rPr>
        <w:t>4</w:t>
      </w:r>
      <w:r>
        <w:rPr>
          <w:rFonts w:hint="eastAsia" w:ascii="方正仿宋_GB2312" w:hAnsi="方正仿宋_GB2312" w:eastAsia="方正仿宋_GB2312" w:cs="方正仿宋_GB2312"/>
          <w:color w:val="auto"/>
          <w:highlight w:val="none"/>
        </w:rPr>
        <w:t xml:space="preserve"> 年统计年鉴，</w:t>
      </w:r>
      <w:r>
        <w:rPr>
          <w:rFonts w:hint="eastAsia" w:ascii="方正仿宋_GB2312" w:hAnsi="方正仿宋_GB2312" w:eastAsia="方正仿宋_GB2312" w:cs="方正仿宋_GB2312"/>
          <w:color w:val="auto"/>
          <w:highlight w:val="none"/>
          <w:lang w:val="en-US" w:eastAsia="zh-CN"/>
        </w:rPr>
        <w:t>恩平</w:t>
      </w:r>
      <w:r>
        <w:rPr>
          <w:rFonts w:hint="eastAsia" w:ascii="方正仿宋_GB2312" w:hAnsi="方正仿宋_GB2312" w:eastAsia="方正仿宋_GB2312" w:cs="方正仿宋_GB2312"/>
          <w:color w:val="auto"/>
          <w:highlight w:val="none"/>
        </w:rPr>
        <w:t>市 20</w:t>
      </w:r>
      <w:r>
        <w:rPr>
          <w:rFonts w:hint="eastAsia" w:ascii="方正仿宋_GB2312" w:hAnsi="方正仿宋_GB2312" w:eastAsia="方正仿宋_GB2312" w:cs="方正仿宋_GB2312"/>
          <w:color w:val="auto"/>
          <w:highlight w:val="none"/>
          <w:lang w:val="en-US" w:eastAsia="zh-CN"/>
        </w:rPr>
        <w:t>23</w:t>
      </w:r>
      <w:r>
        <w:rPr>
          <w:rFonts w:hint="eastAsia" w:ascii="方正仿宋_GB2312" w:hAnsi="方正仿宋_GB2312" w:eastAsia="方正仿宋_GB2312" w:cs="方正仿宋_GB2312"/>
          <w:color w:val="auto"/>
          <w:highlight w:val="none"/>
        </w:rPr>
        <w:t>年主要农作物类型及产量详见下表。根据《畜禽粪污土地承载力测算技术指南》，计算得出20</w:t>
      </w:r>
      <w:r>
        <w:rPr>
          <w:rFonts w:hint="eastAsia" w:ascii="方正仿宋_GB2312" w:hAnsi="方正仿宋_GB2312" w:eastAsia="方正仿宋_GB2312" w:cs="方正仿宋_GB2312"/>
          <w:color w:val="auto"/>
          <w:highlight w:val="none"/>
          <w:lang w:val="en-US" w:eastAsia="zh-CN"/>
        </w:rPr>
        <w:t>23</w:t>
      </w:r>
      <w:r>
        <w:rPr>
          <w:rFonts w:hint="eastAsia" w:ascii="方正仿宋_GB2312" w:hAnsi="方正仿宋_GB2312" w:eastAsia="方正仿宋_GB2312" w:cs="方正仿宋_GB2312"/>
          <w:color w:val="auto"/>
          <w:highlight w:val="none"/>
        </w:rPr>
        <w:t>年全市主要种植类型单位总需氮需磷量</w:t>
      </w:r>
      <w:r>
        <w:rPr>
          <w:rFonts w:hint="eastAsia" w:ascii="方正仿宋_GB2312" w:hAnsi="方正仿宋_GB2312" w:eastAsia="方正仿宋_GB2312" w:cs="方正仿宋_GB2312"/>
          <w:color w:val="auto"/>
          <w:highlight w:val="none"/>
          <w:lang w:eastAsia="zh-CN"/>
        </w:rPr>
        <w:t>，详见下表：</w:t>
      </w:r>
    </w:p>
    <w:bookmarkEnd w:id="42"/>
    <w:p w14:paraId="34476CF4">
      <w:pPr>
        <w:ind w:firstLine="640" w:firstLineChars="200"/>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表</w:t>
      </w:r>
      <w:r>
        <w:rPr>
          <w:rFonts w:hint="eastAsia" w:ascii="方正仿宋_GB2312" w:hAnsi="方正仿宋_GB2312" w:eastAsia="方正仿宋_GB2312" w:cs="方正仿宋_GB2312"/>
          <w:color w:val="auto"/>
          <w:highlight w:val="none"/>
          <w:lang w:val="en-US" w:eastAsia="zh-CN"/>
        </w:rPr>
        <w:t xml:space="preserve">17  </w:t>
      </w:r>
      <w:r>
        <w:rPr>
          <w:rFonts w:hint="eastAsia" w:ascii="方正仿宋_GB2312" w:hAnsi="方正仿宋_GB2312" w:eastAsia="方正仿宋_GB2312" w:cs="方正仿宋_GB2312"/>
          <w:color w:val="auto"/>
          <w:highlight w:val="none"/>
        </w:rPr>
        <w:t>202</w:t>
      </w:r>
      <w:r>
        <w:rPr>
          <w:rFonts w:hint="eastAsia" w:ascii="方正仿宋_GB2312" w:hAnsi="方正仿宋_GB2312" w:eastAsia="方正仿宋_GB2312" w:cs="方正仿宋_GB2312"/>
          <w:color w:val="auto"/>
          <w:highlight w:val="none"/>
          <w:lang w:val="en-US" w:eastAsia="zh-CN"/>
        </w:rPr>
        <w:t>3</w:t>
      </w:r>
      <w:r>
        <w:rPr>
          <w:rFonts w:hint="eastAsia" w:ascii="方正仿宋_GB2312" w:hAnsi="方正仿宋_GB2312" w:eastAsia="方正仿宋_GB2312" w:cs="方正仿宋_GB2312"/>
          <w:color w:val="auto"/>
          <w:highlight w:val="none"/>
        </w:rPr>
        <w:t>年</w:t>
      </w:r>
      <w:r>
        <w:rPr>
          <w:rFonts w:hint="eastAsia" w:ascii="方正仿宋_GB2312" w:hAnsi="方正仿宋_GB2312" w:eastAsia="方正仿宋_GB2312" w:cs="方正仿宋_GB2312"/>
          <w:color w:val="auto"/>
          <w:highlight w:val="none"/>
          <w:lang w:val="en-US" w:eastAsia="zh-CN"/>
        </w:rPr>
        <w:t>恩平</w:t>
      </w:r>
      <w:r>
        <w:rPr>
          <w:rFonts w:hint="eastAsia" w:ascii="方正仿宋_GB2312" w:hAnsi="方正仿宋_GB2312" w:eastAsia="方正仿宋_GB2312" w:cs="方正仿宋_GB2312"/>
          <w:color w:val="auto"/>
          <w:highlight w:val="none"/>
        </w:rPr>
        <w:t>市主要农作物总需氮需磷量</w:t>
      </w:r>
    </w:p>
    <w:p w14:paraId="651E7A88">
      <w:pPr>
        <w:spacing w:line="300" w:lineRule="exact"/>
        <w:jc w:val="center"/>
        <w:rPr>
          <w:rFonts w:hint="eastAsia" w:ascii="方正仿宋_GB2312" w:hAnsi="方正仿宋_GB2312" w:eastAsia="方正仿宋_GB2312" w:cs="方正仿宋_GB2312"/>
          <w:color w:val="auto"/>
          <w:sz w:val="21"/>
          <w:szCs w:val="21"/>
          <w:highlight w:val="none"/>
        </w:rPr>
      </w:pPr>
    </w:p>
    <w:tbl>
      <w:tblPr>
        <w:tblStyle w:val="21"/>
        <w:tblW w:w="94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65"/>
        <w:gridCol w:w="1730"/>
        <w:gridCol w:w="1730"/>
        <w:gridCol w:w="1434"/>
        <w:gridCol w:w="1356"/>
        <w:gridCol w:w="1386"/>
      </w:tblGrid>
      <w:tr w14:paraId="75872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776" w:type="dxa"/>
            <w:vMerge w:val="restart"/>
            <w:tcBorders>
              <w:top w:val="single" w:color="7E7E7E" w:sz="8" w:space="0"/>
              <w:left w:val="single" w:color="7E7E7E" w:sz="8" w:space="0"/>
              <w:bottom w:val="single" w:color="7E7E7E" w:sz="8" w:space="0"/>
              <w:right w:val="single" w:color="7E7E7E" w:sz="8" w:space="0"/>
            </w:tcBorders>
            <w:shd w:val="clear" w:color="auto" w:fill="auto"/>
            <w:vAlign w:val="center"/>
          </w:tcPr>
          <w:p w14:paraId="02F6428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作物类型</w:t>
            </w:r>
          </w:p>
        </w:tc>
        <w:tc>
          <w:tcPr>
            <w:tcW w:w="1739" w:type="dxa"/>
            <w:tcBorders>
              <w:top w:val="single" w:color="7E7E7E" w:sz="8" w:space="0"/>
              <w:left w:val="single" w:color="7E7E7E" w:sz="8" w:space="0"/>
              <w:bottom w:val="nil"/>
              <w:right w:val="single" w:color="7E7E7E" w:sz="8" w:space="0"/>
            </w:tcBorders>
            <w:shd w:val="clear" w:color="auto" w:fill="auto"/>
            <w:vAlign w:val="center"/>
          </w:tcPr>
          <w:p w14:paraId="63E7B6A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100kg作物产量氮消耗量</w:t>
            </w:r>
          </w:p>
        </w:tc>
        <w:tc>
          <w:tcPr>
            <w:tcW w:w="1739" w:type="dxa"/>
            <w:tcBorders>
              <w:top w:val="single" w:color="7E7E7E" w:sz="8" w:space="0"/>
              <w:left w:val="single" w:color="7E7E7E" w:sz="8" w:space="0"/>
              <w:bottom w:val="nil"/>
              <w:right w:val="single" w:color="7E7E7E" w:sz="8" w:space="0"/>
            </w:tcBorders>
            <w:shd w:val="clear" w:color="auto" w:fill="auto"/>
            <w:vAlign w:val="center"/>
          </w:tcPr>
          <w:p w14:paraId="464DFFA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100kg作物产量磷消耗量</w:t>
            </w:r>
          </w:p>
        </w:tc>
        <w:tc>
          <w:tcPr>
            <w:tcW w:w="1434" w:type="dxa"/>
            <w:tcBorders>
              <w:top w:val="single" w:color="7E7E7E" w:sz="8" w:space="0"/>
              <w:left w:val="single" w:color="7E7E7E" w:sz="8" w:space="0"/>
              <w:bottom w:val="nil"/>
              <w:right w:val="single" w:color="7E7E7E" w:sz="8" w:space="0"/>
            </w:tcBorders>
            <w:shd w:val="clear" w:color="auto" w:fill="auto"/>
            <w:vAlign w:val="center"/>
          </w:tcPr>
          <w:p w14:paraId="3AEA038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2023年作物总产量</w:t>
            </w:r>
          </w:p>
        </w:tc>
        <w:tc>
          <w:tcPr>
            <w:tcW w:w="1356" w:type="dxa"/>
            <w:tcBorders>
              <w:top w:val="single" w:color="7E7E7E" w:sz="8" w:space="0"/>
              <w:left w:val="single" w:color="7E7E7E" w:sz="8" w:space="0"/>
              <w:bottom w:val="nil"/>
              <w:right w:val="single" w:color="7E7E7E" w:sz="8" w:space="0"/>
            </w:tcBorders>
            <w:shd w:val="clear" w:color="auto" w:fill="auto"/>
            <w:vAlign w:val="center"/>
          </w:tcPr>
          <w:p w14:paraId="49642E5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需氮量</w:t>
            </w:r>
          </w:p>
        </w:tc>
        <w:tc>
          <w:tcPr>
            <w:tcW w:w="1357" w:type="dxa"/>
            <w:tcBorders>
              <w:top w:val="single" w:color="7E7E7E" w:sz="8" w:space="0"/>
              <w:left w:val="single" w:color="7E7E7E" w:sz="8" w:space="0"/>
              <w:bottom w:val="nil"/>
              <w:right w:val="single" w:color="7E7E7E" w:sz="8" w:space="0"/>
            </w:tcBorders>
            <w:shd w:val="clear" w:color="auto" w:fill="auto"/>
            <w:vAlign w:val="center"/>
          </w:tcPr>
          <w:p w14:paraId="1167DA8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需磷量</w:t>
            </w:r>
          </w:p>
        </w:tc>
      </w:tr>
      <w:tr w14:paraId="15BE5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776" w:type="dxa"/>
            <w:vMerge w:val="continue"/>
            <w:tcBorders>
              <w:top w:val="single" w:color="7E7E7E" w:sz="8" w:space="0"/>
              <w:left w:val="single" w:color="7E7E7E" w:sz="8" w:space="0"/>
              <w:bottom w:val="single" w:color="7E7E7E" w:sz="8" w:space="0"/>
              <w:right w:val="single" w:color="7E7E7E" w:sz="8" w:space="0"/>
            </w:tcBorders>
            <w:shd w:val="clear" w:color="auto" w:fill="auto"/>
            <w:vAlign w:val="center"/>
          </w:tcPr>
          <w:p w14:paraId="4DA9CC27">
            <w:pPr>
              <w:snapToGrid w:val="0"/>
              <w:ind w:left="0" w:leftChars="0" w:right="0" w:rightChars="0" w:firstLine="0" w:firstLineChars="0"/>
              <w:jc w:val="center"/>
              <w:rPr>
                <w:rFonts w:hint="eastAsia" w:ascii="方正仿宋_GB2312" w:hAnsi="方正仿宋_GB2312" w:eastAsia="方正仿宋_GB2312" w:cs="方正仿宋_GB2312"/>
                <w:b/>
                <w:bCs/>
                <w:i w:val="0"/>
                <w:iCs w:val="0"/>
                <w:color w:val="000000"/>
                <w:sz w:val="24"/>
                <w:szCs w:val="24"/>
                <w:u w:val="none"/>
              </w:rPr>
            </w:pP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2A88CF6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(kg)</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353B71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(kg)</w:t>
            </w:r>
          </w:p>
        </w:tc>
        <w:tc>
          <w:tcPr>
            <w:tcW w:w="1434" w:type="dxa"/>
            <w:tcBorders>
              <w:top w:val="nil"/>
              <w:left w:val="single" w:color="7E7E7E" w:sz="8" w:space="0"/>
              <w:bottom w:val="single" w:color="7E7E7E" w:sz="8" w:space="0"/>
              <w:right w:val="single" w:color="7E7E7E" w:sz="8" w:space="0"/>
            </w:tcBorders>
            <w:shd w:val="clear" w:color="auto" w:fill="auto"/>
            <w:vAlign w:val="center"/>
          </w:tcPr>
          <w:p w14:paraId="70DD639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(t*a</w:t>
            </w:r>
            <w:r>
              <w:rPr>
                <w:rStyle w:val="144"/>
                <w:rFonts w:hint="eastAsia" w:ascii="方正仿宋_GB2312" w:hAnsi="方正仿宋_GB2312" w:eastAsia="方正仿宋_GB2312" w:cs="方正仿宋_GB2312"/>
                <w:b/>
                <w:sz w:val="24"/>
                <w:lang w:val="en-US" w:eastAsia="zh-CN" w:bidi="ar"/>
              </w:rPr>
              <w:t>-1)</w:t>
            </w:r>
          </w:p>
        </w:tc>
        <w:tc>
          <w:tcPr>
            <w:tcW w:w="1356" w:type="dxa"/>
            <w:tcBorders>
              <w:top w:val="nil"/>
              <w:left w:val="single" w:color="7E7E7E" w:sz="8" w:space="0"/>
              <w:bottom w:val="single" w:color="7E7E7E" w:sz="8" w:space="0"/>
              <w:right w:val="single" w:color="7E7E7E" w:sz="8" w:space="0"/>
            </w:tcBorders>
            <w:shd w:val="clear" w:color="auto" w:fill="auto"/>
            <w:vAlign w:val="center"/>
          </w:tcPr>
          <w:p w14:paraId="584C01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(t*a</w:t>
            </w:r>
            <w:r>
              <w:rPr>
                <w:rStyle w:val="144"/>
                <w:rFonts w:hint="eastAsia" w:ascii="方正仿宋_GB2312" w:hAnsi="方正仿宋_GB2312" w:eastAsia="方正仿宋_GB2312" w:cs="方正仿宋_GB2312"/>
                <w:b/>
                <w:sz w:val="24"/>
                <w:lang w:val="en-US" w:eastAsia="zh-CN" w:bidi="ar"/>
              </w:rPr>
              <w:t>-1)</w:t>
            </w:r>
          </w:p>
        </w:tc>
        <w:tc>
          <w:tcPr>
            <w:tcW w:w="1357" w:type="dxa"/>
            <w:tcBorders>
              <w:top w:val="nil"/>
              <w:left w:val="single" w:color="7E7E7E" w:sz="8" w:space="0"/>
              <w:bottom w:val="single" w:color="7E7E7E" w:sz="8" w:space="0"/>
              <w:right w:val="single" w:color="7E7E7E" w:sz="8" w:space="0"/>
            </w:tcBorders>
            <w:shd w:val="clear" w:color="auto" w:fill="auto"/>
            <w:vAlign w:val="center"/>
          </w:tcPr>
          <w:p w14:paraId="2B4364E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(t*a</w:t>
            </w:r>
            <w:r>
              <w:rPr>
                <w:rStyle w:val="144"/>
                <w:rFonts w:hint="eastAsia" w:ascii="方正仿宋_GB2312" w:hAnsi="方正仿宋_GB2312" w:eastAsia="方正仿宋_GB2312" w:cs="方正仿宋_GB2312"/>
                <w:b/>
                <w:sz w:val="24"/>
                <w:lang w:val="en-US" w:eastAsia="zh-CN" w:bidi="ar"/>
              </w:rPr>
              <w:t>-1)</w:t>
            </w:r>
          </w:p>
        </w:tc>
      </w:tr>
      <w:tr w14:paraId="60E4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nil"/>
              <w:left w:val="single" w:color="7E7E7E" w:sz="8" w:space="0"/>
              <w:bottom w:val="single" w:color="7E7E7E" w:sz="8" w:space="0"/>
              <w:right w:val="single" w:color="7E7E7E" w:sz="8" w:space="0"/>
            </w:tcBorders>
            <w:shd w:val="clear" w:color="auto" w:fill="auto"/>
            <w:vAlign w:val="center"/>
          </w:tcPr>
          <w:p w14:paraId="1CB792C1">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水稻</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408726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2.2</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6CDF8E6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0.8</w:t>
            </w:r>
          </w:p>
        </w:tc>
        <w:tc>
          <w:tcPr>
            <w:tcW w:w="1434" w:type="dxa"/>
            <w:tcBorders>
              <w:top w:val="nil"/>
              <w:left w:val="single" w:color="7E7E7E" w:sz="8" w:space="0"/>
              <w:bottom w:val="single" w:color="7E7E7E" w:sz="8" w:space="0"/>
              <w:right w:val="single" w:color="7E7E7E" w:sz="8" w:space="0"/>
            </w:tcBorders>
            <w:shd w:val="clear" w:color="auto" w:fill="auto"/>
            <w:noWrap/>
            <w:vAlign w:val="center"/>
          </w:tcPr>
          <w:p w14:paraId="4B4F216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143489</w:t>
            </w:r>
          </w:p>
        </w:tc>
        <w:tc>
          <w:tcPr>
            <w:tcW w:w="1356" w:type="dxa"/>
            <w:tcBorders>
              <w:top w:val="nil"/>
              <w:left w:val="single" w:color="7E7E7E" w:sz="8" w:space="0"/>
              <w:bottom w:val="single" w:color="7E7E7E" w:sz="8" w:space="0"/>
              <w:right w:val="single" w:color="7E7E7E" w:sz="8" w:space="0"/>
            </w:tcBorders>
            <w:shd w:val="clear" w:color="auto" w:fill="auto"/>
            <w:noWrap/>
            <w:vAlign w:val="center"/>
          </w:tcPr>
          <w:p w14:paraId="7B099CA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3156.758</w:t>
            </w:r>
          </w:p>
        </w:tc>
        <w:tc>
          <w:tcPr>
            <w:tcW w:w="1357" w:type="dxa"/>
            <w:tcBorders>
              <w:top w:val="nil"/>
              <w:left w:val="single" w:color="7E7E7E" w:sz="8" w:space="0"/>
              <w:bottom w:val="single" w:color="7E7E7E" w:sz="8" w:space="0"/>
              <w:right w:val="single" w:color="7E7E7E" w:sz="8" w:space="0"/>
            </w:tcBorders>
            <w:shd w:val="clear" w:color="auto" w:fill="auto"/>
            <w:noWrap/>
            <w:vAlign w:val="center"/>
          </w:tcPr>
          <w:p w14:paraId="455C99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1147.912</w:t>
            </w:r>
          </w:p>
        </w:tc>
      </w:tr>
      <w:tr w14:paraId="7478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nil"/>
              <w:left w:val="single" w:color="7E7E7E" w:sz="8" w:space="0"/>
              <w:bottom w:val="single" w:color="7E7E7E" w:sz="8" w:space="0"/>
              <w:right w:val="single" w:color="7E7E7E" w:sz="8" w:space="0"/>
            </w:tcBorders>
            <w:shd w:val="clear" w:color="auto" w:fill="auto"/>
            <w:vAlign w:val="center"/>
          </w:tcPr>
          <w:p w14:paraId="5C87F0A7">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薯类</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0BB54D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0.5</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3676884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0.088</w:t>
            </w:r>
          </w:p>
        </w:tc>
        <w:tc>
          <w:tcPr>
            <w:tcW w:w="1434" w:type="dxa"/>
            <w:tcBorders>
              <w:top w:val="nil"/>
              <w:left w:val="single" w:color="7E7E7E" w:sz="8" w:space="0"/>
              <w:bottom w:val="single" w:color="7E7E7E" w:sz="8" w:space="0"/>
              <w:right w:val="single" w:color="7E7E7E" w:sz="8" w:space="0"/>
            </w:tcBorders>
            <w:shd w:val="clear" w:color="auto" w:fill="auto"/>
            <w:noWrap/>
            <w:vAlign w:val="center"/>
          </w:tcPr>
          <w:p w14:paraId="1C6867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52767</w:t>
            </w:r>
          </w:p>
        </w:tc>
        <w:tc>
          <w:tcPr>
            <w:tcW w:w="1356" w:type="dxa"/>
            <w:tcBorders>
              <w:top w:val="nil"/>
              <w:left w:val="single" w:color="7E7E7E" w:sz="8" w:space="0"/>
              <w:bottom w:val="single" w:color="7E7E7E" w:sz="8" w:space="0"/>
              <w:right w:val="single" w:color="7E7E7E" w:sz="8" w:space="0"/>
            </w:tcBorders>
            <w:shd w:val="clear" w:color="auto" w:fill="auto"/>
            <w:noWrap/>
            <w:vAlign w:val="center"/>
          </w:tcPr>
          <w:p w14:paraId="77D7E8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263.835</w:t>
            </w:r>
          </w:p>
        </w:tc>
        <w:tc>
          <w:tcPr>
            <w:tcW w:w="1357" w:type="dxa"/>
            <w:tcBorders>
              <w:top w:val="nil"/>
              <w:left w:val="single" w:color="7E7E7E" w:sz="8" w:space="0"/>
              <w:bottom w:val="single" w:color="7E7E7E" w:sz="8" w:space="0"/>
              <w:right w:val="single" w:color="7E7E7E" w:sz="8" w:space="0"/>
            </w:tcBorders>
            <w:shd w:val="clear" w:color="auto" w:fill="auto"/>
            <w:noWrap/>
            <w:vAlign w:val="center"/>
          </w:tcPr>
          <w:p w14:paraId="215E0A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46.43496</w:t>
            </w:r>
          </w:p>
        </w:tc>
      </w:tr>
      <w:tr w14:paraId="27D6B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nil"/>
              <w:left w:val="single" w:color="7E7E7E" w:sz="8" w:space="0"/>
              <w:bottom w:val="single" w:color="7E7E7E" w:sz="8" w:space="0"/>
              <w:right w:val="single" w:color="7E7E7E" w:sz="8" w:space="0"/>
            </w:tcBorders>
            <w:shd w:val="clear" w:color="auto" w:fill="auto"/>
            <w:vAlign w:val="center"/>
          </w:tcPr>
          <w:p w14:paraId="47E6A66A">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玉米</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77EB36C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2.3</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2CB175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0.3</w:t>
            </w:r>
          </w:p>
        </w:tc>
        <w:tc>
          <w:tcPr>
            <w:tcW w:w="1434" w:type="dxa"/>
            <w:tcBorders>
              <w:top w:val="nil"/>
              <w:left w:val="single" w:color="7E7E7E" w:sz="8" w:space="0"/>
              <w:bottom w:val="single" w:color="7E7E7E" w:sz="8" w:space="0"/>
              <w:right w:val="single" w:color="7E7E7E" w:sz="8" w:space="0"/>
            </w:tcBorders>
            <w:shd w:val="clear" w:color="auto" w:fill="auto"/>
            <w:noWrap/>
            <w:vAlign w:val="center"/>
          </w:tcPr>
          <w:p w14:paraId="393ECEE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424</w:t>
            </w:r>
          </w:p>
        </w:tc>
        <w:tc>
          <w:tcPr>
            <w:tcW w:w="1356" w:type="dxa"/>
            <w:tcBorders>
              <w:top w:val="nil"/>
              <w:left w:val="single" w:color="7E7E7E" w:sz="8" w:space="0"/>
              <w:bottom w:val="single" w:color="7E7E7E" w:sz="8" w:space="0"/>
              <w:right w:val="single" w:color="7E7E7E" w:sz="8" w:space="0"/>
            </w:tcBorders>
            <w:shd w:val="clear" w:color="auto" w:fill="auto"/>
            <w:noWrap/>
            <w:vAlign w:val="center"/>
          </w:tcPr>
          <w:p w14:paraId="5F71A3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9.752</w:t>
            </w:r>
          </w:p>
        </w:tc>
        <w:tc>
          <w:tcPr>
            <w:tcW w:w="1357" w:type="dxa"/>
            <w:tcBorders>
              <w:top w:val="nil"/>
              <w:left w:val="single" w:color="7E7E7E" w:sz="8" w:space="0"/>
              <w:bottom w:val="single" w:color="7E7E7E" w:sz="8" w:space="0"/>
              <w:right w:val="single" w:color="7E7E7E" w:sz="8" w:space="0"/>
            </w:tcBorders>
            <w:shd w:val="clear" w:color="auto" w:fill="auto"/>
            <w:noWrap/>
            <w:vAlign w:val="center"/>
          </w:tcPr>
          <w:p w14:paraId="332CD3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1.272</w:t>
            </w:r>
          </w:p>
        </w:tc>
      </w:tr>
      <w:tr w14:paraId="0CE1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nil"/>
              <w:left w:val="single" w:color="7E7E7E" w:sz="8" w:space="0"/>
              <w:bottom w:val="single" w:color="7E7E7E" w:sz="8" w:space="0"/>
              <w:right w:val="single" w:color="7E7E7E" w:sz="8" w:space="0"/>
            </w:tcBorders>
            <w:shd w:val="clear" w:color="auto" w:fill="auto"/>
            <w:vAlign w:val="center"/>
          </w:tcPr>
          <w:p w14:paraId="632CABE2">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大豆</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26B5C6A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7.2</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7220D30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0.748</w:t>
            </w:r>
          </w:p>
        </w:tc>
        <w:tc>
          <w:tcPr>
            <w:tcW w:w="1434" w:type="dxa"/>
            <w:tcBorders>
              <w:top w:val="nil"/>
              <w:left w:val="single" w:color="7E7E7E" w:sz="8" w:space="0"/>
              <w:bottom w:val="single" w:color="7E7E7E" w:sz="8" w:space="0"/>
              <w:right w:val="single" w:color="7E7E7E" w:sz="8" w:space="0"/>
            </w:tcBorders>
            <w:shd w:val="clear" w:color="auto" w:fill="auto"/>
            <w:noWrap/>
            <w:vAlign w:val="center"/>
          </w:tcPr>
          <w:p w14:paraId="758E99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351</w:t>
            </w:r>
          </w:p>
        </w:tc>
        <w:tc>
          <w:tcPr>
            <w:tcW w:w="1356" w:type="dxa"/>
            <w:tcBorders>
              <w:top w:val="nil"/>
              <w:left w:val="single" w:color="7E7E7E" w:sz="8" w:space="0"/>
              <w:bottom w:val="single" w:color="7E7E7E" w:sz="8" w:space="0"/>
              <w:right w:val="single" w:color="7E7E7E" w:sz="8" w:space="0"/>
            </w:tcBorders>
            <w:shd w:val="clear" w:color="auto" w:fill="auto"/>
            <w:noWrap/>
            <w:vAlign w:val="center"/>
          </w:tcPr>
          <w:p w14:paraId="3B9BE9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25.272</w:t>
            </w:r>
          </w:p>
        </w:tc>
        <w:tc>
          <w:tcPr>
            <w:tcW w:w="1357" w:type="dxa"/>
            <w:tcBorders>
              <w:top w:val="nil"/>
              <w:left w:val="single" w:color="7E7E7E" w:sz="8" w:space="0"/>
              <w:bottom w:val="single" w:color="7E7E7E" w:sz="8" w:space="0"/>
              <w:right w:val="single" w:color="7E7E7E" w:sz="8" w:space="0"/>
            </w:tcBorders>
            <w:shd w:val="clear" w:color="auto" w:fill="auto"/>
            <w:noWrap/>
            <w:vAlign w:val="center"/>
          </w:tcPr>
          <w:p w14:paraId="09FC9D4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2.62548</w:t>
            </w:r>
          </w:p>
        </w:tc>
      </w:tr>
      <w:tr w14:paraId="348A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nil"/>
              <w:left w:val="single" w:color="7E7E7E" w:sz="8" w:space="0"/>
              <w:bottom w:val="single" w:color="7E7E7E" w:sz="8" w:space="0"/>
              <w:right w:val="single" w:color="7E7E7E" w:sz="8" w:space="0"/>
            </w:tcBorders>
            <w:shd w:val="clear" w:color="auto" w:fill="auto"/>
            <w:vAlign w:val="center"/>
          </w:tcPr>
          <w:p w14:paraId="268648B5">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甘蔗</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49C4630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0.18</w:t>
            </w:r>
          </w:p>
        </w:tc>
        <w:tc>
          <w:tcPr>
            <w:tcW w:w="1739" w:type="dxa"/>
            <w:tcBorders>
              <w:top w:val="nil"/>
              <w:left w:val="single" w:color="7E7E7E" w:sz="8" w:space="0"/>
              <w:bottom w:val="single" w:color="7E7E7E" w:sz="8" w:space="0"/>
              <w:right w:val="single" w:color="7E7E7E" w:sz="8" w:space="0"/>
            </w:tcBorders>
            <w:shd w:val="clear" w:color="auto" w:fill="auto"/>
            <w:vAlign w:val="center"/>
          </w:tcPr>
          <w:p w14:paraId="0527127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0.016</w:t>
            </w:r>
          </w:p>
        </w:tc>
        <w:tc>
          <w:tcPr>
            <w:tcW w:w="1434" w:type="dxa"/>
            <w:tcBorders>
              <w:top w:val="nil"/>
              <w:left w:val="single" w:color="7E7E7E" w:sz="8" w:space="0"/>
              <w:bottom w:val="single" w:color="7E7E7E" w:sz="8" w:space="0"/>
              <w:right w:val="single" w:color="7E7E7E" w:sz="8" w:space="0"/>
            </w:tcBorders>
            <w:shd w:val="clear" w:color="auto" w:fill="auto"/>
            <w:noWrap/>
            <w:vAlign w:val="center"/>
          </w:tcPr>
          <w:p w14:paraId="0CB2AD93">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84448</w:t>
            </w:r>
          </w:p>
        </w:tc>
        <w:tc>
          <w:tcPr>
            <w:tcW w:w="1356" w:type="dxa"/>
            <w:tcBorders>
              <w:top w:val="nil"/>
              <w:left w:val="single" w:color="7E7E7E" w:sz="8" w:space="0"/>
              <w:bottom w:val="single" w:color="7E7E7E" w:sz="8" w:space="0"/>
              <w:right w:val="single" w:color="7E7E7E" w:sz="8" w:space="0"/>
            </w:tcBorders>
            <w:shd w:val="clear" w:color="auto" w:fill="auto"/>
            <w:noWrap/>
            <w:vAlign w:val="center"/>
          </w:tcPr>
          <w:p w14:paraId="16A304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152.0064</w:t>
            </w:r>
          </w:p>
        </w:tc>
        <w:tc>
          <w:tcPr>
            <w:tcW w:w="1357" w:type="dxa"/>
            <w:tcBorders>
              <w:top w:val="nil"/>
              <w:left w:val="single" w:color="7E7E7E" w:sz="8" w:space="0"/>
              <w:bottom w:val="single" w:color="7E7E7E" w:sz="8" w:space="0"/>
              <w:right w:val="single" w:color="7E7E7E" w:sz="8" w:space="0"/>
            </w:tcBorders>
            <w:shd w:val="clear" w:color="auto" w:fill="auto"/>
            <w:noWrap/>
            <w:vAlign w:val="center"/>
          </w:tcPr>
          <w:p w14:paraId="2DE5948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13.51168</w:t>
            </w:r>
          </w:p>
        </w:tc>
      </w:tr>
      <w:tr w14:paraId="281C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41173290">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油料作物</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50FEF8E7">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7.19</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1127AE8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0.887</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6784C330">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7962</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3545E1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572.4678</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76D1B6A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70.62294</w:t>
            </w:r>
          </w:p>
        </w:tc>
      </w:tr>
      <w:tr w14:paraId="3FEFD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3687EFEC">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蔬菜、瓜菜类</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6542C7E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0.3</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447B15E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0.2</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5EC465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220887</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18BCE8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662.661</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05E84A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441.774</w:t>
            </w:r>
          </w:p>
        </w:tc>
      </w:tr>
      <w:tr w14:paraId="7A27D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1FE7B4C1">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柑、桔、橙</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18C66CF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0.6</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333FCAC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0.11</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6166DC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26172</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0B4389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157.032</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6DA46DA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28.7892</w:t>
            </w:r>
          </w:p>
        </w:tc>
      </w:tr>
      <w:tr w14:paraId="3FB8A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6D13E140">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香（大）蕉</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5BCF24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0.73</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35A07B9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0.216</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0F133F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14897</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395FD3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108.7481</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7627A3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32.17752</w:t>
            </w:r>
          </w:p>
        </w:tc>
      </w:tr>
      <w:tr w14:paraId="4112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2E91CCF8">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其他园林水果</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579129BE">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0.59</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47DE31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0.11</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79D8E2E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15628</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660291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92.2052</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59EC36EC">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17.1908</w:t>
            </w:r>
          </w:p>
        </w:tc>
      </w:tr>
      <w:tr w14:paraId="0DBD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4BD712C4">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桉树</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7A66927B">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3.3kg/m³</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048A836A">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3.3kg/m³</w:t>
            </w: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43A5BA4D">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1912476m³</w:t>
            </w: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2901D02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6311.17</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682402EF">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6311.17</w:t>
            </w:r>
          </w:p>
        </w:tc>
      </w:tr>
      <w:tr w14:paraId="0729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76" w:type="dxa"/>
            <w:tcBorders>
              <w:top w:val="single" w:color="7E7E7E" w:sz="8" w:space="0"/>
              <w:left w:val="single" w:color="7E7E7E" w:sz="8" w:space="0"/>
              <w:bottom w:val="single" w:color="7E7E7E" w:sz="8" w:space="0"/>
              <w:right w:val="single" w:color="7E7E7E" w:sz="8" w:space="0"/>
            </w:tcBorders>
            <w:shd w:val="clear" w:color="auto" w:fill="auto"/>
            <w:vAlign w:val="center"/>
          </w:tcPr>
          <w:p w14:paraId="75CF10EC">
            <w:pPr>
              <w:keepNext w:val="0"/>
              <w:keepLines w:val="0"/>
              <w:widowControl/>
              <w:suppressLineNumbers w:val="0"/>
              <w:snapToGrid w:val="0"/>
              <w:spacing w:line="240" w:lineRule="auto"/>
              <w:ind w:left="0" w:leftChars="0" w:right="0" w:rightChars="0" w:firstLine="0" w:firstLineChars="0"/>
              <w:jc w:val="left"/>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r>
              <w:rPr>
                <w:rFonts w:hint="eastAsia" w:ascii="方正仿宋_GB2312" w:hAnsi="方正仿宋_GB2312" w:eastAsia="方正仿宋_GB2312" w:cs="方正仿宋_GB2312"/>
                <w:b/>
                <w:i w:val="0"/>
                <w:iCs w:val="0"/>
                <w:color w:val="000000"/>
                <w:kern w:val="0"/>
                <w:sz w:val="24"/>
                <w:szCs w:val="24"/>
                <w:u w:val="none"/>
                <w:lang w:val="en-US" w:eastAsia="zh-CN" w:bidi="ar"/>
              </w:rPr>
              <w:t>合计</w:t>
            </w: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7DCF9ED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p>
        </w:tc>
        <w:tc>
          <w:tcPr>
            <w:tcW w:w="1739" w:type="dxa"/>
            <w:tcBorders>
              <w:top w:val="single" w:color="7E7E7E" w:sz="8" w:space="0"/>
              <w:left w:val="single" w:color="7E7E7E" w:sz="8" w:space="0"/>
              <w:bottom w:val="single" w:color="7E7E7E" w:sz="8" w:space="0"/>
              <w:right w:val="single" w:color="7E7E7E" w:sz="8" w:space="0"/>
            </w:tcBorders>
            <w:shd w:val="clear" w:color="auto" w:fill="auto"/>
            <w:vAlign w:val="center"/>
          </w:tcPr>
          <w:p w14:paraId="6335A178">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p>
        </w:tc>
        <w:tc>
          <w:tcPr>
            <w:tcW w:w="1434"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450122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p>
        </w:tc>
        <w:tc>
          <w:tcPr>
            <w:tcW w:w="1356"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2FDBFE96">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r>
              <w:rPr>
                <w:rFonts w:hint="eastAsia" w:ascii="方正仿宋_GB2312" w:hAnsi="方正仿宋_GB2312" w:eastAsia="方正仿宋_GB2312" w:cs="方正仿宋_GB2312"/>
                <w:b/>
                <w:i w:val="0"/>
                <w:iCs w:val="0"/>
                <w:color w:val="000000"/>
                <w:kern w:val="0"/>
                <w:sz w:val="24"/>
                <w:szCs w:val="24"/>
                <w:u w:val="none"/>
                <w:lang w:val="en-US" w:eastAsia="zh-CN" w:bidi="ar"/>
              </w:rPr>
              <w:t>11511.9075</w:t>
            </w:r>
          </w:p>
        </w:tc>
        <w:tc>
          <w:tcPr>
            <w:tcW w:w="1357" w:type="dxa"/>
            <w:tcBorders>
              <w:top w:val="single" w:color="7E7E7E" w:sz="8" w:space="0"/>
              <w:left w:val="single" w:color="7E7E7E" w:sz="8" w:space="0"/>
              <w:bottom w:val="single" w:color="7E7E7E" w:sz="8" w:space="0"/>
              <w:right w:val="single" w:color="7E7E7E" w:sz="8" w:space="0"/>
            </w:tcBorders>
            <w:shd w:val="clear" w:color="auto" w:fill="auto"/>
            <w:noWrap/>
            <w:vAlign w:val="center"/>
          </w:tcPr>
          <w:p w14:paraId="42693759">
            <w:pPr>
              <w:keepNext w:val="0"/>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r>
              <w:rPr>
                <w:rFonts w:hint="eastAsia" w:ascii="方正仿宋_GB2312" w:hAnsi="方正仿宋_GB2312" w:eastAsia="方正仿宋_GB2312" w:cs="方正仿宋_GB2312"/>
                <w:b/>
                <w:i w:val="0"/>
                <w:iCs w:val="0"/>
                <w:color w:val="000000"/>
                <w:kern w:val="0"/>
                <w:sz w:val="24"/>
                <w:szCs w:val="24"/>
                <w:u w:val="none"/>
                <w:lang w:val="en-US" w:eastAsia="zh-CN" w:bidi="ar"/>
              </w:rPr>
              <w:t>8113.48058</w:t>
            </w:r>
          </w:p>
        </w:tc>
      </w:tr>
    </w:tbl>
    <w:p w14:paraId="54151B8D">
      <w:pPr>
        <w:spacing w:line="300" w:lineRule="exact"/>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rPr>
        <w:t>注：表格中每100kg作物产量氮磷消耗量数据来源于《畜禽粪污土地承载力测算技术指南》；作物总产量数据来源于《202</w:t>
      </w:r>
      <w:r>
        <w:rPr>
          <w:rFonts w:hint="eastAsia" w:ascii="方正仿宋_GB2312" w:hAnsi="方正仿宋_GB2312" w:eastAsia="方正仿宋_GB2312" w:cs="方正仿宋_GB2312"/>
          <w:color w:val="auto"/>
          <w:sz w:val="21"/>
          <w:szCs w:val="21"/>
          <w:highlight w:val="none"/>
          <w:lang w:val="en-US" w:eastAsia="zh-CN"/>
        </w:rPr>
        <w:t>4</w:t>
      </w:r>
      <w:r>
        <w:rPr>
          <w:rFonts w:hint="eastAsia" w:ascii="方正仿宋_GB2312" w:hAnsi="方正仿宋_GB2312" w:eastAsia="方正仿宋_GB2312" w:cs="方正仿宋_GB2312"/>
          <w:color w:val="auto"/>
          <w:sz w:val="21"/>
          <w:szCs w:val="21"/>
          <w:highlight w:val="none"/>
        </w:rPr>
        <w:t>年江门市统计年鉴》。桉树林面积数据引自《江门市种养循环发展规划（2019-2025 年）》</w:t>
      </w:r>
      <w:r>
        <w:rPr>
          <w:rFonts w:hint="eastAsia" w:ascii="方正仿宋_GB2312" w:hAnsi="方正仿宋_GB2312" w:eastAsia="方正仿宋_GB2312" w:cs="方正仿宋_GB2312"/>
          <w:color w:val="auto"/>
          <w:sz w:val="21"/>
          <w:szCs w:val="21"/>
          <w:highlight w:val="none"/>
          <w:lang w:eastAsia="zh-CN"/>
        </w:rPr>
        <w:t>、恩平市畜牧业发展规划和种养循环发展规划（2020—2025年）</w:t>
      </w:r>
    </w:p>
    <w:p w14:paraId="58AA4930">
      <w:pPr>
        <w:pStyle w:val="20"/>
        <w:spacing w:line="360" w:lineRule="auto"/>
        <w:ind w:left="0" w:leftChars="0" w:firstLine="640" w:firstLineChars="200"/>
        <w:rPr>
          <w:rFonts w:hint="eastAsia" w:ascii="方正仿宋_GB2312" w:hAnsi="方正仿宋_GB2312" w:eastAsia="方正仿宋_GB2312" w:cs="方正仿宋_GB2312"/>
          <w:color w:val="auto"/>
          <w:kern w:val="2"/>
          <w:sz w:val="32"/>
          <w:szCs w:val="21"/>
          <w:highlight w:val="none"/>
          <w:lang w:val="en-US" w:eastAsia="zh-CN" w:bidi="ar-SA"/>
        </w:rPr>
      </w:pPr>
    </w:p>
    <w:p w14:paraId="4EF8D097">
      <w:pPr>
        <w:pStyle w:val="20"/>
        <w:spacing w:line="360" w:lineRule="auto"/>
        <w:ind w:left="0" w:leftChars="0" w:firstLine="640" w:firstLineChars="200"/>
        <w:rPr>
          <w:rFonts w:hint="eastAsia" w:ascii="方正仿宋_GB2312" w:hAnsi="方正仿宋_GB2312" w:eastAsia="方正仿宋_GB2312" w:cs="方正仿宋_GB2312"/>
          <w:color w:val="auto"/>
          <w:kern w:val="2"/>
          <w:sz w:val="32"/>
          <w:szCs w:val="21"/>
          <w:highlight w:val="none"/>
          <w:lang w:val="en-US" w:eastAsia="zh-CN" w:bidi="ar-SA"/>
        </w:rPr>
      </w:pPr>
    </w:p>
    <w:p w14:paraId="25FE675D">
      <w:pPr>
        <w:pStyle w:val="20"/>
        <w:spacing w:line="360" w:lineRule="auto"/>
        <w:ind w:left="0" w:leftChars="0" w:firstLine="640" w:firstLineChars="200"/>
        <w:rPr>
          <w:rFonts w:hint="eastAsia" w:ascii="方正仿宋_GB2312" w:hAnsi="方正仿宋_GB2312" w:eastAsia="方正仿宋_GB2312" w:cs="方正仿宋_GB2312"/>
          <w:color w:val="auto"/>
          <w:kern w:val="2"/>
          <w:sz w:val="32"/>
          <w:szCs w:val="21"/>
          <w:highlight w:val="none"/>
          <w:lang w:val="en-US" w:eastAsia="zh-CN" w:bidi="ar-SA"/>
        </w:rPr>
      </w:pPr>
    </w:p>
    <w:p w14:paraId="616966B5">
      <w:pPr>
        <w:rPr>
          <w:rFonts w:hint="eastAsia"/>
          <w:lang w:val="en-US" w:eastAsia="zh-CN"/>
        </w:rPr>
      </w:pPr>
    </w:p>
    <w:p w14:paraId="2DD9FBB8">
      <w:pPr>
        <w:pStyle w:val="20"/>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textAlignment w:val="auto"/>
        <w:rPr>
          <w:rFonts w:hint="eastAsia" w:ascii="方正仿宋_GB2312" w:hAnsi="方正仿宋_GB2312" w:eastAsia="方正仿宋_GB2312" w:cs="方正仿宋_GB2312"/>
          <w:color w:val="auto"/>
          <w:kern w:val="2"/>
          <w:sz w:val="32"/>
          <w:szCs w:val="21"/>
          <w:highlight w:val="none"/>
          <w:lang w:val="en-US" w:eastAsia="zh-CN" w:bidi="ar-SA"/>
        </w:rPr>
      </w:pPr>
      <w:r>
        <w:rPr>
          <w:rFonts w:hint="eastAsia" w:ascii="方正仿宋_GB2312" w:hAnsi="方正仿宋_GB2312" w:eastAsia="方正仿宋_GB2312" w:cs="方正仿宋_GB2312"/>
          <w:color w:val="auto"/>
          <w:kern w:val="2"/>
          <w:sz w:val="32"/>
          <w:szCs w:val="21"/>
          <w:highlight w:val="none"/>
          <w:lang w:val="en-US" w:eastAsia="zh-CN" w:bidi="ar-SA"/>
        </w:rPr>
        <w:t>为了便于对比分析，综合考虑有机肥施用现状，本规划也选取不同的有机肥施用比例进行计算。通过计算，得出不同粪肥利用比例全市植物粪肥养分需求量，如下表所示：</w:t>
      </w:r>
    </w:p>
    <w:p w14:paraId="2CA54DD3">
      <w:pPr>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color w:val="auto"/>
          <w:highlight w:val="none"/>
        </w:rPr>
        <w:t>表</w:t>
      </w:r>
      <w:r>
        <w:rPr>
          <w:rFonts w:hint="eastAsia" w:ascii="方正仿宋_GB2312" w:hAnsi="方正仿宋_GB2312" w:eastAsia="方正仿宋_GB2312" w:cs="方正仿宋_GB2312"/>
          <w:color w:val="auto"/>
          <w:highlight w:val="none"/>
          <w:lang w:val="en-US" w:eastAsia="zh-CN"/>
        </w:rPr>
        <w:t xml:space="preserve">18  </w:t>
      </w:r>
      <w:r>
        <w:rPr>
          <w:rFonts w:hint="eastAsia" w:ascii="方正仿宋_GB2312" w:hAnsi="方正仿宋_GB2312" w:eastAsia="方正仿宋_GB2312" w:cs="方正仿宋_GB2312"/>
          <w:color w:val="auto"/>
          <w:highlight w:val="none"/>
        </w:rPr>
        <w:t>全市植物粪肥养分需求量</w:t>
      </w:r>
    </w:p>
    <w:tbl>
      <w:tblPr>
        <w:tblStyle w:val="21"/>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44"/>
        <w:gridCol w:w="3308"/>
        <w:gridCol w:w="3308"/>
      </w:tblGrid>
      <w:tr w14:paraId="6885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444"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2CF53F">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4"/>
                <w:szCs w:val="24"/>
                <w:u w:val="none"/>
              </w:rPr>
            </w:pPr>
            <w:bookmarkStart w:id="43" w:name="_Toc26014"/>
            <w:bookmarkStart w:id="44" w:name="_Toc3828"/>
            <w:bookmarkStart w:id="45" w:name="_Toc10813"/>
            <w:r>
              <w:rPr>
                <w:rFonts w:hint="eastAsia" w:ascii="方正仿宋_GB2312" w:hAnsi="方正仿宋_GB2312" w:eastAsia="方正仿宋_GB2312" w:cs="方正仿宋_GB2312"/>
                <w:b/>
                <w:i w:val="0"/>
                <w:iCs w:val="0"/>
                <w:color w:val="000000"/>
                <w:kern w:val="0"/>
                <w:sz w:val="24"/>
                <w:szCs w:val="24"/>
                <w:u w:val="none"/>
                <w:lang w:val="en-US" w:eastAsia="zh-CN" w:bidi="ar"/>
              </w:rPr>
              <w:t>粪肥占施肥比例（%）</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F3993F">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4"/>
                <w:szCs w:val="24"/>
                <w:u w:val="none"/>
              </w:rPr>
            </w:pPr>
            <w:r>
              <w:rPr>
                <w:rFonts w:hint="eastAsia" w:ascii="方正仿宋_GB2312" w:hAnsi="方正仿宋_GB2312" w:eastAsia="方正仿宋_GB2312" w:cs="方正仿宋_GB2312"/>
                <w:b/>
                <w:i w:val="0"/>
                <w:iCs w:val="0"/>
                <w:color w:val="000000"/>
                <w:kern w:val="0"/>
                <w:sz w:val="24"/>
                <w:szCs w:val="24"/>
                <w:u w:val="none"/>
                <w:lang w:val="en-US" w:eastAsia="zh-CN" w:bidi="ar"/>
              </w:rPr>
              <w:t>全市植物类肥养分需求量（千克）</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11D2F0">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4"/>
                <w:szCs w:val="24"/>
                <w:u w:val="none"/>
              </w:rPr>
            </w:pPr>
            <w:r>
              <w:rPr>
                <w:rFonts w:hint="eastAsia" w:ascii="方正仿宋_GB2312" w:hAnsi="方正仿宋_GB2312" w:eastAsia="方正仿宋_GB2312" w:cs="方正仿宋_GB2312"/>
                <w:b/>
                <w:i w:val="0"/>
                <w:iCs w:val="0"/>
                <w:color w:val="000000"/>
                <w:kern w:val="0"/>
                <w:sz w:val="24"/>
                <w:szCs w:val="24"/>
                <w:u w:val="none"/>
                <w:lang w:val="en-US" w:eastAsia="zh-CN" w:bidi="ar"/>
              </w:rPr>
              <w:t>全市植物类肥养分需求量（千克）</w:t>
            </w:r>
          </w:p>
        </w:tc>
      </w:tr>
      <w:tr w14:paraId="5183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44"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7EAE3C">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6030BD">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r>
              <w:rPr>
                <w:rFonts w:hint="eastAsia" w:ascii="方正仿宋_GB2312" w:hAnsi="方正仿宋_GB2312" w:eastAsia="方正仿宋_GB2312" w:cs="方正仿宋_GB2312"/>
                <w:b/>
                <w:i w:val="0"/>
                <w:iCs w:val="0"/>
                <w:color w:val="000000"/>
                <w:kern w:val="0"/>
                <w:sz w:val="24"/>
                <w:szCs w:val="24"/>
                <w:u w:val="none"/>
                <w:lang w:val="en-US" w:eastAsia="zh-CN" w:bidi="ar"/>
              </w:rPr>
              <w:t>－以氮为基础</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367A2A">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kern w:val="0"/>
                <w:sz w:val="24"/>
                <w:szCs w:val="24"/>
                <w:u w:val="none"/>
                <w:lang w:val="en-US" w:eastAsia="zh-CN" w:bidi="ar"/>
              </w:rPr>
            </w:pPr>
            <w:r>
              <w:rPr>
                <w:rFonts w:hint="eastAsia" w:ascii="方正仿宋_GB2312" w:hAnsi="方正仿宋_GB2312" w:eastAsia="方正仿宋_GB2312" w:cs="方正仿宋_GB2312"/>
                <w:b/>
                <w:i w:val="0"/>
                <w:iCs w:val="0"/>
                <w:color w:val="000000"/>
                <w:kern w:val="0"/>
                <w:sz w:val="24"/>
                <w:szCs w:val="24"/>
                <w:u w:val="none"/>
                <w:lang w:val="en-US" w:eastAsia="zh-CN" w:bidi="ar"/>
              </w:rPr>
              <w:t>－以磷为基础</w:t>
            </w:r>
          </w:p>
        </w:tc>
      </w:tr>
      <w:tr w14:paraId="2BA8C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2409C1">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8130C8">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2,686,111.75</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72D2A3">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3,013,578.50</w:t>
            </w:r>
          </w:p>
        </w:tc>
      </w:tr>
      <w:tr w14:paraId="5D1BB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1DA0D8">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9D183A0">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4,029,167.63</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9D8C4A">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4,520,367.75</w:t>
            </w:r>
          </w:p>
        </w:tc>
      </w:tr>
      <w:tr w14:paraId="534F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CE797BC">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F7E5CE">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5,372,223.50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665A17">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6,027,157.00</w:t>
            </w:r>
          </w:p>
        </w:tc>
      </w:tr>
      <w:tr w14:paraId="6445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159B87">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2F4218">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6,715,279.38</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9FE0FD">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7,533,946.25</w:t>
            </w:r>
          </w:p>
        </w:tc>
      </w:tr>
      <w:tr w14:paraId="4F628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E6296D">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5A8267">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8,058,335.25</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09487F">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9,040,735.50</w:t>
            </w:r>
          </w:p>
        </w:tc>
      </w:tr>
      <w:tr w14:paraId="426AA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EAEF5A">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75%</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171A1D">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10,072,919.06</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A50251">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11,300,919.38</w:t>
            </w:r>
          </w:p>
        </w:tc>
      </w:tr>
      <w:tr w14:paraId="6885C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CCCD30">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100%</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737580">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13,430,558.75</w:t>
            </w:r>
          </w:p>
        </w:tc>
        <w:tc>
          <w:tcPr>
            <w:tcW w:w="330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09614B">
            <w:pPr>
              <w:keepNext/>
              <w:keepLines w:val="0"/>
              <w:widowControl/>
              <w:suppressLineNumbers w:val="0"/>
              <w:snapToGrid w:val="0"/>
              <w:spacing w:line="240" w:lineRule="auto"/>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15,067,892.51</w:t>
            </w:r>
          </w:p>
        </w:tc>
      </w:tr>
    </w:tbl>
    <w:p w14:paraId="73A7A7BF">
      <w:pPr>
        <w:spacing w:line="560" w:lineRule="exact"/>
        <w:ind w:firstLine="640" w:firstLineChars="200"/>
        <w:jc w:val="left"/>
        <w:outlineLvl w:val="9"/>
        <w:rPr>
          <w:rFonts w:hint="eastAsia" w:ascii="方正仿宋_GB2312" w:hAnsi="方正仿宋_GB2312" w:eastAsia="方正仿宋_GB2312" w:cs="方正仿宋_GB2312"/>
          <w:color w:val="auto"/>
          <w:highlight w:val="none"/>
        </w:rPr>
      </w:pPr>
    </w:p>
    <w:bookmarkEnd w:id="43"/>
    <w:bookmarkEnd w:id="44"/>
    <w:bookmarkEnd w:id="45"/>
    <w:p w14:paraId="0192CC67">
      <w:pPr>
        <w:ind w:firstLine="640" w:firstLineChars="200"/>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highlight w:val="none"/>
        </w:rPr>
        <w:t>综合考虑畜禽粪污养分在收集、处理和贮存过程中的损失，单位猪当量氮养分供给量为7.0kg，磷养分供给量为1.2kg。本规划中畜禽粪污土地承载力测算以粪肥氮养分供给和植物需氮和需磷养分需求为基础进行核算，考虑各阶段粪肥占施肥比例变化，得出在农业生产中全市不同粪肥施用比例下的土地最大承载力</w:t>
      </w:r>
      <w:r>
        <w:rPr>
          <w:rFonts w:hint="eastAsia" w:ascii="方正仿宋_GB2312" w:hAnsi="方正仿宋_GB2312" w:eastAsia="方正仿宋_GB2312" w:cs="方正仿宋_GB2312"/>
          <w:color w:val="auto"/>
          <w:highlight w:val="none"/>
          <w:lang w:eastAsia="zh-CN"/>
        </w:rPr>
        <w:t>：</w:t>
      </w:r>
    </w:p>
    <w:p w14:paraId="0064F099">
      <w:pPr>
        <w:pStyle w:val="20"/>
        <w:rPr>
          <w:rFonts w:hint="eastAsia" w:ascii="方正仿宋_GB2312" w:hAnsi="方正仿宋_GB2312" w:eastAsia="方正仿宋_GB2312" w:cs="方正仿宋_GB2312"/>
          <w:lang w:eastAsia="zh-CN"/>
        </w:rPr>
      </w:pPr>
      <w:r>
        <w:rPr>
          <w:rFonts w:hint="eastAsia" w:ascii="方正仿宋_GB2312" w:hAnsi="方正仿宋_GB2312" w:eastAsia="方正仿宋_GB2312" w:cs="方正仿宋_GB2312"/>
          <w:color w:val="auto"/>
          <w:kern w:val="2"/>
          <w:sz w:val="32"/>
          <w:szCs w:val="21"/>
          <w:highlight w:val="none"/>
          <w:lang w:val="en-US" w:eastAsia="zh-CN" w:bidi="ar-SA"/>
        </w:rPr>
        <w:t>表19不同粪污施用比例下全市畜禽粪污土地承载力</w:t>
      </w:r>
    </w:p>
    <w:tbl>
      <w:tblPr>
        <w:tblStyle w:val="21"/>
        <w:tblW w:w="5000" w:type="pct"/>
        <w:jc w:val="center"/>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Layout w:type="autofit"/>
        <w:tblCellMar>
          <w:top w:w="0" w:type="dxa"/>
          <w:left w:w="108" w:type="dxa"/>
          <w:bottom w:w="0" w:type="dxa"/>
          <w:right w:w="108" w:type="dxa"/>
        </w:tblCellMar>
      </w:tblPr>
      <w:tblGrid>
        <w:gridCol w:w="2776"/>
        <w:gridCol w:w="874"/>
        <w:gridCol w:w="884"/>
        <w:gridCol w:w="872"/>
        <w:gridCol w:w="889"/>
        <w:gridCol w:w="882"/>
        <w:gridCol w:w="898"/>
        <w:gridCol w:w="985"/>
      </w:tblGrid>
      <w:tr w14:paraId="5FC5E90E">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1547" w:type="pct"/>
            <w:vMerge w:val="restart"/>
            <w:shd w:val="clear" w:color="auto" w:fill="auto"/>
            <w:noWrap w:val="0"/>
            <w:vAlign w:val="center"/>
          </w:tcPr>
          <w:p w14:paraId="78E2805C">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sz w:val="24"/>
                <w:szCs w:val="24"/>
              </w:rPr>
              <w:t>畜禽粪污土地承载力 （猪当量）</w:t>
            </w:r>
          </w:p>
        </w:tc>
        <w:tc>
          <w:tcPr>
            <w:tcW w:w="3452" w:type="pct"/>
            <w:gridSpan w:val="7"/>
            <w:shd w:val="clear" w:color="auto" w:fill="auto"/>
            <w:noWrap w:val="0"/>
            <w:vAlign w:val="center"/>
          </w:tcPr>
          <w:p w14:paraId="6DF209A5">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sz w:val="24"/>
                <w:szCs w:val="24"/>
              </w:rPr>
              <w:t>粪肥占施肥比例</w:t>
            </w:r>
          </w:p>
        </w:tc>
      </w:tr>
      <w:tr w14:paraId="55A9A8A0">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1547" w:type="pct"/>
            <w:vMerge w:val="continue"/>
            <w:shd w:val="clear" w:color="auto" w:fill="auto"/>
            <w:noWrap w:val="0"/>
            <w:vAlign w:val="center"/>
          </w:tcPr>
          <w:p w14:paraId="5FA2DE39">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p>
        </w:tc>
        <w:tc>
          <w:tcPr>
            <w:tcW w:w="483" w:type="pct"/>
            <w:shd w:val="clear" w:color="auto" w:fill="auto"/>
            <w:noWrap w:val="0"/>
            <w:vAlign w:val="center"/>
          </w:tcPr>
          <w:p w14:paraId="57DD1D9F">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20%</w:t>
            </w:r>
          </w:p>
        </w:tc>
        <w:tc>
          <w:tcPr>
            <w:tcW w:w="483" w:type="pct"/>
            <w:shd w:val="clear" w:color="auto" w:fill="auto"/>
            <w:noWrap w:val="0"/>
            <w:vAlign w:val="center"/>
          </w:tcPr>
          <w:p w14:paraId="09C85097">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30%</w:t>
            </w:r>
          </w:p>
        </w:tc>
        <w:tc>
          <w:tcPr>
            <w:tcW w:w="483" w:type="pct"/>
            <w:shd w:val="clear" w:color="auto" w:fill="auto"/>
            <w:noWrap w:val="0"/>
            <w:vAlign w:val="center"/>
          </w:tcPr>
          <w:p w14:paraId="6B494C34">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40%</w:t>
            </w:r>
          </w:p>
        </w:tc>
        <w:tc>
          <w:tcPr>
            <w:tcW w:w="483" w:type="pct"/>
            <w:shd w:val="clear" w:color="auto" w:fill="auto"/>
            <w:noWrap w:val="0"/>
            <w:vAlign w:val="center"/>
          </w:tcPr>
          <w:p w14:paraId="68FEDF25">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50%</w:t>
            </w:r>
          </w:p>
        </w:tc>
        <w:tc>
          <w:tcPr>
            <w:tcW w:w="483" w:type="pct"/>
            <w:shd w:val="clear" w:color="auto" w:fill="auto"/>
            <w:noWrap w:val="0"/>
            <w:vAlign w:val="center"/>
          </w:tcPr>
          <w:p w14:paraId="781AA15F">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60</w:t>
            </w:r>
            <w:r>
              <w:rPr>
                <w:rFonts w:hint="eastAsia" w:ascii="方正仿宋_GB2312" w:hAnsi="方正仿宋_GB2312" w:eastAsia="方正仿宋_GB2312" w:cs="方正仿宋_GB2312"/>
                <w:color w:val="auto"/>
                <w:sz w:val="24"/>
                <w:szCs w:val="24"/>
                <w:highlight w:val="none"/>
                <w:lang w:val="en-US" w:eastAsia="zh-CN"/>
              </w:rPr>
              <w:t>%</w:t>
            </w:r>
          </w:p>
        </w:tc>
        <w:tc>
          <w:tcPr>
            <w:tcW w:w="483" w:type="pct"/>
            <w:shd w:val="clear" w:color="auto" w:fill="auto"/>
            <w:noWrap w:val="0"/>
            <w:vAlign w:val="center"/>
          </w:tcPr>
          <w:p w14:paraId="6CB331BF">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75</w:t>
            </w:r>
            <w:r>
              <w:rPr>
                <w:rFonts w:hint="eastAsia" w:ascii="方正仿宋_GB2312" w:hAnsi="方正仿宋_GB2312" w:eastAsia="方正仿宋_GB2312" w:cs="方正仿宋_GB2312"/>
                <w:color w:val="auto"/>
                <w:sz w:val="24"/>
                <w:szCs w:val="24"/>
                <w:highlight w:val="none"/>
                <w:lang w:val="en-US" w:eastAsia="zh-CN"/>
              </w:rPr>
              <w:t>%</w:t>
            </w:r>
          </w:p>
        </w:tc>
        <w:tc>
          <w:tcPr>
            <w:tcW w:w="550" w:type="pct"/>
            <w:shd w:val="clear" w:color="auto" w:fill="auto"/>
            <w:noWrap w:val="0"/>
            <w:vAlign w:val="center"/>
          </w:tcPr>
          <w:p w14:paraId="08766134">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100</w:t>
            </w:r>
            <w:r>
              <w:rPr>
                <w:rFonts w:hint="eastAsia" w:ascii="方正仿宋_GB2312" w:hAnsi="方正仿宋_GB2312" w:eastAsia="方正仿宋_GB2312" w:cs="方正仿宋_GB2312"/>
                <w:color w:val="auto"/>
                <w:sz w:val="24"/>
                <w:szCs w:val="24"/>
                <w:highlight w:val="none"/>
                <w:lang w:val="en-US" w:eastAsia="zh-CN"/>
              </w:rPr>
              <w:t>%</w:t>
            </w:r>
          </w:p>
        </w:tc>
      </w:tr>
      <w:tr w14:paraId="0C2AB254">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1547" w:type="pct"/>
            <w:shd w:val="clear" w:color="auto" w:fill="auto"/>
            <w:noWrap/>
            <w:vAlign w:val="center"/>
          </w:tcPr>
          <w:p w14:paraId="584D8A70">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0"/>
                <w:sz w:val="24"/>
                <w:szCs w:val="24"/>
                <w:highlight w:val="none"/>
                <w:lang w:bidi="ar"/>
              </w:rPr>
              <w:t>按氮计算</w:t>
            </w:r>
          </w:p>
        </w:tc>
        <w:tc>
          <w:tcPr>
            <w:tcW w:w="483" w:type="pct"/>
            <w:shd w:val="clear" w:color="auto" w:fill="auto"/>
            <w:noWrap/>
            <w:vAlign w:val="center"/>
          </w:tcPr>
          <w:p w14:paraId="0287C507">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38.37</w:t>
            </w:r>
          </w:p>
        </w:tc>
        <w:tc>
          <w:tcPr>
            <w:tcW w:w="483" w:type="pct"/>
            <w:shd w:val="clear" w:color="auto" w:fill="auto"/>
            <w:noWrap/>
            <w:vAlign w:val="center"/>
          </w:tcPr>
          <w:p w14:paraId="4B540E26">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57.56</w:t>
            </w:r>
          </w:p>
        </w:tc>
        <w:tc>
          <w:tcPr>
            <w:tcW w:w="483" w:type="pct"/>
            <w:shd w:val="clear" w:color="auto" w:fill="auto"/>
            <w:noWrap/>
            <w:vAlign w:val="center"/>
          </w:tcPr>
          <w:p w14:paraId="00A3A8F6">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76.74</w:t>
            </w:r>
          </w:p>
        </w:tc>
        <w:tc>
          <w:tcPr>
            <w:tcW w:w="483" w:type="pct"/>
            <w:shd w:val="clear" w:color="auto" w:fill="auto"/>
            <w:noWrap/>
            <w:vAlign w:val="center"/>
          </w:tcPr>
          <w:p w14:paraId="50E548D7">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95.93</w:t>
            </w:r>
          </w:p>
        </w:tc>
        <w:tc>
          <w:tcPr>
            <w:tcW w:w="483" w:type="pct"/>
            <w:shd w:val="clear" w:color="auto" w:fill="auto"/>
            <w:noWrap/>
            <w:vAlign w:val="center"/>
          </w:tcPr>
          <w:p w14:paraId="10319085">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115.12</w:t>
            </w:r>
          </w:p>
        </w:tc>
        <w:tc>
          <w:tcPr>
            <w:tcW w:w="483" w:type="pct"/>
            <w:shd w:val="clear" w:color="auto" w:fill="auto"/>
            <w:noWrap/>
            <w:vAlign w:val="center"/>
          </w:tcPr>
          <w:p w14:paraId="3D88D829">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143.90</w:t>
            </w:r>
          </w:p>
        </w:tc>
        <w:tc>
          <w:tcPr>
            <w:tcW w:w="550" w:type="pct"/>
            <w:shd w:val="clear" w:color="auto" w:fill="auto"/>
            <w:noWrap/>
            <w:vAlign w:val="center"/>
          </w:tcPr>
          <w:p w14:paraId="1D50D79B">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191.87</w:t>
            </w:r>
          </w:p>
        </w:tc>
      </w:tr>
      <w:tr w14:paraId="599AC7D4">
        <w:tblPrEx>
          <w:tblBorders>
            <w:top w:val="single" w:color="7E7E7E" w:sz="8" w:space="0"/>
            <w:left w:val="single" w:color="7E7E7E" w:sz="8" w:space="0"/>
            <w:bottom w:val="single" w:color="7E7E7E" w:sz="8" w:space="0"/>
            <w:right w:val="single" w:color="7E7E7E" w:sz="8" w:space="0"/>
            <w:insideH w:val="single" w:color="7E7E7E" w:sz="8" w:space="0"/>
            <w:insideV w:val="single" w:color="7E7E7E" w:sz="8" w:space="0"/>
          </w:tblBorders>
          <w:tblCellMar>
            <w:top w:w="0" w:type="dxa"/>
            <w:left w:w="108" w:type="dxa"/>
            <w:bottom w:w="0" w:type="dxa"/>
            <w:right w:w="108" w:type="dxa"/>
          </w:tblCellMar>
        </w:tblPrEx>
        <w:trPr>
          <w:trHeight w:val="0" w:hRule="atLeast"/>
          <w:jc w:val="center"/>
        </w:trPr>
        <w:tc>
          <w:tcPr>
            <w:tcW w:w="1547" w:type="pct"/>
            <w:shd w:val="clear" w:color="auto" w:fill="auto"/>
            <w:noWrap/>
            <w:vAlign w:val="center"/>
          </w:tcPr>
          <w:p w14:paraId="718BA253">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0"/>
                <w:sz w:val="24"/>
                <w:szCs w:val="24"/>
                <w:highlight w:val="none"/>
                <w:lang w:bidi="ar"/>
              </w:rPr>
              <w:t>按磷计算</w:t>
            </w:r>
          </w:p>
        </w:tc>
        <w:tc>
          <w:tcPr>
            <w:tcW w:w="483" w:type="pct"/>
            <w:shd w:val="clear" w:color="auto" w:fill="auto"/>
            <w:noWrap/>
            <w:vAlign w:val="center"/>
          </w:tcPr>
          <w:p w14:paraId="095D7199">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251.13</w:t>
            </w:r>
          </w:p>
        </w:tc>
        <w:tc>
          <w:tcPr>
            <w:tcW w:w="483" w:type="pct"/>
            <w:shd w:val="clear" w:color="auto" w:fill="auto"/>
            <w:noWrap/>
            <w:vAlign w:val="center"/>
          </w:tcPr>
          <w:p w14:paraId="42C82D13">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376.70</w:t>
            </w:r>
          </w:p>
        </w:tc>
        <w:tc>
          <w:tcPr>
            <w:tcW w:w="483" w:type="pct"/>
            <w:shd w:val="clear" w:color="auto" w:fill="auto"/>
            <w:noWrap/>
            <w:vAlign w:val="center"/>
          </w:tcPr>
          <w:p w14:paraId="450BCEA4">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502.26</w:t>
            </w:r>
          </w:p>
        </w:tc>
        <w:tc>
          <w:tcPr>
            <w:tcW w:w="483" w:type="pct"/>
            <w:shd w:val="clear" w:color="auto" w:fill="auto"/>
            <w:noWrap/>
            <w:vAlign w:val="center"/>
          </w:tcPr>
          <w:p w14:paraId="7560C9C2">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627.83</w:t>
            </w:r>
          </w:p>
        </w:tc>
        <w:tc>
          <w:tcPr>
            <w:tcW w:w="483" w:type="pct"/>
            <w:shd w:val="clear" w:color="auto" w:fill="auto"/>
            <w:noWrap/>
            <w:vAlign w:val="center"/>
          </w:tcPr>
          <w:p w14:paraId="09D0421C">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753.39</w:t>
            </w:r>
          </w:p>
        </w:tc>
        <w:tc>
          <w:tcPr>
            <w:tcW w:w="483" w:type="pct"/>
            <w:shd w:val="clear" w:color="auto" w:fill="auto"/>
            <w:noWrap/>
            <w:vAlign w:val="center"/>
          </w:tcPr>
          <w:p w14:paraId="44DC3B71">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941.74</w:t>
            </w:r>
          </w:p>
        </w:tc>
        <w:tc>
          <w:tcPr>
            <w:tcW w:w="550" w:type="pct"/>
            <w:shd w:val="clear" w:color="auto" w:fill="auto"/>
            <w:noWrap/>
            <w:vAlign w:val="center"/>
          </w:tcPr>
          <w:p w14:paraId="528AB888">
            <w:pPr>
              <w:widowControl/>
              <w:snapToGrid w:val="0"/>
              <w:spacing w:line="300" w:lineRule="exact"/>
              <w:ind w:left="0" w:leftChars="0" w:firstLine="0" w:firstLineChars="0"/>
              <w:jc w:val="center"/>
              <w:textAlignment w:val="center"/>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1255.66</w:t>
            </w:r>
          </w:p>
        </w:tc>
      </w:tr>
    </w:tbl>
    <w:p w14:paraId="2A6C8E21">
      <w:pPr>
        <w:ind w:firstLine="420" w:firstLineChars="200"/>
        <w:jc w:val="right"/>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rPr>
        <w:t>（单位：万个）</w:t>
      </w:r>
    </w:p>
    <w:p w14:paraId="42BF721B">
      <w:pPr>
        <w:spacing w:line="560" w:lineRule="exact"/>
        <w:ind w:firstLine="640" w:firstLineChars="200"/>
        <w:jc w:val="left"/>
        <w:outlineLvl w:val="9"/>
        <w:rPr>
          <w:rFonts w:hint="eastAsia" w:ascii="方正仿宋_GB2312" w:hAnsi="方正仿宋_GB2312" w:eastAsia="方正仿宋_GB2312" w:cs="方正仿宋_GB2312"/>
          <w:color w:val="auto"/>
          <w:highlight w:val="none"/>
          <w:lang w:val="en-US" w:eastAsia="zh-CN"/>
        </w:rPr>
      </w:pPr>
      <w:bookmarkStart w:id="46" w:name="_Toc14281"/>
      <w:bookmarkStart w:id="47" w:name="_Toc2285"/>
      <w:bookmarkStart w:id="48" w:name="_Toc18472"/>
    </w:p>
    <w:p w14:paraId="56E9B140">
      <w:pPr>
        <w:spacing w:line="560" w:lineRule="exact"/>
        <w:ind w:firstLine="640" w:firstLineChars="200"/>
        <w:jc w:val="left"/>
        <w:outlineLvl w:val="9"/>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val="en-US" w:eastAsia="zh-CN"/>
        </w:rPr>
        <w:t>三</w:t>
      </w:r>
      <w:r>
        <w:rPr>
          <w:rFonts w:hint="eastAsia" w:ascii="方正仿宋_GB2312" w:hAnsi="方正仿宋_GB2312" w:eastAsia="方正仿宋_GB2312" w:cs="方正仿宋_GB2312"/>
          <w:color w:val="auto"/>
          <w:highlight w:val="none"/>
          <w:lang w:eastAsia="zh-CN"/>
        </w:rPr>
        <w:t>、</w:t>
      </w:r>
      <w:r>
        <w:rPr>
          <w:rFonts w:hint="eastAsia" w:ascii="方正仿宋_GB2312" w:hAnsi="方正仿宋_GB2312" w:eastAsia="方正仿宋_GB2312" w:cs="方正仿宋_GB2312"/>
          <w:color w:val="auto"/>
          <w:highlight w:val="none"/>
        </w:rPr>
        <w:t>生猪</w:t>
      </w:r>
      <w:r>
        <w:rPr>
          <w:rFonts w:hint="eastAsia" w:ascii="方正仿宋_GB2312" w:hAnsi="方正仿宋_GB2312" w:eastAsia="方正仿宋_GB2312" w:cs="方正仿宋_GB2312"/>
          <w:color w:val="auto"/>
          <w:highlight w:val="none"/>
          <w:lang w:val="en-US" w:eastAsia="zh-CN"/>
        </w:rPr>
        <w:t>养殖土地承载力</w:t>
      </w:r>
      <w:r>
        <w:rPr>
          <w:rFonts w:hint="eastAsia" w:ascii="方正仿宋_GB2312" w:hAnsi="方正仿宋_GB2312" w:eastAsia="方正仿宋_GB2312" w:cs="方正仿宋_GB2312"/>
          <w:color w:val="auto"/>
          <w:highlight w:val="none"/>
        </w:rPr>
        <w:t>分析</w:t>
      </w:r>
      <w:bookmarkEnd w:id="46"/>
      <w:bookmarkEnd w:id="47"/>
      <w:bookmarkEnd w:id="48"/>
    </w:p>
    <w:p w14:paraId="73030753">
      <w:pPr>
        <w:pStyle w:val="4"/>
        <w:numPr>
          <w:ilvl w:val="2"/>
          <w:numId w:val="0"/>
        </w:numPr>
        <w:ind w:left="0" w:leftChars="0" w:firstLine="640" w:firstLineChars="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根据区域内土地供肥能力和单位面积农业生产产量条件，不考虑化学肥料供给，完全由畜禽粪污提供农业生产需肥量（取需氮量与需磷量较低值）的理想状况下，恩平市最大畜禽粪污土地承载力为</w:t>
      </w:r>
      <w:r>
        <w:rPr>
          <w:rFonts w:hint="eastAsia" w:ascii="方正仿宋_GB2312" w:hAnsi="方正仿宋_GB2312" w:eastAsia="方正仿宋_GB2312" w:cs="方正仿宋_GB2312"/>
          <w:color w:val="auto"/>
          <w:highlight w:val="none"/>
          <w:lang w:val="en-US" w:eastAsia="zh-CN"/>
        </w:rPr>
        <w:t>191.87</w:t>
      </w:r>
      <w:r>
        <w:rPr>
          <w:rFonts w:hint="eastAsia" w:ascii="方正仿宋_GB2312" w:hAnsi="方正仿宋_GB2312" w:eastAsia="方正仿宋_GB2312" w:cs="方正仿宋_GB2312"/>
          <w:color w:val="auto"/>
          <w:highlight w:val="none"/>
        </w:rPr>
        <w:t>万个猪当量（存栏量）。</w:t>
      </w:r>
      <w:r>
        <w:rPr>
          <w:rFonts w:hint="eastAsia" w:ascii="方正仿宋_GB2312" w:hAnsi="方正仿宋_GB2312" w:eastAsia="方正仿宋_GB2312" w:cs="方正仿宋_GB2312"/>
          <w:color w:val="auto"/>
          <w:highlight w:val="none"/>
          <w:lang w:val="en-US" w:eastAsia="zh-CN"/>
        </w:rPr>
        <w:t>根据《恩平市畜牧业发展规划和种养循环发展规划（2020—2025年）》</w:t>
      </w:r>
      <w:r>
        <w:rPr>
          <w:rFonts w:hint="eastAsia" w:ascii="方正仿宋_GB2312" w:hAnsi="方正仿宋_GB2312" w:eastAsia="方正仿宋_GB2312" w:cs="方正仿宋_GB2312"/>
          <w:color w:val="auto"/>
          <w:highlight w:val="none"/>
        </w:rPr>
        <w:t>在</w:t>
      </w:r>
      <w:r>
        <w:rPr>
          <w:rFonts w:hint="eastAsia" w:ascii="方正仿宋_GB2312" w:hAnsi="方正仿宋_GB2312" w:eastAsia="方正仿宋_GB2312" w:cs="方正仿宋_GB2312"/>
          <w:color w:val="auto"/>
          <w:highlight w:val="none"/>
          <w:lang w:val="en-US" w:eastAsia="zh-CN"/>
        </w:rPr>
        <w:t>恩平市</w:t>
      </w:r>
      <w:r>
        <w:rPr>
          <w:rFonts w:hint="eastAsia" w:ascii="方正仿宋_GB2312" w:hAnsi="方正仿宋_GB2312" w:eastAsia="方正仿宋_GB2312" w:cs="方正仿宋_GB2312"/>
          <w:color w:val="auto"/>
          <w:highlight w:val="none"/>
        </w:rPr>
        <w:t>农业生产中，粪肥施用比例一般在</w:t>
      </w:r>
      <w:r>
        <w:rPr>
          <w:rFonts w:hint="eastAsia" w:ascii="方正仿宋_GB2312" w:hAnsi="方正仿宋_GB2312" w:eastAsia="方正仿宋_GB2312" w:cs="方正仿宋_GB2312"/>
          <w:color w:val="auto"/>
          <w:highlight w:val="none"/>
          <w:lang w:eastAsia="zh-CN"/>
        </w:rPr>
        <w:t>40%—60%</w:t>
      </w:r>
      <w:r>
        <w:rPr>
          <w:rFonts w:hint="eastAsia" w:ascii="方正仿宋_GB2312" w:hAnsi="方正仿宋_GB2312" w:eastAsia="方正仿宋_GB2312" w:cs="方正仿宋_GB2312"/>
          <w:color w:val="auto"/>
          <w:highlight w:val="none"/>
        </w:rPr>
        <w:t>之间最为适宜，基于种养平衡模式下的全市畜禽粪污土地承载力为</w:t>
      </w:r>
      <w:r>
        <w:rPr>
          <w:rFonts w:hint="eastAsia" w:ascii="方正仿宋_GB2312" w:hAnsi="方正仿宋_GB2312" w:eastAsia="方正仿宋_GB2312" w:cs="方正仿宋_GB2312"/>
          <w:color w:val="auto"/>
          <w:highlight w:val="none"/>
          <w:lang w:eastAsia="zh-CN"/>
        </w:rPr>
        <w:t>76.74万—115.12万</w:t>
      </w:r>
      <w:r>
        <w:rPr>
          <w:rFonts w:hint="eastAsia" w:ascii="方正仿宋_GB2312" w:hAnsi="方正仿宋_GB2312" w:eastAsia="方正仿宋_GB2312" w:cs="方正仿宋_GB2312"/>
          <w:color w:val="auto"/>
          <w:highlight w:val="none"/>
        </w:rPr>
        <w:t>个猪当量（存栏量）。</w:t>
      </w:r>
    </w:p>
    <w:p w14:paraId="60AB11A6">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小节</w:t>
      </w:r>
    </w:p>
    <w:p w14:paraId="697853E7">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实际生产条件下，202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 xml:space="preserve"> 年末全市各类畜禽存栏量为 76</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4"/>
          <w14:textFill>
            <w14:solidFill>
              <w14:schemeClr w14:val="tx1"/>
            </w14:solidFill>
          </w14:textFill>
        </w:rPr>
        <w:t>27 万个猪当量。根据考核断面测算恩平市202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年区域水环境承载力指数84.375%，属于临界超载状态</w:t>
      </w:r>
      <w:r>
        <w:rPr>
          <w:rFonts w:hint="eastAsia" w:ascii="方正仿宋_GB2312" w:hAnsi="方正仿宋_GB2312" w:eastAsia="方正仿宋_GB2312" w:cs="方正仿宋_GB2312"/>
          <w:color w:val="000000" w:themeColor="text1"/>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主要超标河流是朗底水，朗底水的上游大带水库受跨界河流影响严重。</w:t>
      </w:r>
      <w:r>
        <w:rPr>
          <w:rFonts w:hint="eastAsia" w:ascii="方正仿宋_GB2312" w:hAnsi="方正仿宋_GB2312" w:eastAsia="方正仿宋_GB2312" w:cs="方正仿宋_GB2312"/>
          <w:color w:val="000000" w:themeColor="text1"/>
          <w:szCs w:val="24"/>
          <w14:textFill>
            <w14:solidFill>
              <w14:schemeClr w14:val="tx1"/>
            </w14:solidFill>
          </w14:textFill>
        </w:rPr>
        <w:t>综合不同情景下畜禽粪污土地承载能力计算结果来看，若将桉树林地消纳能力考虑在内，在</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50</w:t>
      </w:r>
      <w:r>
        <w:rPr>
          <w:rFonts w:hint="eastAsia" w:ascii="方正仿宋_GB2312" w:hAnsi="方正仿宋_GB2312" w:eastAsia="方正仿宋_GB2312" w:cs="方正仿宋_GB2312"/>
          <w:color w:val="000000" w:themeColor="text1"/>
          <w:szCs w:val="24"/>
          <w14:textFill>
            <w14:solidFill>
              <w14:schemeClr w14:val="tx1"/>
            </w14:solidFill>
          </w14:textFill>
        </w:rPr>
        <w:t>%粪肥施用比例条件下，202</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4"/>
          <w14:textFill>
            <w14:solidFill>
              <w14:schemeClr w14:val="tx1"/>
            </w14:solidFill>
          </w14:textFill>
        </w:rPr>
        <w:t>年全市畜禽养殖量尚未超过粪污土地承载力。</w:t>
      </w:r>
    </w:p>
    <w:p w14:paraId="0A70CA9C">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49" w:name="_Toc26926"/>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（五）</w:t>
      </w:r>
      <w:r>
        <w:rPr>
          <w:rFonts w:hint="eastAsia" w:ascii="方正仿宋_GB2312" w:hAnsi="方正仿宋_GB2312" w:eastAsia="方正仿宋_GB2312" w:cs="方正仿宋_GB2312"/>
          <w:color w:val="000000" w:themeColor="text1"/>
          <w14:textFill>
            <w14:solidFill>
              <w14:schemeClr w14:val="tx1"/>
            </w14:solidFill>
          </w14:textFill>
        </w:rPr>
        <w:t>规划目标可达性分析</w:t>
      </w:r>
      <w:bookmarkEnd w:id="49"/>
    </w:p>
    <w:p w14:paraId="4834A27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14:textFill>
            <w14:solidFill>
              <w14:schemeClr w14:val="tx1"/>
            </w14:solidFill>
          </w14:textFill>
        </w:rPr>
        <w:t>畜禽养殖规模化率</w:t>
      </w:r>
    </w:p>
    <w:p w14:paraId="2648E940">
      <w:pPr>
        <w:ind w:firstLine="640"/>
        <w:rPr>
          <w:rFonts w:hint="eastAsia" w:ascii="方正仿宋_GB2312" w:hAnsi="方正仿宋_GB2312" w:eastAsia="方正仿宋_GB2312" w:cs="方正仿宋_GB2312"/>
          <w:color w:val="000000" w:themeColor="text1"/>
          <w14:textFill>
            <w14:solidFill>
              <w14:schemeClr w14:val="tx1"/>
            </w14:solidFill>
          </w14:textFill>
        </w:rPr>
      </w:pPr>
      <w:bookmarkStart w:id="50" w:name="_Hlk180776509"/>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目前畜禽养殖整体规模化率已达到</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83</w:t>
      </w:r>
      <w:r>
        <w:rPr>
          <w:rFonts w:hint="eastAsia" w:ascii="方正仿宋_GB2312" w:hAnsi="方正仿宋_GB2312" w:eastAsia="方正仿宋_GB2312" w:cs="方正仿宋_GB2312"/>
          <w:color w:val="000000" w:themeColor="text1"/>
          <w14:textFill>
            <w14:solidFill>
              <w14:schemeClr w14:val="tx1"/>
            </w14:solidFill>
          </w14:textFill>
        </w:rPr>
        <w:t>%，规划期间，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通过政策扶持、技术指导与资金支持等多措并举，制定并实施差异化的产业政策，鼓励和支持规模养殖场的建设与运营，尤其是加强生猪规模化率，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严格打击非法养殖场，</w:t>
      </w:r>
      <w:r>
        <w:rPr>
          <w:rFonts w:hint="eastAsia" w:ascii="方正仿宋_GB2312" w:hAnsi="方正仿宋_GB2312" w:eastAsia="方正仿宋_GB2312" w:cs="方正仿宋_GB2312"/>
          <w:color w:val="000000" w:themeColor="text1"/>
          <w14:textFill>
            <w14:solidFill>
              <w14:schemeClr w14:val="tx1"/>
            </w14:solidFill>
          </w14:textFill>
        </w:rPr>
        <w:t>逐步提升畜禽养殖规模化率，可实现20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年畜禽养殖规模化率维持在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85</w:t>
      </w:r>
      <w:r>
        <w:rPr>
          <w:rFonts w:hint="eastAsia" w:ascii="方正仿宋_GB2312" w:hAnsi="方正仿宋_GB2312" w:eastAsia="方正仿宋_GB2312" w:cs="方正仿宋_GB2312"/>
          <w:color w:val="000000" w:themeColor="text1"/>
          <w14:textFill>
            <w14:solidFill>
              <w14:schemeClr w14:val="tx1"/>
            </w14:solidFill>
          </w14:textFill>
        </w:rPr>
        <w:t>%。</w:t>
      </w:r>
      <w:bookmarkEnd w:id="50"/>
    </w:p>
    <w:p w14:paraId="5628FD10">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2.</w:t>
      </w:r>
      <w:r>
        <w:rPr>
          <w:rFonts w:hint="eastAsia" w:ascii="方正仿宋_GB2312" w:hAnsi="方正仿宋_GB2312" w:eastAsia="方正仿宋_GB2312" w:cs="方正仿宋_GB2312"/>
          <w:color w:val="000000" w:themeColor="text1"/>
          <w14:textFill>
            <w14:solidFill>
              <w14:schemeClr w14:val="tx1"/>
            </w14:solidFill>
          </w14:textFill>
        </w:rPr>
        <w:t>畜禽粪污综合利用率</w:t>
      </w:r>
    </w:p>
    <w:p w14:paraId="7D812D38">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规划期间，</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推动畜禽养殖场粪污资源化利用体系及设施建设，</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力争在2026年建成恩平市粪污集中处理中心（有机肥厂）</w:t>
      </w:r>
      <w:r>
        <w:rPr>
          <w:rFonts w:hint="eastAsia" w:ascii="方正仿宋_GB2312" w:hAnsi="方正仿宋_GB2312" w:eastAsia="方正仿宋_GB2312" w:cs="方正仿宋_GB2312"/>
          <w:color w:val="000000" w:themeColor="text1"/>
          <w14:textFill>
            <w14:solidFill>
              <w14:schemeClr w14:val="tx1"/>
            </w14:solidFill>
          </w14:textFill>
        </w:rPr>
        <w:t>，</w:t>
      </w:r>
      <w:r>
        <w:rPr>
          <w:rFonts w:hint="eastAsia" w:ascii="方正仿宋_GB2312" w:hAnsi="方正仿宋_GB2312" w:eastAsia="方正仿宋_GB2312" w:cs="方正仿宋_GB2312"/>
          <w:color w:val="000000" w:themeColor="text1"/>
          <w:lang w:eastAsia="zh-CN"/>
          <w14:textFill>
            <w14:solidFill>
              <w14:schemeClr w14:val="tx1"/>
            </w14:solidFill>
          </w14:textFill>
        </w:rPr>
        <w:t>提升</w:t>
      </w:r>
      <w:r>
        <w:rPr>
          <w:rFonts w:hint="eastAsia" w:ascii="方正仿宋_GB2312" w:hAnsi="方正仿宋_GB2312" w:eastAsia="方正仿宋_GB2312" w:cs="方正仿宋_GB2312"/>
          <w:color w:val="000000" w:themeColor="text1"/>
          <w14:textFill>
            <w14:solidFill>
              <w14:schemeClr w14:val="tx1"/>
            </w14:solidFill>
          </w14:textFill>
        </w:rPr>
        <w:t>有机肥加工规模，稳步提升</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畜禽粪污综合利用率，可实现20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年畜禽养殖粪污综合利用率稳步提升</w:t>
      </w:r>
      <w:r>
        <w:rPr>
          <w:rFonts w:hint="eastAsia" w:ascii="方正仿宋_GB2312" w:hAnsi="方正仿宋_GB2312" w:eastAsia="方正仿宋_GB2312" w:cs="方正仿宋_GB2312"/>
          <w:color w:val="000000" w:themeColor="text1"/>
          <w:lang w:eastAsia="zh-CN"/>
          <w14:textFill>
            <w14:solidFill>
              <w14:schemeClr w14:val="tx1"/>
            </w14:solidFill>
          </w14:textFill>
        </w:rPr>
        <w:t>至</w:t>
      </w:r>
      <w:r>
        <w:rPr>
          <w:rFonts w:hint="eastAsia" w:ascii="方正仿宋_GB2312" w:hAnsi="方正仿宋_GB2312" w:eastAsia="方正仿宋_GB2312" w:cs="方正仿宋_GB2312"/>
          <w:color w:val="000000" w:themeColor="text1"/>
          <w14:textFill>
            <w14:solidFill>
              <w14:schemeClr w14:val="tx1"/>
            </w14:solidFill>
          </w14:textFill>
        </w:rPr>
        <w:t>8</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14:textFill>
            <w14:solidFill>
              <w14:schemeClr w14:val="tx1"/>
            </w14:solidFill>
          </w14:textFill>
        </w:rPr>
        <w:t>%以上，实现规划目标。</w:t>
      </w:r>
    </w:p>
    <w:p w14:paraId="5FB0B873">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3.</w:t>
      </w:r>
      <w:r>
        <w:rPr>
          <w:rFonts w:hint="eastAsia" w:ascii="方正仿宋_GB2312" w:hAnsi="方正仿宋_GB2312" w:eastAsia="方正仿宋_GB2312" w:cs="方正仿宋_GB2312"/>
          <w:color w:val="000000" w:themeColor="text1"/>
          <w14:textFill>
            <w14:solidFill>
              <w14:schemeClr w14:val="tx1"/>
            </w14:solidFill>
          </w14:textFill>
        </w:rPr>
        <w:t>畜禽规模养殖场粪污处理设施装备配套率</w:t>
      </w:r>
    </w:p>
    <w:p w14:paraId="19A0FE67">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规模养殖场已基本实现粪污处理设施配套设置工作，规划期间通过与畜禽养殖业环境监督执法、畜牧业相关补贴</w:t>
      </w:r>
      <w:r>
        <w:rPr>
          <w:rFonts w:hint="eastAsia" w:ascii="方正仿宋_GB2312" w:hAnsi="方正仿宋_GB2312" w:eastAsia="方正仿宋_GB2312" w:cs="方正仿宋_GB2312"/>
          <w:color w:val="000000" w:themeColor="text1"/>
          <w:lang w:eastAsia="zh-CN"/>
          <w14:textFill>
            <w14:solidFill>
              <w14:schemeClr w14:val="tx1"/>
            </w14:solidFill>
          </w14:textFill>
        </w:rPr>
        <w:t>政策</w:t>
      </w:r>
      <w:r>
        <w:rPr>
          <w:rFonts w:hint="eastAsia" w:ascii="方正仿宋_GB2312" w:hAnsi="方正仿宋_GB2312" w:eastAsia="方正仿宋_GB2312" w:cs="方正仿宋_GB2312"/>
          <w:color w:val="000000" w:themeColor="text1"/>
          <w14:textFill>
            <w14:solidFill>
              <w14:schemeClr w14:val="tx1"/>
            </w14:solidFill>
          </w14:textFill>
        </w:rPr>
        <w:t>相结合，加强畜禽规模养殖场粪污处理设施监管工作，确保新建、改扩建畜禽规模养殖场粪污处理设施配套安装，做好设施日常运维，建立健全畜禽规模养殖场粪污处理设施的长效管理机制，到20</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30</w:t>
      </w:r>
      <w:r>
        <w:rPr>
          <w:rFonts w:hint="eastAsia" w:ascii="方正仿宋_GB2312" w:hAnsi="方正仿宋_GB2312" w:eastAsia="方正仿宋_GB2312" w:cs="方正仿宋_GB2312"/>
          <w:color w:val="000000" w:themeColor="text1"/>
          <w14:textFill>
            <w14:solidFill>
              <w14:schemeClr w14:val="tx1"/>
            </w14:solidFill>
          </w14:textFill>
        </w:rPr>
        <w:t>年实现畜禽规模养殖场粪污处理设施装备配套率达到100%。</w:t>
      </w:r>
    </w:p>
    <w:p w14:paraId="33F57D1B">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4.畜禽规模养殖场粪污资源化利用计划备案率</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台账建设率</w:t>
      </w:r>
    </w:p>
    <w:p w14:paraId="6BCD5158">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强化畜禽规模养殖场的环保意识与责任感，明确其在畜禽养殖及粪污处理方面的主体责任。通过签订责任书、举办培训班等形式，确保养殖主体充分认识到自身在环境保护中的重要作用。规划期间，逐步推进粪肥利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计划备案以及</w:t>
      </w:r>
      <w:r>
        <w:rPr>
          <w:rFonts w:hint="eastAsia" w:ascii="方正仿宋_GB2312" w:hAnsi="方正仿宋_GB2312" w:eastAsia="方正仿宋_GB2312" w:cs="方正仿宋_GB2312"/>
          <w:color w:val="000000" w:themeColor="text1"/>
          <w14:textFill>
            <w14:solidFill>
              <w14:schemeClr w14:val="tx1"/>
            </w14:solidFill>
          </w14:textFill>
        </w:rPr>
        <w:t>台账</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建设</w:t>
      </w:r>
      <w:r>
        <w:rPr>
          <w:rFonts w:hint="eastAsia" w:ascii="方正仿宋_GB2312" w:hAnsi="方正仿宋_GB2312" w:eastAsia="方正仿宋_GB2312" w:cs="方正仿宋_GB2312"/>
          <w:color w:val="000000" w:themeColor="text1"/>
          <w14:textFill>
            <w14:solidFill>
              <w14:schemeClr w14:val="tx1"/>
            </w14:solidFill>
          </w14:textFill>
        </w:rPr>
        <w:t>制度实施，强化指导服务，做好粪肥利用计划备案以及</w:t>
      </w:r>
      <w:r>
        <w:rPr>
          <w:rFonts w:hint="eastAsia" w:ascii="方正仿宋_GB2312" w:hAnsi="方正仿宋_GB2312" w:eastAsia="方正仿宋_GB2312" w:cs="方正仿宋_GB2312"/>
          <w:color w:val="000000" w:themeColor="text1"/>
          <w:lang w:eastAsia="zh-CN"/>
          <w14:textFill>
            <w14:solidFill>
              <w14:schemeClr w14:val="tx1"/>
            </w14:solidFill>
          </w14:textFill>
        </w:rPr>
        <w:t>台账</w:t>
      </w:r>
      <w:r>
        <w:rPr>
          <w:rFonts w:hint="eastAsia" w:ascii="方正仿宋_GB2312" w:hAnsi="方正仿宋_GB2312" w:eastAsia="方正仿宋_GB2312" w:cs="方正仿宋_GB2312"/>
          <w:color w:val="000000" w:themeColor="text1"/>
          <w14:textFill>
            <w14:solidFill>
              <w14:schemeClr w14:val="tx1"/>
            </w14:solidFill>
          </w14:textFill>
        </w:rPr>
        <w:t>培训等工作措施，实施监管工作，实现规模养殖场畜禽粪污资源化利用计划备案</w:t>
      </w:r>
      <w:r>
        <w:rPr>
          <w:rFonts w:hint="eastAsia" w:ascii="方正仿宋_GB2312" w:hAnsi="方正仿宋_GB2312" w:eastAsia="方正仿宋_GB2312" w:cs="方正仿宋_GB2312"/>
          <w:color w:val="000000" w:themeColor="text1"/>
          <w:lang w:eastAsia="zh-CN"/>
          <w14:textFill>
            <w14:solidFill>
              <w14:schemeClr w14:val="tx1"/>
            </w14:solidFill>
          </w14:textFill>
        </w:rPr>
        <w:t>率</w:t>
      </w:r>
      <w:r>
        <w:rPr>
          <w:rFonts w:hint="eastAsia" w:ascii="方正仿宋_GB2312" w:hAnsi="方正仿宋_GB2312" w:eastAsia="方正仿宋_GB2312" w:cs="方正仿宋_GB2312"/>
          <w:color w:val="000000" w:themeColor="text1"/>
          <w14:textFill>
            <w14:solidFill>
              <w14:schemeClr w14:val="tx1"/>
            </w14:solidFill>
          </w14:textFill>
        </w:rPr>
        <w:t>、台账建设率</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95</w:t>
      </w:r>
      <w:r>
        <w:rPr>
          <w:rFonts w:hint="eastAsia" w:ascii="方正仿宋_GB2312" w:hAnsi="方正仿宋_GB2312" w:eastAsia="方正仿宋_GB2312" w:cs="方正仿宋_GB2312"/>
          <w:color w:val="000000" w:themeColor="text1"/>
          <w14:textFill>
            <w14:solidFill>
              <w14:schemeClr w14:val="tx1"/>
            </w14:solidFill>
          </w14:textFill>
        </w:rPr>
        <w:t>%。</w:t>
      </w:r>
    </w:p>
    <w:p w14:paraId="68347BE2">
      <w:pPr>
        <w:pStyle w:val="4"/>
        <w:numPr>
          <w:ilvl w:val="2"/>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5.</w:t>
      </w:r>
      <w:r>
        <w:rPr>
          <w:rFonts w:hint="eastAsia" w:ascii="方正仿宋_GB2312" w:hAnsi="方正仿宋_GB2312" w:eastAsia="方正仿宋_GB2312" w:cs="方正仿宋_GB2312"/>
          <w:color w:val="000000" w:themeColor="text1"/>
          <w14:textFill>
            <w14:solidFill>
              <w14:schemeClr w14:val="tx1"/>
            </w14:solidFill>
          </w14:textFill>
        </w:rPr>
        <w:t>达标排放的畜禽规模养殖场自行监测覆盖率</w:t>
      </w:r>
    </w:p>
    <w:p w14:paraId="783986B5">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加强与畜禽养殖业环境监督执法的结合，建立健全畜禽规模养殖场环保监管体系。通过定期检查、随机抽查、专项整治等方式，对畜禽规模养殖场的废水、废气排放情况进行严格监督，落实畜禽规模养殖场废水、废气达标排放和自主监测的配套工作，实现设有排污口的畜禽规模养殖场自行监测覆盖率100%。</w:t>
      </w:r>
    </w:p>
    <w:p w14:paraId="37061547">
      <w:pPr>
        <w:pStyle w:val="2"/>
        <w:numPr>
          <w:ilvl w:val="0"/>
          <w:numId w:val="3"/>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51" w:name="_Toc21394"/>
      <w:r>
        <w:rPr>
          <w:rFonts w:hint="eastAsia" w:ascii="方正仿宋_GB2312" w:hAnsi="方正仿宋_GB2312" w:eastAsia="方正仿宋_GB2312" w:cs="方正仿宋_GB2312"/>
          <w:b/>
          <w:bCs w:val="0"/>
          <w:color w:val="000000" w:themeColor="text1"/>
          <w14:textFill>
            <w14:solidFill>
              <w14:schemeClr w14:val="tx1"/>
            </w14:solidFill>
          </w14:textFill>
        </w:rPr>
        <w:t>主要任务</w:t>
      </w:r>
      <w:bookmarkEnd w:id="51"/>
    </w:p>
    <w:p w14:paraId="5A127AD4">
      <w:pPr>
        <w:ind w:firstLine="640"/>
        <w:outlineLvl w:val="1"/>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bookmarkStart w:id="52" w:name="_Toc24823"/>
      <w:bookmarkStart w:id="53" w:name="_Toc8905"/>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（一）优化畜禽养殖产业布局</w:t>
      </w:r>
      <w:bookmarkEnd w:id="52"/>
      <w:bookmarkEnd w:id="53"/>
    </w:p>
    <w:p w14:paraId="57D9DBBC">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1.引导生猪养殖布局调整</w:t>
      </w:r>
    </w:p>
    <w:p w14:paraId="4E65C3DE">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结合《恩平市畜牧业发展规划和种养循环发展规划（2020—2025年）》《关于印发恩平市生猪产业发展专项规划（2022—2026年）的通知》（恩府〔2024〕14号）、《恩平市人民政府关于划定畜禽养殖禁养区的通告》（恩府告〔2025〕223号）等文件，从空间上对恩平市生猪产业发展划分为生猪高质高效标准养殖样板区、生猪适度经营养殖推广示范区和生猪绿色生态循环养殖发展区，恩平市后续应通过政策引导，促进恩平市畜禽养殖往生猪适度经营养殖推广示范区和生猪高质高效标准养殖样板区转移，严格控制约束生猪绿色生态循环养殖发展区新增生猪养殖量。</w:t>
      </w:r>
    </w:p>
    <w:p w14:paraId="6AED9F63">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2.严格畜禽养殖环境准入</w:t>
      </w:r>
    </w:p>
    <w:p w14:paraId="48715D07">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严格按照江门市“三线一单”生态环境分区管控方案、国土空间规划、禁养区划定成果等管理要求，规范规模养殖场、专业户、散养户环境准入，进一步优化畜禽养殖产业布局，新增生猪产能原则上以“楼房养殖”模式为主，推动生猪养殖业向集约化、标准化、智能化方向发展。已建且不符合上述管理要求的养殖场（户），优先推动搬迁（异地重建），无法搬迁的依法予以关停，并给予合理过渡期，避免以清理代替治理。到2026年，畜禽养殖规模化率不低于83%，到2030年提升至85%以上。</w:t>
      </w:r>
    </w:p>
    <w:p w14:paraId="1FC0DE3F">
      <w:pPr>
        <w:ind w:firstLine="640"/>
        <w:outlineLvl w:val="1"/>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bookmarkStart w:id="54" w:name="_Toc1263"/>
      <w:bookmarkStart w:id="55" w:name="_Toc3299"/>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（二）提高畜禽养殖治污技术水平</w:t>
      </w:r>
      <w:bookmarkEnd w:id="54"/>
      <w:bookmarkEnd w:id="55"/>
    </w:p>
    <w:p w14:paraId="7823170B">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1.推动小散养殖规模化转型</w:t>
      </w:r>
    </w:p>
    <w:p w14:paraId="4AB9D6EB">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因地制宜发展标准化规模化养殖，引导养殖场（户）改造提升基础设施条件，提升标准化水平。加强对中小养殖场（户）的指导帮扶，支持龙头企业与中小养殖场（户）建立利益联结机制，带动中小养殖场（户）专业化生产。支持开展村企合作，统一规划建设标准化畜禽栏舍，统一饲养技术规范、动物疫病防控和粪污处理利用措施，建设高效安全、绿色环保的标准化集中养殖小区，以企业养殖水平的提升带动污染治理水平提升。</w:t>
      </w:r>
    </w:p>
    <w:p w14:paraId="7C7612F2">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2.完善畜禽粪污处理设施</w:t>
      </w:r>
    </w:p>
    <w:p w14:paraId="59ED064C">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督促畜禽规模养殖场严格按照《畜禽养殖场（户）粪污处理设施建设技术指南》有关要求完成粪污收集、处理、利用设施提档升级，生猪规模养殖场应配备液体粪污厌氧发酵和生化处理系统，全面实现达标治理。严格落实规模养殖场粪污恶臭处理措施，督导企业加强治污设施运维管理，严厉打击恶臭扰民行为。逐步推进专业户对畜禽粪污进行资源化利用，配套畜禽粪污处理设施，规范专业户排污行为，降低畜禽粪污对环境的影响。到2026年，畜禽规模养殖场粪污处理设施装备配套率达到100%，到2030年保持不降低。</w:t>
      </w:r>
    </w:p>
    <w:p w14:paraId="1D3125E0">
      <w:pPr>
        <w:ind w:firstLine="640"/>
        <w:outlineLvl w:val="1"/>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bookmarkStart w:id="56" w:name="_Toc26281"/>
      <w:bookmarkStart w:id="57" w:name="_Toc15949"/>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（三）提升畜禽粪污资源化利用水平</w:t>
      </w:r>
      <w:bookmarkEnd w:id="56"/>
      <w:bookmarkEnd w:id="57"/>
    </w:p>
    <w:p w14:paraId="3DEF7F22">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1.推动种植养殖合理布局</w:t>
      </w:r>
    </w:p>
    <w:p w14:paraId="2C0B7DB6">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推进种养结合、草畜联动，破除种养分离壁垒，畅通农业内部资源循环，推行液体粪肥机械化施用，培育粪肥还田社会化服务组织，开展试点示范，总结提炼沼液肥、堆沤肥、商品肥施用技术模式，因地制宜推广经济实用的施肥机械，提高粪肥还田效率。开展养殖粪污养分平衡管理工作，根据不同畜种粪污特点和不同作物肥料需求，科学建立粪肥还田模式，不断提升以地定养和以养肥地能力，推动种养合理布局和有效衔接。鼓励在规模种植基地周边建设与消纳能力相配套的养殖场户，积极构建新型现代农业种养结合循环发展体系，实施楼房养殖模式的生猪养殖场，其生猪养殖量可不计入生猪出栏47万头总量控制要求。</w:t>
      </w:r>
    </w:p>
    <w:p w14:paraId="252D3E4A">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2.打造种养结合循环发展格局</w:t>
      </w:r>
    </w:p>
    <w:p w14:paraId="0CE5B872">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扶持发展种养循环、种地养地结合、高床养殖等生态循环农业，重点推广种养－沼气等生态循环低碳生产模式。综合考虑全区农业资源承载力、环境容量、生态类型和发展基础等因素，促进各类生产要素向优势种养区域、特色优势产品集聚，形成特色突出、优势互补的种养结合循环发展新格局。重点围绕粮蔬、岭南水果、花卉、生猪等优势产业集群发展发掘种养循环模式。</w:t>
      </w:r>
    </w:p>
    <w:p w14:paraId="73293FDD">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3.实施粪污资源化利用行动</w:t>
      </w:r>
    </w:p>
    <w:p w14:paraId="6503CCC6">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实施恩平市完善畜禽粪污转运及有机肥生产中心建设，对本辖区内畜禽粪污进行集中收集、处理。支持推广清洁生产养殖和粪污全量收集处理利用技术模式，扶持发展第三方服务业和有机肥产业，实施有机肥替代化肥行动，促进农牧结合循环发展。围绕养殖源头、粪污处理和末端利用三大环节，促进畜禽粪污减量化、无害化、资源化。推广节水设施设备和清洁生产技术，推进粪污处理无害化。培育发展第三方收运处理利用和有机肥生产企业、在规模种植基地周边建设农牧循环型规模化畜禽养殖场、在田间地头配套建设管网和储粪（液）池等，提倡粪肥就近还田利用。</w:t>
      </w:r>
    </w:p>
    <w:p w14:paraId="536D506A">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4.强化科技创新力度</w:t>
      </w:r>
    </w:p>
    <w:p w14:paraId="6BE9C08F">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引导科研机构和企业深化合作，鼓励高校、科研院所、重点龙头企业加强合作和资源整合，发展产学研紧密结合的畜牧业科技创新联盟，构建具有较强创新能力和协同攻关能力的技术集成创新平台。重点围绕养殖节水减排、粪污综合利用等开展重大科技项目研究，努力突破重大技术瓶颈，提升畜禽养殖污染防治科技创新能力，拓宽专业户、散养户畜禽粪污综合利用途径。</w:t>
      </w:r>
    </w:p>
    <w:p w14:paraId="23310E48">
      <w:pPr>
        <w:ind w:firstLine="640"/>
        <w:outlineLvl w:val="1"/>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bookmarkStart w:id="58" w:name="_Toc17710"/>
      <w:bookmarkStart w:id="59" w:name="_Toc13418"/>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（四）强化畜禽养殖环境监管</w:t>
      </w:r>
      <w:bookmarkEnd w:id="58"/>
      <w:bookmarkEnd w:id="59"/>
    </w:p>
    <w:p w14:paraId="3AB9030E">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1.强化畜禽养殖排查统计与信息共享</w:t>
      </w:r>
    </w:p>
    <w:p w14:paraId="5E56D395">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对规模养殖场、专业户养殖情况、治污情况逐家逐户排查统计，确保应查尽查、应统尽统，相关信息规范录入国家畜禽规模养殖场直联直报信息系统，并实施动态更新。农业农村部门会同生态环境部门建立畜禽养殖信息共享机制，及时掌握畜禽养殖及治污底数，切实提升畜禽养殖及污染防治信息化管理水平。</w:t>
      </w:r>
    </w:p>
    <w:p w14:paraId="29767FFC">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2.建立健全台账管理制度</w:t>
      </w:r>
    </w:p>
    <w:p w14:paraId="59D33C0F">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加强畜禽粪污资源化利用台账管理，农业农村部门会同生态环境部门督导规模养殖场制定年度畜禽粪污资源化利用计划，于每年1月底前报农业农村部门、生态环境部门备案。督导规模养殖场规范建立台账，确保规模养殖场畜禽粪污去向可追溯。探索建立专业户畜禽粪污资源化利用台账管理制度，对专业户畜禽粪污资源化利用情况实施台账式管理。2030年实现规模养殖场畜禽粪污资源化利用计划备案率、台账建设率95%。</w:t>
      </w:r>
    </w:p>
    <w:p w14:paraId="62361FF7">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3.完善畜禽养殖环境监管制度</w:t>
      </w:r>
    </w:p>
    <w:p w14:paraId="05ED7B81">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严格执行广东省《畜禽养殖业污染物排放标准》（DB44613-2024），落实环境影响评价与排污许可制度，依法开展养殖项目环境影响评价，加强畜禽养殖废弃物排放控制管理，监督指导畜禽养殖场依法持证排污、按证排污或者进行排污登记，遵守排污许可管理有关规定。督促设有排污口的畜禽规模养殖场按排污许可证规定和有关标准规范开展自行监测，2026年底前取得排污许可证的畜禽规模养殖场自行监测率达到 100%。结合养殖场直联直报信息和全国排污许可证管理信息平台，对畜禽粪污资源化利用计划、台账和排污许可证执行报告进行抽查。</w:t>
      </w:r>
    </w:p>
    <w:p w14:paraId="337AFD77">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4.强化禁养区环境监管</w:t>
      </w:r>
    </w:p>
    <w:p w14:paraId="665B8525">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建立健全禁养区巡查工作机制，制定工作方案，每年组织开展不少于一次禁养区畜禽养殖场（户）排查整治专项行动，对于禁止建设养殖场的区域，严防区域内畜禽养殖“反弹”和“复养”现象发生；对于禁止建设有排污养殖场的区域，严防区域内畜禽养殖排污行为。</w:t>
      </w:r>
    </w:p>
    <w:p w14:paraId="10CB49DD">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5.强化畜禽养殖监管执法</w:t>
      </w:r>
    </w:p>
    <w:p w14:paraId="2899B8A6">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探索推进畜禽规模养殖场远程监管执法水平。受非洲猪瘟疫情防控影响，生猪养殖场的生态环境监督执法面临由现场执法向非现场执法过渡的局面，有必要尽快拓展非现场监管的手段及应用，将其作为日常执法检查的重要方式积极推动以自动监控为非现场监管的主要手段，推行视频监控、无人机和环保设施用水、用电监控等物联网监管手段。加大环境监管执法检查力度，依法查处无证排污、不按证排污、污染防治设施配套不到位以及粪肥超量施用污染环境等环境违法行为。逐步推进专业户环境监管执法，引导专业户增强畜禽养殖污染防治意识，规范畜禽养殖行为。</w:t>
      </w:r>
    </w:p>
    <w:p w14:paraId="024F8728">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60" w:name="_Toc24652"/>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六、</w:t>
      </w:r>
      <w:r>
        <w:rPr>
          <w:rFonts w:hint="eastAsia" w:ascii="方正仿宋_GB2312" w:hAnsi="方正仿宋_GB2312" w:eastAsia="方正仿宋_GB2312" w:cs="方正仿宋_GB2312"/>
          <w:b/>
          <w:bCs w:val="0"/>
          <w:color w:val="000000" w:themeColor="text1"/>
          <w14:textFill>
            <w14:solidFill>
              <w14:schemeClr w14:val="tx1"/>
            </w14:solidFill>
          </w14:textFill>
        </w:rPr>
        <w:t>工程投资估算与资金筹措</w:t>
      </w:r>
      <w:bookmarkEnd w:id="60"/>
    </w:p>
    <w:p w14:paraId="3326CA73">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outlineLvl w:val="1"/>
        <w:rPr>
          <w:rFonts w:hint="eastAsia" w:ascii="方正仿宋_GB2312" w:hAnsi="方正仿宋_GB2312" w:eastAsia="方正仿宋_GB2312" w:cs="方正仿宋_GB2312"/>
          <w:color w:val="auto"/>
          <w:sz w:val="30"/>
          <w:szCs w:val="30"/>
          <w:lang w:val="en-US" w:eastAsia="zh-CN"/>
        </w:rPr>
      </w:pPr>
      <w:bookmarkStart w:id="61" w:name="_Toc26017"/>
      <w:r>
        <w:rPr>
          <w:rFonts w:hint="eastAsia" w:ascii="方正仿宋_GB2312" w:hAnsi="方正仿宋_GB2312" w:eastAsia="方正仿宋_GB2312" w:cs="方正仿宋_GB2312"/>
          <w:color w:val="auto"/>
          <w:sz w:val="30"/>
          <w:szCs w:val="30"/>
          <w:lang w:val="en-US" w:eastAsia="zh-CN"/>
        </w:rPr>
        <w:t>（一）重点工程</w:t>
      </w:r>
      <w:bookmarkEnd w:id="61"/>
    </w:p>
    <w:p w14:paraId="59966738">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我市畜禽养殖污染防治重点工程主要为恩平市粪污集中处理中心（有机肥厂）项目。东裕肥生物科技有限公司为项目建设单位，选址定在恩城街道办南联村委会林场，占地面积约40亩，项目计划总投资3155.44万元，其中中央资金投资1492.94万元，企业自筹资金1662.5万元。该公司于2025年6月23日通过报价择牌方式取得地块土地使用权。畜禽粪污集中处理中心（有机肥厂）区主要建筑包含有机肥生产厂房、目前国内领先技术的畜禽粪便微生物菌剂发酵槽16条、智能发酵系统16套、翻耕机2台、原料仓库、成品库、包装车间、实验室、办公室、宿舍及其他辅助用房等，总建筑面积约20000㎡。达到年处理养殖场固体粪渣和废弃木屑秸梗草料混合料16万吨以上，共规划建设两条生产线，年生产标准生物有机肥（水分30%）约10万吨（包括：一条5万吨粒状有机肥生产线、一条5万吨粉状有机肥生产线），有效解决恩平市畜禽养殖粪便环境污染难题，项目建成后，通过回收养殖场处理不了的粪污和规模以下散户粪污，进行集中无害化处理，生产有机肥，提高全市畜禽粪污肥料化利用率。</w:t>
      </w:r>
    </w:p>
    <w:p w14:paraId="707C1EE8">
      <w:pPr>
        <w:ind w:firstLine="640"/>
        <w:outlineLvl w:val="1"/>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bookmarkStart w:id="62" w:name="_Toc24519"/>
      <w:bookmarkStart w:id="63" w:name="_Toc15206"/>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（二）资金筹措</w:t>
      </w:r>
      <w:bookmarkEnd w:id="62"/>
      <w:bookmarkEnd w:id="63"/>
    </w:p>
    <w:p w14:paraId="00C04015">
      <w:pPr>
        <w:ind w:firstLine="640"/>
        <w:rPr>
          <w:rFonts w:hint="eastAsia" w:ascii="方正仿宋_GB2312" w:hAnsi="方正仿宋_GB2312" w:eastAsia="方正仿宋_GB2312" w:cs="方正仿宋_GB2312"/>
          <w:color w:val="000000" w:themeColor="text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在资金筹措时，应加强相关部门沟通协调，积极申报中央、地方环保涉农专项资金、整合各类相关建设资金，发挥资金聚集效应，逐步形成发展种养结合循环农业的强大合力，形成畜禽粪污处理全产业链。鼓励培育壮大多种类型的粪污处理社会化服务组织，实行专业化生产、区场化运营，通过建立受益者付费机制，保障第三方处理企业和社会化服务组织合理收益，实现环境治理和企业发展双赢。</w:t>
      </w:r>
    </w:p>
    <w:p w14:paraId="65E0F413">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64" w:name="_Toc187940546"/>
      <w:bookmarkStart w:id="65" w:name="_Toc26707"/>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七、</w:t>
      </w:r>
      <w:r>
        <w:rPr>
          <w:rFonts w:hint="eastAsia" w:ascii="方正仿宋_GB2312" w:hAnsi="方正仿宋_GB2312" w:eastAsia="方正仿宋_GB2312" w:cs="方正仿宋_GB2312"/>
          <w:b/>
          <w:bCs w:val="0"/>
          <w:color w:val="000000" w:themeColor="text1"/>
          <w14:textFill>
            <w14:solidFill>
              <w14:schemeClr w14:val="tx1"/>
            </w14:solidFill>
          </w14:textFill>
        </w:rPr>
        <w:t>效益分析</w:t>
      </w:r>
      <w:bookmarkEnd w:id="64"/>
      <w:bookmarkEnd w:id="65"/>
    </w:p>
    <w:p w14:paraId="020071A6">
      <w:pPr>
        <w:numPr>
          <w:ilvl w:val="0"/>
          <w:numId w:val="0"/>
        </w:numPr>
        <w:ind w:left="0" w:leftChars="0" w:firstLine="64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66" w:name="_Toc26986"/>
      <w:bookmarkStart w:id="67" w:name="_Toc18794054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环境效益分析</w:t>
      </w:r>
      <w:bookmarkEnd w:id="66"/>
      <w:bookmarkEnd w:id="67"/>
    </w:p>
    <w:p w14:paraId="6902E98A">
      <w:pPr>
        <w:ind w:firstLine="640"/>
        <w:outlineLvl w:val="9"/>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我</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szCs w:val="24"/>
          <w14:textFill>
            <w14:solidFill>
              <w14:schemeClr w14:val="tx1"/>
            </w14:solidFill>
          </w14:textFill>
        </w:rPr>
        <w:t>重点工程的实施，能够加快推进我</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szCs w:val="24"/>
          <w14:textFill>
            <w14:solidFill>
              <w14:schemeClr w14:val="tx1"/>
            </w14:solidFill>
          </w14:textFill>
        </w:rPr>
        <w:t>规模养殖场养殖废弃物综合利用和污染治理设施建设优化的进程，减少污染物排放，带动区域粪肥就地就近利用，建立起农牧结合、种养循环的农业可持续发展机制，促进农牧循环发展。通过环境准入和倒逼作用，防止粪污直排和场外丢弃，能够有效改善农村生活环境，以及地表水、地下水、大气、土壤环境。</w:t>
      </w:r>
    </w:p>
    <w:p w14:paraId="2FC63DD5">
      <w:pPr>
        <w:numPr>
          <w:ilvl w:val="0"/>
          <w:numId w:val="0"/>
        </w:numPr>
        <w:ind w:left="0" w:leftChars="0" w:firstLine="64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68" w:name="_Toc187940548"/>
      <w:bookmarkStart w:id="69" w:name="_Toc22242"/>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14:textFill>
            <w14:solidFill>
              <w14:schemeClr w14:val="tx1"/>
            </w14:solidFill>
          </w14:textFill>
        </w:rPr>
        <w:t>经济效益分析</w:t>
      </w:r>
      <w:bookmarkEnd w:id="68"/>
      <w:bookmarkEnd w:id="69"/>
    </w:p>
    <w:p w14:paraId="633EE107">
      <w:pPr>
        <w:ind w:firstLine="640"/>
        <w:outlineLvl w:val="9"/>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规划的实施能够有效促进产业发展和农民增收。通过落实严格环境准入、强化污染源头管控、加强技术引导示范、推行清洁养殖方式等措施，将促进畜禽养殖业结构调整和布局优化，引导产业生态化、规模化、集约化转型，增强可持续发展能力。同时，在落实严格环境准入、强化污染源头管控、加强技术引导示范、推行清洁养殖方式等措施的同时，也将促进畜禽养殖业的结构调整和布局优化，引导产业生态化、规模化、集约化转型，增强可持续发展能力。推动养殖业绿色发展，将有效推进种养循环，使养殖业和种植业废弃物得到有效使用，降低种养业生产成本，增强农业产业竞争力。有机肥生产、沼气能源工程建设，将促进废弃物综合利用和产业链有效延伸，提高农产品品质和价值，提升产业综合效益，拓宽农民创收渠道，增加农民收入。</w:t>
      </w:r>
    </w:p>
    <w:p w14:paraId="7E4BC2C6">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70" w:name="_Toc14705"/>
      <w:bookmarkStart w:id="71" w:name="_Toc187940549"/>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社会效益分析</w:t>
      </w:r>
      <w:bookmarkEnd w:id="70"/>
      <w:bookmarkEnd w:id="71"/>
    </w:p>
    <w:p w14:paraId="02EE4297">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szCs w:val="24"/>
          <w14:textFill>
            <w14:solidFill>
              <w14:schemeClr w14:val="tx1"/>
            </w14:solidFill>
          </w14:textFill>
        </w:rPr>
        <w:t>促进农村经济社会可持续发展。通过落实畜禽养殖污染防治规划，将畜禽粪污等废弃物转变为有机肥等资源，变废为宝。既减轻了环境保护压力，又拓宽了农民增收渠道；推动有机肥替代化肥，减少了化肥使用量，同时增施有机肥可提高农作物抗性，减轻病虫害的发生，降低农药使用量，从而节约种植成本，促进农民增收；通过畜禽粪污资源化利用模式的推广，将有效促进区域农牧结合、种养循环，实现农业可持续发展。提升农民生活水平。项目的实施，将有效减少畜禽粪污排放、减轻养殖气味污染，从而改善农村居住环境，推动美丽乡村建设。</w:t>
      </w:r>
    </w:p>
    <w:p w14:paraId="2D8149B8">
      <w:pPr>
        <w:pStyle w:val="2"/>
        <w:numPr>
          <w:ilvl w:val="0"/>
          <w:numId w:val="0"/>
        </w:numPr>
        <w:ind w:left="0" w:leftChars="0" w:firstLine="643" w:firstLineChars="200"/>
        <w:rPr>
          <w:rFonts w:hint="eastAsia" w:ascii="方正仿宋_GB2312" w:hAnsi="方正仿宋_GB2312" w:eastAsia="方正仿宋_GB2312" w:cs="方正仿宋_GB2312"/>
          <w:color w:val="000000" w:themeColor="text1"/>
          <w14:textFill>
            <w14:solidFill>
              <w14:schemeClr w14:val="tx1"/>
            </w14:solidFill>
          </w14:textFill>
        </w:rPr>
      </w:pPr>
      <w:bookmarkStart w:id="72" w:name="_Toc22863"/>
      <w:r>
        <w:rPr>
          <w:rFonts w:hint="eastAsia" w:ascii="方正仿宋_GB2312" w:hAnsi="方正仿宋_GB2312" w:eastAsia="方正仿宋_GB2312" w:cs="方正仿宋_GB2312"/>
          <w:b/>
          <w:bCs w:val="0"/>
          <w:i w:val="0"/>
          <w:color w:val="000000" w:themeColor="text1"/>
          <w:spacing w:val="0"/>
          <w:w w:val="100"/>
          <w:kern w:val="44"/>
          <w:position w:val="0"/>
          <w:sz w:val="32"/>
          <w:szCs w:val="44"/>
          <w:u w:val="none"/>
          <w:lang w:val="en-US" w:eastAsia="zh-CN" w:bidi="ar-SA"/>
          <w14:textFill>
            <w14:solidFill>
              <w14:schemeClr w14:val="tx1"/>
            </w14:solidFill>
          </w14:textFill>
        </w:rPr>
        <w:t>八、</w:t>
      </w:r>
      <w:r>
        <w:rPr>
          <w:rFonts w:hint="eastAsia" w:ascii="方正仿宋_GB2312" w:hAnsi="方正仿宋_GB2312" w:eastAsia="方正仿宋_GB2312" w:cs="方正仿宋_GB2312"/>
          <w:b/>
          <w:bCs w:val="0"/>
          <w:color w:val="000000" w:themeColor="text1"/>
          <w14:textFill>
            <w14:solidFill>
              <w14:schemeClr w14:val="tx1"/>
            </w14:solidFill>
          </w14:textFill>
        </w:rPr>
        <w:t>规划实施保障措施</w:t>
      </w:r>
      <w:bookmarkEnd w:id="72"/>
    </w:p>
    <w:p w14:paraId="1A295C12">
      <w:pPr>
        <w:numPr>
          <w:ilvl w:val="0"/>
          <w:numId w:val="0"/>
        </w:numPr>
        <w:ind w:left="0" w:leftChars="0" w:firstLine="64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73" w:name="_Toc2503"/>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（一）</w:t>
      </w:r>
      <w:r>
        <w:rPr>
          <w:rFonts w:hint="eastAsia" w:ascii="方正仿宋_GB2312" w:hAnsi="方正仿宋_GB2312" w:eastAsia="方正仿宋_GB2312" w:cs="方正仿宋_GB2312"/>
          <w:color w:val="000000" w:themeColor="text1"/>
          <w14:textFill>
            <w14:solidFill>
              <w14:schemeClr w14:val="tx1"/>
            </w14:solidFill>
          </w14:textFill>
        </w:rPr>
        <w:t>组织保障</w:t>
      </w:r>
      <w:bookmarkEnd w:id="73"/>
    </w:p>
    <w:p w14:paraId="04941541">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畜禽养殖污染防治工作是全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环境保护的一项重点工作，关系到广大人民群众的切身利益，关系到全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经济社会的协调可持续发展。各镇人民政府和各有关部门要充分认识到畜禽养殖污染防治工作的重要性和紧迫性，从构建和谐社会的高度认真抓好此项工作，确保顺利推进，切实加强对畜禽养殖污染防治工作的组织领导。</w:t>
      </w:r>
    </w:p>
    <w:p w14:paraId="3FFFFFF5">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1.加强组织领导，明确职责分工和统筹协调</w:t>
      </w:r>
    </w:p>
    <w:p w14:paraId="5B0B2D53">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全面落实政府、部门和养殖场主体责任，切实明确政府推进和完善治理机制，成立全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畜禽养殖污染防治与废弃物资源化利用工作办公室。统筹农业农村局、生态环境局、财政局、自然资源局、林业局等相关部门协调推进。</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江门</w:t>
      </w:r>
      <w:r>
        <w:rPr>
          <w:rFonts w:hint="eastAsia" w:ascii="方正仿宋_GB2312" w:hAnsi="方正仿宋_GB2312" w:eastAsia="方正仿宋_GB2312" w:cs="方正仿宋_GB2312"/>
          <w:color w:val="000000" w:themeColor="text1"/>
          <w14:textFill>
            <w14:solidFill>
              <w14:schemeClr w14:val="tx1"/>
            </w14:solidFill>
          </w14:textFill>
        </w:rPr>
        <w:t>市生态环境局</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w:t>
      </w:r>
      <w:r>
        <w:rPr>
          <w:rFonts w:hint="eastAsia" w:ascii="方正仿宋_GB2312" w:hAnsi="方正仿宋_GB2312" w:eastAsia="方正仿宋_GB2312" w:cs="方正仿宋_GB2312"/>
          <w:color w:val="000000" w:themeColor="text1"/>
          <w14:textFill>
            <w14:solidFill>
              <w14:schemeClr w14:val="tx1"/>
            </w14:solidFill>
          </w14:textFill>
        </w:rPr>
        <w:t>分局负责畜禽养殖污染防治的统一监督管理，在职责范围内依法对行政区域内畜禽养殖污染防治实施监督管理，负责排污申报登记等工作，指导、监督污染处理设施建设，加强环境污染治理设施执行“三同时”的监督检测检查。</w:t>
      </w:r>
    </w:p>
    <w:p w14:paraId="56D6A264">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农业农村局：负责畜禽粪污资源化利用工作的沟通协调，做好畜禽养殖废弃物综合利用的指导和服务；指导开展标准化示范养殖场创建工作；开展标准化示范养殖场创建、畜禽粪污处理的培训指导，改进养殖工艺和设备，加快设施设备升级。</w:t>
      </w:r>
    </w:p>
    <w:p w14:paraId="0320BCFC">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财政局：负责统筹保障畜禽养殖污染防治所需的工作经费；配合做好畜禽养殖污染防治相关项目资金申报工作；按规定及时拨付畜禽养殖污染防治相关资金。</w:t>
      </w:r>
    </w:p>
    <w:p w14:paraId="19FEBD2E">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自然资源局：负责对规模化畜禽养殖生产设施用地及附属设施用地进行审核备案，对不符合设施农用地备案要求的，严格按照建设用地报批管理。严格占用基本农田，依法查处违法用地行为。</w:t>
      </w:r>
    </w:p>
    <w:p w14:paraId="5CAC58F1">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林业局：负责做好畜禽养殖禁养区划定中涉及林地的工作。</w:t>
      </w:r>
    </w:p>
    <w:p w14:paraId="6CDB7C4E">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水</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利</w:t>
      </w:r>
      <w:r>
        <w:rPr>
          <w:rFonts w:hint="eastAsia" w:ascii="方正仿宋_GB2312" w:hAnsi="方正仿宋_GB2312" w:eastAsia="方正仿宋_GB2312" w:cs="方正仿宋_GB2312"/>
          <w:color w:val="000000" w:themeColor="text1"/>
          <w14:textFill>
            <w14:solidFill>
              <w14:schemeClr w14:val="tx1"/>
            </w14:solidFill>
          </w14:textFill>
        </w:rPr>
        <w:t>局：积极协助开展养殖场综合治理工作。</w:t>
      </w:r>
    </w:p>
    <w:p w14:paraId="5ADCEE1D">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2.积极推动畜禽养殖发展模式转变，抓好主体责任落实</w:t>
      </w:r>
    </w:p>
    <w:p w14:paraId="68A7C332">
      <w:pPr>
        <w:ind w:firstLine="64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积极推动“公司+农户”和集中式养殖小区模式的推广，通过优化全</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市</w:t>
      </w:r>
      <w:r>
        <w:rPr>
          <w:rFonts w:hint="eastAsia" w:ascii="方正仿宋_GB2312" w:hAnsi="方正仿宋_GB2312" w:eastAsia="方正仿宋_GB2312" w:cs="方正仿宋_GB2312"/>
          <w:color w:val="000000" w:themeColor="text1"/>
          <w14:textFill>
            <w14:solidFill>
              <w14:schemeClr w14:val="tx1"/>
            </w14:solidFill>
          </w14:textFill>
        </w:rPr>
        <w:t>养殖发展模式，管理部门抓住公司或养殖小区管理部门主体责任，公司则负责养殖场（户）日常监督管理，形成两级直管方式，切实提高畜禽养殖监管的效率和力度。</w:t>
      </w:r>
    </w:p>
    <w:p w14:paraId="61BB62C1">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抓好主体责任落实。公司（合作社）负责对养殖场进行养殖方式指导、污染防治要求指导和监督等工作，各畜禽养殖场、养殖小区、养殖户等排污单位要严格执行畜禽污染防治法律法规、制度和技术标准，建立完善环境保护责任制度，切实加强污染治理设施建设和运行管理，确保污染防治设施正常运行和污染物达标治理。重点规模化畜禽养殖场必须取得排污许可，规范安装污水排放在线监测设施。</w:t>
      </w:r>
    </w:p>
    <w:p w14:paraId="351F8B2C">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74" w:name="_Toc21528"/>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（二）</w:t>
      </w:r>
      <w:r>
        <w:rPr>
          <w:rFonts w:hint="eastAsia" w:ascii="方正仿宋_GB2312" w:hAnsi="方正仿宋_GB2312" w:eastAsia="方正仿宋_GB2312" w:cs="方正仿宋_GB2312"/>
          <w:color w:val="000000" w:themeColor="text1"/>
          <w14:textFill>
            <w14:solidFill>
              <w14:schemeClr w14:val="tx1"/>
            </w14:solidFill>
          </w14:textFill>
        </w:rPr>
        <w:t>资金保障</w:t>
      </w:r>
      <w:bookmarkEnd w:id="74"/>
    </w:p>
    <w:p w14:paraId="24EF75FB">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积极争取国家和省级相关财政资金支持，利用环保和涉农财政资金渠道，逐步加大对畜禽养殖污染防治的投入。充分运用税收、信贷、价格等经济手段，吸引地方和社会资金投入畜禽养殖污染防治，减少污染防治资金压力。结合</w:t>
      </w:r>
      <w:r>
        <w:rPr>
          <w:rFonts w:hint="eastAsia" w:ascii="方正仿宋_GB2312" w:hAnsi="方正仿宋_GB2312" w:eastAsia="方正仿宋_GB2312" w:cs="方正仿宋_GB2312"/>
          <w:color w:val="000000" w:themeColor="text1"/>
          <w:lang w:eastAsia="zh-CN"/>
          <w14:textFill>
            <w14:solidFill>
              <w14:schemeClr w14:val="tx1"/>
            </w14:solidFill>
          </w14:textFill>
        </w:rPr>
        <w:t>恩平市</w:t>
      </w:r>
      <w:r>
        <w:rPr>
          <w:rFonts w:hint="eastAsia" w:ascii="方正仿宋_GB2312" w:hAnsi="方正仿宋_GB2312" w:eastAsia="方正仿宋_GB2312" w:cs="方正仿宋_GB2312"/>
          <w:color w:val="000000" w:themeColor="text1"/>
          <w14:textFill>
            <w14:solidFill>
              <w14:schemeClr w14:val="tx1"/>
            </w14:solidFill>
          </w14:textFill>
        </w:rPr>
        <w:t>财政实际，推动财政补贴、业主自筹、社会投入等多种资金支持政策落地，逐步建立财政、企业、社会多元化投入机制，做好畜禽养殖污染防治资金保障。优先制定和实施针对畜禽养殖废弃物减量化、资源化利用和无害化处置等废弃物资源化利用、污染治理设施建设和运营，以及环评收费、后期环境监测收费等优惠和扶持措施。</w:t>
      </w:r>
    </w:p>
    <w:p w14:paraId="582C605F">
      <w:pPr>
        <w:pStyle w:val="3"/>
        <w:numPr>
          <w:ilvl w:val="1"/>
          <w:numId w:val="0"/>
        </w:numPr>
        <w:ind w:left="0" w:leftChars="0" w:firstLine="640" w:firstLineChars="0"/>
        <w:rPr>
          <w:rFonts w:hint="eastAsia" w:ascii="方正仿宋_GB2312" w:hAnsi="方正仿宋_GB2312" w:eastAsia="方正仿宋_GB2312" w:cs="方正仿宋_GB2312"/>
          <w:color w:val="000000" w:themeColor="text1"/>
          <w14:textFill>
            <w14:solidFill>
              <w14:schemeClr w14:val="tx1"/>
            </w14:solidFill>
          </w14:textFill>
        </w:rPr>
      </w:pPr>
      <w:bookmarkStart w:id="75" w:name="_Toc32297"/>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人才和技术保障</w:t>
      </w:r>
      <w:bookmarkEnd w:id="75"/>
    </w:p>
    <w:p w14:paraId="335D21C4">
      <w:pPr>
        <w:ind w:firstLine="64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鼓励建立有机废弃物收集转化利用网络体系，发展社会化服务组织。推行经济高效的粪污资源化利用技术模式，逐步改进粪肥施用方式，鼓励全量收集和利用畜禽粪污。加强畜禽废弃物治理和资源化利用技术交流和业务培训，作为新型农民科技培训、农村劳动力转移培训和农民素质教育工程的重要内容，纳入相关农业技术或养殖技能培训当中，逐步提高从业人员的污染防治技术水平。支持养殖企业与高校、科研院所合作，通过技术研发和生产实践，创新畜禽养殖污染防治的新方法、新途径。</w:t>
      </w:r>
    </w:p>
    <w:p w14:paraId="35EFEFCA">
      <w:pPr>
        <w:numPr>
          <w:ilvl w:val="0"/>
          <w:numId w:val="0"/>
        </w:numPr>
        <w:ind w:left="0" w:leftChars="0" w:firstLine="640" w:firstLineChars="0"/>
        <w:outlineLvl w:val="1"/>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pPr>
      <w:bookmarkStart w:id="76" w:name="_Toc20568"/>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（四）加强监管执法</w:t>
      </w:r>
      <w:bookmarkEnd w:id="76"/>
    </w:p>
    <w:p w14:paraId="268E8AEA">
      <w:pPr>
        <w:numPr>
          <w:ilvl w:val="0"/>
          <w:numId w:val="0"/>
        </w:numPr>
        <w:ind w:left="0" w:leftChars="0" w:firstLine="640" w:firstLineChars="0"/>
        <w:outlineLvl w:val="9"/>
        <w:rPr>
          <w:rFonts w:hint="eastAsia" w:ascii="方正仿宋_GB2312" w:hAnsi="方正仿宋_GB2312" w:eastAsia="方正仿宋_GB2312" w:cs="方正仿宋_GB2312"/>
          <w:bCs w:val="0"/>
          <w:color w:val="000000" w:themeColor="text1"/>
          <w:kern w:val="2"/>
          <w:sz w:val="32"/>
          <w:szCs w:val="21"/>
          <w:lang w:val="en-US" w:eastAsia="zh-CN" w:bidi="ar-SA"/>
          <w14:textFill>
            <w14:solidFill>
              <w14:schemeClr w14:val="tx1"/>
            </w14:solidFill>
          </w14:textFill>
        </w:rPr>
      </w:pPr>
      <w:r>
        <w:rPr>
          <w:rFonts w:hint="eastAsia" w:ascii="方正仿宋_GB2312" w:hAnsi="方正仿宋_GB2312" w:eastAsia="方正仿宋_GB2312" w:cs="方正仿宋_GB2312"/>
          <w:bCs w:val="0"/>
          <w:color w:val="000000" w:themeColor="text1"/>
          <w:kern w:val="2"/>
          <w:sz w:val="32"/>
          <w:szCs w:val="21"/>
          <w:lang w:val="en-US" w:eastAsia="zh-CN" w:bidi="ar-SA"/>
          <w14:textFill>
            <w14:solidFill>
              <w14:schemeClr w14:val="tx1"/>
            </w14:solidFill>
          </w14:textFill>
        </w:rPr>
        <w:t>通过多部门联合监督、专项监督和日常性监督等多种监管方式加大畜禽养殖污染日常监督和执法管理。加强对畜禽养殖业污染减排工作的督查和调度，确保完成国家、省、市下达的减排目标任务。采取多种检查方式，重点加强对已完成治理的畜禽规模养殖场以及畜禽粪便收集处理设施的现场监督，对偷排、漏排、直排等违法行为依法严厉查处。</w:t>
      </w:r>
    </w:p>
    <w:p w14:paraId="536C3A65">
      <w:pPr>
        <w:numPr>
          <w:ilvl w:val="0"/>
          <w:numId w:val="0"/>
        </w:numPr>
        <w:ind w:left="0" w:leftChars="0" w:firstLine="640" w:firstLineChars="0"/>
        <w:outlineLvl w:val="1"/>
        <w:rPr>
          <w:rFonts w:hint="eastAsia" w:ascii="方正仿宋_GB2312" w:hAnsi="方正仿宋_GB2312" w:eastAsia="方正仿宋_GB2312" w:cs="方正仿宋_GB2312"/>
          <w:bCs w:val="0"/>
          <w:color w:val="000000" w:themeColor="text1"/>
          <w:kern w:val="2"/>
          <w:sz w:val="32"/>
          <w:szCs w:val="21"/>
          <w:lang w:val="en-US" w:eastAsia="zh-CN" w:bidi="ar-SA"/>
          <w14:textFill>
            <w14:solidFill>
              <w14:schemeClr w14:val="tx1"/>
            </w14:solidFill>
          </w14:textFill>
        </w:rPr>
      </w:pPr>
      <w:bookmarkStart w:id="77" w:name="_Toc26192"/>
      <w:r>
        <w:rPr>
          <w:rFonts w:hint="eastAsia" w:ascii="方正仿宋_GB2312" w:hAnsi="方正仿宋_GB2312" w:eastAsia="方正仿宋_GB2312" w:cs="方正仿宋_GB2312"/>
          <w:b w:val="0"/>
          <w:bCs/>
          <w:i w:val="0"/>
          <w:color w:val="000000" w:themeColor="text1"/>
          <w:kern w:val="2"/>
          <w:sz w:val="32"/>
          <w:szCs w:val="32"/>
          <w:u w:val="none"/>
          <w:lang w:val="en-US" w:eastAsia="zh-CN" w:bidi="ar-SA"/>
          <w14:textFill>
            <w14:solidFill>
              <w14:schemeClr w14:val="tx1"/>
            </w14:solidFill>
          </w14:textFill>
        </w:rPr>
        <w:t>（五）加强宣传引导</w:t>
      </w:r>
      <w:bookmarkEnd w:id="77"/>
    </w:p>
    <w:p w14:paraId="7134C2BA">
      <w:pPr>
        <w:numPr>
          <w:ilvl w:val="0"/>
          <w:numId w:val="0"/>
        </w:numPr>
        <w:ind w:left="0" w:leftChars="0" w:firstLine="640" w:firstLineChars="0"/>
        <w:outlineLvl w:val="9"/>
        <w:rPr>
          <w:rFonts w:hint="eastAsia" w:ascii="方正仿宋_GB2312" w:hAnsi="方正仿宋_GB2312" w:eastAsia="方正仿宋_GB2312" w:cs="方正仿宋_GB2312"/>
          <w:bCs w:val="0"/>
          <w:color w:val="000000" w:themeColor="text1"/>
          <w:kern w:val="2"/>
          <w:sz w:val="32"/>
          <w:szCs w:val="21"/>
          <w:lang w:val="en-US" w:eastAsia="zh-CN" w:bidi="ar-SA"/>
          <w14:textFill>
            <w14:solidFill>
              <w14:schemeClr w14:val="tx1"/>
            </w14:solidFill>
          </w14:textFill>
        </w:rPr>
      </w:pPr>
      <w:r>
        <w:rPr>
          <w:rFonts w:hint="eastAsia" w:ascii="方正仿宋_GB2312" w:hAnsi="方正仿宋_GB2312" w:eastAsia="方正仿宋_GB2312" w:cs="方正仿宋_GB2312"/>
          <w:bCs w:val="0"/>
          <w:color w:val="000000" w:themeColor="text1"/>
          <w:kern w:val="2"/>
          <w:sz w:val="32"/>
          <w:szCs w:val="21"/>
          <w:lang w:val="en-US" w:eastAsia="zh-CN" w:bidi="ar-SA"/>
          <w14:textFill>
            <w14:solidFill>
              <w14:schemeClr w14:val="tx1"/>
            </w14:solidFill>
          </w14:textFill>
        </w:rPr>
        <w:t>积极开展畜禽养殖污染防治工作的宣传教育，总结凝练整治效果较好的典型案例、典型模式，广泛推广应用。通过广播、电视、报刊、网络、微博、微信等不同媒介，开展畜禽养殖污染防治的舆论宣传，切实提高养殖场（户）和广大群众的环保意识。积极鼓励村民自治组织制定相关规程，规范畜禽养殖行为，进一步提高广大养殖户和人民群众的责任意识和主人翁意识，形成群防群治畜禽养殖污染的良好氛围。宣传引导及公众参与。</w:t>
      </w:r>
    </w:p>
    <w:p w14:paraId="5C9DC9B3">
      <w:pPr>
        <w:ind w:firstLine="640"/>
        <w:rPr>
          <w:rFonts w:hint="eastAsia" w:ascii="方正仿宋_GB2312" w:hAnsi="方正仿宋_GB2312" w:eastAsia="方正仿宋_GB2312" w:cs="方正仿宋_GB2312"/>
          <w:color w:val="000000" w:themeColor="text1"/>
          <w14:textFill>
            <w14:solidFill>
              <w14:schemeClr w14:val="tx1"/>
            </w14:solidFill>
          </w14:textFill>
        </w:rPr>
      </w:pPr>
    </w:p>
    <w:p w14:paraId="16DCC889">
      <w:pPr>
        <w:ind w:firstLine="640"/>
        <w:rPr>
          <w:rFonts w:hint="eastAsia" w:ascii="方正仿宋_GB2312" w:hAnsi="方正仿宋_GB2312" w:eastAsia="方正仿宋_GB2312" w:cs="方正仿宋_GB2312"/>
          <w:color w:val="000000" w:themeColor="text1"/>
          <w:szCs w:val="24"/>
          <w14:textFill>
            <w14:solidFill>
              <w14:schemeClr w14:val="tx1"/>
            </w14:solidFill>
          </w14:textFill>
        </w:rPr>
        <w:sectPr>
          <w:footerReference r:id="rId26" w:type="default"/>
          <w:footerReference r:id="rId27" w:type="even"/>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21D0970D">
      <w:pPr>
        <w:numPr>
          <w:ilvl w:val="0"/>
          <w:numId w:val="0"/>
        </w:numPr>
        <w:ind w:left="640"/>
        <w:outlineLvl w:val="0"/>
        <w:rPr>
          <w:rFonts w:hint="eastAsia" w:ascii="方正仿宋_GB2312" w:hAnsi="方正仿宋_GB2312" w:eastAsia="方正仿宋_GB2312" w:cs="方正仿宋_GB2312"/>
          <w:color w:val="000000" w:themeColor="text1"/>
          <w:lang w:eastAsia="zh-CN"/>
          <w14:textFill>
            <w14:solidFill>
              <w14:schemeClr w14:val="tx1"/>
            </w14:solidFill>
          </w14:textFill>
        </w:rPr>
      </w:pPr>
      <w:bookmarkStart w:id="78" w:name="_Toc17866"/>
      <w:r>
        <w:rPr>
          <w:rFonts w:hint="eastAsia" w:ascii="方正仿宋_GB2312" w:hAnsi="方正仿宋_GB2312" w:eastAsia="方正仿宋_GB2312" w:cs="方正仿宋_GB2312"/>
          <w:color w:val="000000" w:themeColor="text1"/>
          <w14:textFill>
            <w14:solidFill>
              <w14:schemeClr w14:val="tx1"/>
            </w14:solidFill>
          </w14:textFill>
        </w:rPr>
        <w:t>附件</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bookmarkEnd w:id="78"/>
    </w:p>
    <w:p w14:paraId="6519BB1D">
      <w:pPr>
        <w:spacing w:line="0" w:lineRule="atLeast"/>
        <w:ind w:firstLine="0" w:firstLineChars="0"/>
        <w:jc w:val="both"/>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79" w:name="_Toc11883"/>
      <w:r>
        <w:rPr>
          <w:rFonts w:hint="eastAsia" w:ascii="方正仿宋_GB2312" w:hAnsi="方正仿宋_GB2312" w:eastAsia="方正仿宋_GB2312" w:cs="方正仿宋_GB2312"/>
          <w:color w:val="000000" w:themeColor="text1"/>
          <w:szCs w:val="24"/>
          <w14:textFill>
            <w14:solidFill>
              <w14:schemeClr w14:val="tx1"/>
            </w14:solidFill>
          </w14:textFill>
        </w:rPr>
        <w:t>附表</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1</w:t>
      </w:r>
      <w:r>
        <w:rPr>
          <w:rFonts w:hint="eastAsia" w:ascii="方正仿宋_GB2312" w:hAnsi="方正仿宋_GB2312" w:eastAsia="方正仿宋_GB2312" w:cs="方正仿宋_GB2312"/>
          <w:color w:val="000000" w:themeColor="text1"/>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Cs w:val="24"/>
          <w:lang w:val="en-US" w:eastAsia="zh-CN"/>
          <w14:textFill>
            <w14:solidFill>
              <w14:schemeClr w14:val="tx1"/>
            </w14:solidFill>
          </w14:textFill>
        </w:rPr>
        <w:t>恩平市生猪</w:t>
      </w:r>
      <w:r>
        <w:rPr>
          <w:rFonts w:hint="eastAsia" w:ascii="方正仿宋_GB2312" w:hAnsi="方正仿宋_GB2312" w:eastAsia="方正仿宋_GB2312" w:cs="方正仿宋_GB2312"/>
          <w:color w:val="000000" w:themeColor="text1"/>
          <w:szCs w:val="24"/>
          <w14:textFill>
            <w14:solidFill>
              <w14:schemeClr w14:val="tx1"/>
            </w14:solidFill>
          </w14:textFill>
        </w:rPr>
        <w:t>养殖场现状养殖情况统计表</w:t>
      </w:r>
      <w:bookmarkEnd w:id="79"/>
    </w:p>
    <w:tbl>
      <w:tblPr>
        <w:tblStyle w:val="21"/>
        <w:tblW w:w="92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296"/>
        <w:gridCol w:w="996"/>
        <w:gridCol w:w="2039"/>
        <w:gridCol w:w="2627"/>
        <w:gridCol w:w="776"/>
        <w:gridCol w:w="886"/>
      </w:tblGrid>
      <w:tr w14:paraId="207F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BCFA7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序号</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0EAC0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县（市、区）</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F204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镇街</w:t>
            </w:r>
          </w:p>
        </w:tc>
        <w:tc>
          <w:tcPr>
            <w:tcW w:w="20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2A6EC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养殖场名称</w:t>
            </w:r>
          </w:p>
        </w:tc>
        <w:tc>
          <w:tcPr>
            <w:tcW w:w="2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E77D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是否“公司+农户”</w:t>
            </w:r>
            <w:r>
              <w:rPr>
                <w:rStyle w:val="145"/>
                <w:rFonts w:hint="eastAsia" w:ascii="方正仿宋_GB2312" w:hAnsi="方正仿宋_GB2312" w:eastAsia="方正仿宋_GB2312" w:cs="方正仿宋_GB2312"/>
                <w:lang w:val="en-US" w:eastAsia="zh-CN" w:bidi="ar"/>
              </w:rPr>
              <w:t>（如选“是”，填写公司名称）</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EFA7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存栏量</w:t>
            </w:r>
          </w:p>
        </w:tc>
      </w:tr>
      <w:tr w14:paraId="18AE5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44713">
            <w:pPr>
              <w:snapToGrid w:val="0"/>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8"/>
                <w:szCs w:val="28"/>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2353E">
            <w:pPr>
              <w:snapToGrid w:val="0"/>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8"/>
                <w:szCs w:val="2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102E7">
            <w:pPr>
              <w:snapToGrid w:val="0"/>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8"/>
                <w:szCs w:val="28"/>
                <w:u w:val="none"/>
              </w:rPr>
            </w:pPr>
          </w:p>
        </w:tc>
        <w:tc>
          <w:tcPr>
            <w:tcW w:w="20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CCFAAC">
            <w:pPr>
              <w:snapToGrid w:val="0"/>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8"/>
                <w:szCs w:val="28"/>
                <w:u w:val="none"/>
              </w:rPr>
            </w:pPr>
          </w:p>
        </w:tc>
        <w:tc>
          <w:tcPr>
            <w:tcW w:w="2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8948C">
            <w:pPr>
              <w:snapToGrid w:val="0"/>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8"/>
                <w:szCs w:val="28"/>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14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母猪</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01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肉猪</w:t>
            </w:r>
          </w:p>
        </w:tc>
      </w:tr>
      <w:tr w14:paraId="010A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A2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17A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945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恩城</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8D1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兆丰农场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811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B65B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9F9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700</w:t>
            </w:r>
          </w:p>
        </w:tc>
      </w:tr>
      <w:tr w14:paraId="08C48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A11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EF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F58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恩城</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894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黎健明养殖场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02D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62C4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DF1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1450</w:t>
            </w:r>
          </w:p>
        </w:tc>
      </w:tr>
      <w:tr w14:paraId="43F9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337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DD1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5CC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恩城</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89F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黄海森养殖场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6F1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9B6C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69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1550</w:t>
            </w:r>
          </w:p>
        </w:tc>
      </w:tr>
      <w:tr w14:paraId="26E2F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CC4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7B6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C94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恩城</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591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0"/>
                <w:u w:val="none"/>
              </w:rPr>
            </w:pPr>
            <w:r>
              <w:rPr>
                <w:rFonts w:hint="eastAsia" w:ascii="方正仿宋_GB2312" w:hAnsi="方正仿宋_GB2312" w:eastAsia="方正仿宋_GB2312" w:cs="方正仿宋_GB2312"/>
                <w:i w:val="0"/>
                <w:iCs w:val="0"/>
                <w:color w:val="000000"/>
                <w:kern w:val="0"/>
                <w:sz w:val="22"/>
                <w:szCs w:val="20"/>
                <w:u w:val="none"/>
                <w:lang w:val="en-US" w:eastAsia="zh-CN" w:bidi="ar"/>
              </w:rPr>
              <w:t>丰沃农牧有限公司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271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0"/>
                <w:u w:val="none"/>
              </w:rPr>
            </w:pPr>
            <w:r>
              <w:rPr>
                <w:rFonts w:hint="eastAsia" w:ascii="方正仿宋_GB2312" w:hAnsi="方正仿宋_GB2312" w:eastAsia="方正仿宋_GB2312" w:cs="方正仿宋_GB2312"/>
                <w:i w:val="0"/>
                <w:iCs w:val="0"/>
                <w:color w:val="000000"/>
                <w:kern w:val="0"/>
                <w:sz w:val="22"/>
                <w:szCs w:val="20"/>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837E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2135</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729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17886</w:t>
            </w:r>
          </w:p>
        </w:tc>
      </w:tr>
      <w:tr w14:paraId="7F0B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589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2BE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4D7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D88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恩平市君堂镇联丰农场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7BB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D722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863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1193</w:t>
            </w:r>
          </w:p>
        </w:tc>
      </w:tr>
      <w:tr w14:paraId="0D074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F25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AEA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B8A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094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恩平市君堂镇新滔记农场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156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923A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663</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FDF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3192</w:t>
            </w:r>
          </w:p>
        </w:tc>
      </w:tr>
      <w:tr w14:paraId="1419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FBD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204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619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262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恩平市君堂镇黎秀霞养殖场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87B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283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A5CE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1576</w:t>
            </w:r>
          </w:p>
        </w:tc>
      </w:tr>
      <w:tr w14:paraId="166BA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CBF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346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B98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5CF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恩平市君堂镇联兴养殖场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B86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E840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66F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1755</w:t>
            </w:r>
          </w:p>
        </w:tc>
      </w:tr>
      <w:tr w14:paraId="2B26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801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2CA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9C8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311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恩平市唐园养殖场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32D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4AE4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756</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00F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7175</w:t>
            </w:r>
          </w:p>
        </w:tc>
      </w:tr>
      <w:tr w14:paraId="3E30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C6C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A10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B1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94F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恩平市君堂镇润泽养殖场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5E7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“是”，江门双胞胎猪业有限公司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9EAC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6B1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2461</w:t>
            </w:r>
          </w:p>
        </w:tc>
      </w:tr>
      <w:tr w14:paraId="61E0C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40A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689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190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AA0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恩平市君堂镇兴丰养殖场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F97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9CF0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8B6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空栏</w:t>
            </w:r>
          </w:p>
        </w:tc>
      </w:tr>
      <w:tr w14:paraId="7046C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FD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638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062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君堂镇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426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恩平市君堂镇梁树卓养殖场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600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“是”，恩平市聚丰农牧有限公司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E4CD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FC6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939</w:t>
            </w:r>
          </w:p>
        </w:tc>
      </w:tr>
      <w:tr w14:paraId="4005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054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B9F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039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E4B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恩平市大槐镇梁国球养殖场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34A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AE26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3FC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2407</w:t>
            </w:r>
          </w:p>
        </w:tc>
      </w:tr>
      <w:tr w14:paraId="42462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A55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DE4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D58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297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开平市温氏畜牧有限公司恩平分公司大槐猪场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46B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37D2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4BD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1081</w:t>
            </w:r>
          </w:p>
        </w:tc>
      </w:tr>
      <w:tr w14:paraId="453D7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0DA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1CE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D1A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E4D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政银企村</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258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9AAC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FC1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7A5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EA5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67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AF8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D94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恩平市益豚生态农业有限公司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865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15A9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5729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427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13638</w:t>
            </w:r>
          </w:p>
        </w:tc>
      </w:tr>
      <w:tr w14:paraId="7A8B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0A6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848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260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F16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恩平市大槐镇陈伟常养殖场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50F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3838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40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519</w:t>
            </w:r>
          </w:p>
        </w:tc>
      </w:tr>
      <w:tr w14:paraId="3629C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3F3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5B7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9D9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030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恩平市大槐镇梁伟宏养殖场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9B8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4EB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22</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AC6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280</w:t>
            </w:r>
          </w:p>
        </w:tc>
      </w:tr>
      <w:tr w14:paraId="63AB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D29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5E3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ECC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EAB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恩平市大槐镇谭棒养殖场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DBA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6DA5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CC0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w:t>
            </w:r>
          </w:p>
        </w:tc>
      </w:tr>
      <w:tr w14:paraId="5658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070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AF0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B5D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742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恩平市大槐镇葛国权养殖场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136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396E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60B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270</w:t>
            </w:r>
          </w:p>
        </w:tc>
      </w:tr>
      <w:tr w14:paraId="43990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1C5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39E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491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A16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恩平市大槐镇蔡金荣养殖场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485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4D8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EA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09F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5B8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79F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82C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486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恩平市大槐镇卓文飞养殖场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ED2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06D8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94</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6A3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871</w:t>
            </w:r>
          </w:p>
        </w:tc>
      </w:tr>
      <w:tr w14:paraId="61D4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D70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BE6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4BF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D74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恩平市大槐镇吴红卫养殖场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82C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F09D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3DE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2480</w:t>
            </w:r>
          </w:p>
        </w:tc>
      </w:tr>
      <w:tr w14:paraId="3DF7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244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5A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758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07E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恩平市大槐镇陈卓豪养殖场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23B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68E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78</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577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773</w:t>
            </w:r>
          </w:p>
        </w:tc>
      </w:tr>
      <w:tr w14:paraId="06320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384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DE9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B9A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EBC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恩平市大槐镇谭健操养殖场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1BD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91DB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325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1830</w:t>
            </w:r>
          </w:p>
        </w:tc>
      </w:tr>
      <w:tr w14:paraId="48BF1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35D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BEC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826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49E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恩平市永兴养殖场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2E4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0980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1423</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ED3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4344</w:t>
            </w:r>
          </w:p>
        </w:tc>
      </w:tr>
      <w:tr w14:paraId="7814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FB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1FF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8C2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9FF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恩平市大槐镇梁有源养殖场3场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64D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283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8FE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2000</w:t>
            </w:r>
          </w:p>
        </w:tc>
      </w:tr>
      <w:tr w14:paraId="32C6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AF0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513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DAB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A5F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恩平市大槐镇陈玉春养殖场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ACD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232E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2C8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627BD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720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E5C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9C2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0AC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恩平市大槐镇梁有源养殖场2场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67B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C4F1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C2E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67DF9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BAF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68F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24C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1FC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恩平市大槐镇林泽辉养殖场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53E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7DE3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80A4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1663</w:t>
            </w:r>
          </w:p>
        </w:tc>
      </w:tr>
      <w:tr w14:paraId="32C53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6AE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CE0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127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788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恩平市大槐镇梁东贵养殖场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AC7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F08D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9E8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2470</w:t>
            </w:r>
          </w:p>
        </w:tc>
      </w:tr>
      <w:tr w14:paraId="3AAB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A3B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C9B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31E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A88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恩平市大槐镇苏波养殖场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83E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1DC6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6BF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94B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C48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935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8B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75A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恩平市大槐镇梁玉霞养殖场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9E5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0897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AE1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FF0000"/>
                <w:sz w:val="22"/>
                <w:szCs w:val="22"/>
                <w:u w:val="none"/>
              </w:rPr>
            </w:pPr>
            <w:r>
              <w:rPr>
                <w:rFonts w:hint="eastAsia" w:ascii="方正仿宋_GB2312" w:hAnsi="方正仿宋_GB2312" w:eastAsia="方正仿宋_GB2312" w:cs="方正仿宋_GB2312"/>
                <w:i w:val="0"/>
                <w:iCs w:val="0"/>
                <w:color w:val="auto"/>
                <w:kern w:val="0"/>
                <w:sz w:val="22"/>
                <w:szCs w:val="22"/>
                <w:u w:val="none"/>
                <w:lang w:val="en-US" w:eastAsia="zh-CN" w:bidi="ar"/>
              </w:rPr>
              <w:t>0</w:t>
            </w:r>
          </w:p>
        </w:tc>
      </w:tr>
      <w:tr w14:paraId="38ED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C27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56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DB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01A7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恩平市好生长生态农业有限公司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0BC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CC7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6CC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1630</w:t>
            </w:r>
          </w:p>
        </w:tc>
      </w:tr>
      <w:tr w14:paraId="6425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BC3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C89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CB4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6A5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恩平市大槐镇梁丹仪养殖场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B5A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5DA7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6B1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1053</w:t>
            </w:r>
          </w:p>
        </w:tc>
      </w:tr>
      <w:tr w14:paraId="77185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96A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50D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5E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2DE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恩平市大槐荣丰养殖场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90B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大广</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1FC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F57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49FD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640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623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E3C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145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恩平市大槐镇谭崇锦养殖场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684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9A3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3E3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48A96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53D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078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E6B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E9E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恩平市大槐镇柱荣养殖场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C92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72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62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1300</w:t>
            </w:r>
          </w:p>
        </w:tc>
      </w:tr>
      <w:tr w14:paraId="227FB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8D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425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4EF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E95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恩平市大槐镇梁沃贞养殖场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1DE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C1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DA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1250</w:t>
            </w:r>
          </w:p>
        </w:tc>
      </w:tr>
      <w:tr w14:paraId="04C8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E8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7AD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96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4F5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恩平市大槐镇谢国赞养殖场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CBC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海大</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87D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1E0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1925</w:t>
            </w:r>
          </w:p>
        </w:tc>
      </w:tr>
      <w:tr w14:paraId="354E5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794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9E1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9CC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758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恩平市大槐镇李伟剑养殖场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E28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33D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D1A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1450</w:t>
            </w:r>
          </w:p>
        </w:tc>
      </w:tr>
      <w:tr w14:paraId="387B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74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AE6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51B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3B6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恩平市大槐镇陈剑兴养殖场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A29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A1D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B6F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6D1D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D3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D68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E47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9FB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恩平市大槐镇冯光豪养殖场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228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C9D0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BFD9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1118</w:t>
            </w:r>
          </w:p>
        </w:tc>
      </w:tr>
      <w:tr w14:paraId="7824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936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FEB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D3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A56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恩平市大槐镇黄健成养殖场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BEC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海大</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344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F6E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1632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D34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C5A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0C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56C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恩平市大槐镇梁有源养殖4场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E65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DF2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74B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2200</w:t>
            </w:r>
          </w:p>
        </w:tc>
      </w:tr>
      <w:tr w14:paraId="3EEC1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E44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ECF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D4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658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恩平市大槐镇施剑飞养殖场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E94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双胞胎</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7DEB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F6D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22EC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A43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46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DC7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4F9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恩平市大槐镇粤恩农牧部</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DCF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559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B00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525</w:t>
            </w:r>
          </w:p>
        </w:tc>
      </w:tr>
      <w:tr w14:paraId="538D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9F77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E32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D9D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809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广东聚泉农业有限公司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FDE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1A0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6221</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F5D8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15163</w:t>
            </w:r>
          </w:p>
        </w:tc>
      </w:tr>
      <w:tr w14:paraId="6BD4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58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0B0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47C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7FC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恩平市业大农业有限公司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65B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江门双胞胎猪业有限公司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E31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C9E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2882</w:t>
            </w:r>
          </w:p>
        </w:tc>
      </w:tr>
      <w:tr w14:paraId="7D72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8C4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5C9D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427C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37F7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梁凤莲</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E22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882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BAC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703</w:t>
            </w:r>
          </w:p>
        </w:tc>
      </w:tr>
      <w:tr w14:paraId="0F60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1E9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9F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917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7D1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吴树鸿</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F49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广东华农温氏畜牧股份有限公司新兴分公司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530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AAE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w:t>
            </w:r>
          </w:p>
        </w:tc>
      </w:tr>
      <w:tr w14:paraId="46D9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72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B9D7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061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76A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余天宋</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FA1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23F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47D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1147</w:t>
            </w:r>
          </w:p>
        </w:tc>
      </w:tr>
      <w:tr w14:paraId="73DA7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E9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D8D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F52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ED5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陈坚雄</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A72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A7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589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1177</w:t>
            </w:r>
          </w:p>
        </w:tc>
      </w:tr>
      <w:tr w14:paraId="09CA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560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91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363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1BD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李世文</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55E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温氏食品集团股份有限公司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0B5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76E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1050</w:t>
            </w:r>
          </w:p>
        </w:tc>
      </w:tr>
      <w:tr w14:paraId="18C7B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2EF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B85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5DD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939B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恩平市高山农场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1E7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282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244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1618</w:t>
            </w:r>
          </w:p>
        </w:tc>
      </w:tr>
      <w:tr w14:paraId="30B24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B74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F4A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04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DAB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恩平市横陂镇洪财养殖场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3B3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9D2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89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1231</w:t>
            </w:r>
          </w:p>
        </w:tc>
      </w:tr>
      <w:tr w14:paraId="192B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C14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0C8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72D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C65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恩平市横陂镇甄诚养殖场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136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江门双胞胎猪业有限公司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3AA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52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778</w:t>
            </w:r>
          </w:p>
        </w:tc>
      </w:tr>
      <w:tr w14:paraId="0E28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FC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81A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D9A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148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恩平市博庭养殖场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75B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1C4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4D4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997</w:t>
            </w:r>
          </w:p>
        </w:tc>
      </w:tr>
      <w:tr w14:paraId="0AF2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5BC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36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FE5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A27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恩平市长源养殖场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3B2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923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E26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1454</w:t>
            </w:r>
          </w:p>
        </w:tc>
      </w:tr>
      <w:tr w14:paraId="0BA9A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44B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621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822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4FD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彭丽清</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69D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开平市温氏畜牧有限公司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7D5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960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2898</w:t>
            </w:r>
          </w:p>
        </w:tc>
      </w:tr>
      <w:tr w14:paraId="47D1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08D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605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21F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201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恩平市华宝养殖场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85C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56F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6D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1779</w:t>
            </w:r>
          </w:p>
        </w:tc>
      </w:tr>
      <w:tr w14:paraId="641B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92B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605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81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471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江门市乾元养殖有限公司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86C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大广食品集团股份有限公司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7A1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DAA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2470</w:t>
            </w:r>
          </w:p>
        </w:tc>
      </w:tr>
      <w:tr w14:paraId="2AD61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B3D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050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82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51B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欧超礼（晖翔农牧）</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F39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93B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3BC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1802</w:t>
            </w:r>
          </w:p>
        </w:tc>
      </w:tr>
      <w:tr w14:paraId="5F7D7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60E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CF3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BAD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102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同创产业园</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666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02A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36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862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B2D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472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DE2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9F3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恩平市大品养殖场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19E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069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F92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1595</w:t>
            </w:r>
          </w:p>
        </w:tc>
      </w:tr>
      <w:tr w14:paraId="41AB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F08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1C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71D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23F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陈兴养殖场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B60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广东海大集团</w:t>
            </w:r>
            <w:r>
              <w:rPr>
                <w:rFonts w:hint="eastAsia" w:ascii="方正仿宋_GB2312" w:hAnsi="方正仿宋_GB2312" w:eastAsia="方正仿宋_GB2312" w:cs="方正仿宋_GB2312"/>
                <w:i w:val="0"/>
                <w:iCs w:val="0"/>
                <w:color w:val="000000"/>
                <w:kern w:val="0"/>
                <w:sz w:val="22"/>
                <w:szCs w:val="22"/>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u w:val="none"/>
                <w:lang w:val="en-US" w:eastAsia="zh-CN" w:bidi="ar"/>
              </w:rPr>
              <w:t>阳西县丰沃生态农业有限公司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132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E12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2208</w:t>
            </w:r>
          </w:p>
        </w:tc>
      </w:tr>
      <w:tr w14:paraId="5983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AF0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784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CA9D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B88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恩平市横陂镇李世平养殖场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192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温氏食品集团股份有限公司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9AA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9E2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D62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EEA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21D7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B4C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DD1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恩平市横陂镇兴牧农场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8C8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006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848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942</w:t>
            </w:r>
          </w:p>
        </w:tc>
      </w:tr>
      <w:tr w14:paraId="1F446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57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69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B47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048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3E7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张司徒</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785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5D4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44D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878</w:t>
            </w:r>
          </w:p>
        </w:tc>
      </w:tr>
      <w:tr w14:paraId="6DC3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3A1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D6B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5FE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A7B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恩平市顺景养殖场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5A3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89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340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DBE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1104</w:t>
            </w:r>
          </w:p>
        </w:tc>
      </w:tr>
      <w:tr w14:paraId="3DF4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571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95B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55E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534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恩平市山峰养殖场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D79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AA3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DD8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1589</w:t>
            </w:r>
          </w:p>
        </w:tc>
      </w:tr>
      <w:tr w14:paraId="4B38D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952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2E6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5A9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671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恩平市横陂镇兴明养殖场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091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EB4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115</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4EC8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1075</w:t>
            </w:r>
          </w:p>
        </w:tc>
      </w:tr>
      <w:tr w14:paraId="70CE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82C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D61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3C0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73A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恩平市横陂镇瑜聪养殖场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547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353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C1C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876</w:t>
            </w:r>
          </w:p>
        </w:tc>
      </w:tr>
      <w:tr w14:paraId="7906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59C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D10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2A7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52E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恩平市横陂镇深大养殖场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9F7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858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219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73C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854</w:t>
            </w:r>
          </w:p>
        </w:tc>
      </w:tr>
      <w:tr w14:paraId="28CE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021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1C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5E6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41A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李大胜</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B66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D27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3DB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573</w:t>
            </w:r>
          </w:p>
        </w:tc>
      </w:tr>
      <w:tr w14:paraId="5916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59F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940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AE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横陂镇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724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赵棣钰</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A16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恩平市温氏畜牧有限公司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B13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CEC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2450</w:t>
            </w:r>
          </w:p>
        </w:tc>
      </w:tr>
      <w:tr w14:paraId="2F692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697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34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34B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05D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恩平市那吉镇北后养殖场（黎世照）</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B54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379C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5F3A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18294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F01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781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F69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353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恩平市盈润养殖场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0BD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DECF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250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753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3462</w:t>
            </w:r>
          </w:p>
        </w:tc>
      </w:tr>
      <w:tr w14:paraId="7BE5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A1D0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E85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D4C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836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恩平市那吉镇张越富养殖场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F3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是/双胞胎</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697B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954E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2480</w:t>
            </w:r>
          </w:p>
        </w:tc>
      </w:tr>
      <w:tr w14:paraId="39CD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DE4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84D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DD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FB8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恩平市谭雪梅养殖场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5A6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6025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A373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1580</w:t>
            </w:r>
          </w:p>
        </w:tc>
      </w:tr>
      <w:tr w14:paraId="4A44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46F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7EC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8BA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BC7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恩平市金津养殖有限公司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B43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5156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780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52C0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3925</w:t>
            </w:r>
          </w:p>
        </w:tc>
      </w:tr>
      <w:tr w14:paraId="79AF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C19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BBE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751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06B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恩平市那吉镇岑润能养殖场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EAA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3F28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125</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4182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1564</w:t>
            </w:r>
          </w:p>
        </w:tc>
      </w:tr>
      <w:tr w14:paraId="4A0AB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6C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C61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63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4CD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恩平市那吉镇张英广养殖场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28C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CC61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557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1200</w:t>
            </w:r>
          </w:p>
        </w:tc>
      </w:tr>
      <w:tr w14:paraId="09290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50E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470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940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0D8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恩平市那吉镇黄育丰养殖场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38D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758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CA9D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1014</w:t>
            </w:r>
          </w:p>
        </w:tc>
      </w:tr>
      <w:tr w14:paraId="3B07A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3676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DB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FA2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9F6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恩平市那吉镇蓝元宁养殖场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EE9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8B9C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480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C4BC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2486</w:t>
            </w:r>
          </w:p>
        </w:tc>
      </w:tr>
      <w:tr w14:paraId="3DADC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0B1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13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7B8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那吉</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8B9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恩平市伟兴养殖有限公司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52D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DAB3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400</w:t>
            </w:r>
          </w:p>
        </w:tc>
        <w:tc>
          <w:tcPr>
            <w:tcW w:w="8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C791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2488</w:t>
            </w:r>
          </w:p>
        </w:tc>
      </w:tr>
      <w:tr w14:paraId="0E17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30B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7C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7D6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CC4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恩平市沙湖镇黄健常养殖场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AA1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nil"/>
              <w:left w:val="nil"/>
              <w:bottom w:val="nil"/>
              <w:right w:val="nil"/>
            </w:tcBorders>
            <w:shd w:val="clear" w:color="auto" w:fill="auto"/>
            <w:noWrap/>
            <w:vAlign w:val="center"/>
          </w:tcPr>
          <w:p w14:paraId="7D081D6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5AE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1650</w:t>
            </w:r>
          </w:p>
        </w:tc>
      </w:tr>
      <w:tr w14:paraId="4B59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71F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4D6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E0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262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恩平市梁洪仔养殖场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3F1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是（德池公司）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11B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2E6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1D9DA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64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BF1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919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A8C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广东温氏种猪科技有限公司（沙湖猪场）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95B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07A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779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F38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1140</w:t>
            </w:r>
          </w:p>
        </w:tc>
      </w:tr>
      <w:tr w14:paraId="62F34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FFE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722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17F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EEB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恩平市梁立峰养殖场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802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是（康倍健公司）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C3D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5AA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55EC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F79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5E0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4BB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C4B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恩平市沙湖镇邓锡清养殖场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CB5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是（宝金公司）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D16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AB9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960</w:t>
            </w:r>
          </w:p>
        </w:tc>
      </w:tr>
      <w:tr w14:paraId="3CCC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9B3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DB5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1E5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D3B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恩平市黄笑灵养殖场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0D5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640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AF3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500</w:t>
            </w:r>
          </w:p>
        </w:tc>
      </w:tr>
      <w:tr w14:paraId="20CA9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035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A39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79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4AD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恩平市沙湖镇黄松益养殖场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1F6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4F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71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3F2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B0D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559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728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940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恩平市沙湖镇梁健旋养殖场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94A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是（宝金公司）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3B7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81E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B907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E5E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655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C1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824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恩平市黄震宇养殖场（和平场）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D7A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是（双胞胎公司）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CCA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116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2400</w:t>
            </w:r>
          </w:p>
        </w:tc>
      </w:tr>
      <w:tr w14:paraId="5205A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417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AB4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F92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BBD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恩平市梁谷养殖场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14A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是（宝金公司）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62C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3A4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1500</w:t>
            </w:r>
          </w:p>
        </w:tc>
      </w:tr>
      <w:tr w14:paraId="6FF4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3A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FF8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E0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008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恩平市黄震宇养殖场（圣元场）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07C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E3D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061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4AD5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EAF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43E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4D8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4FA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恩平市张永江养殖场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480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是（宝金公司）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A90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19A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2480</w:t>
            </w:r>
          </w:p>
        </w:tc>
      </w:tr>
      <w:tr w14:paraId="4FA32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3DE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073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E80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76E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恩平市郑氏养殖场（郑健能）</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548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E9A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E23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1221</w:t>
            </w:r>
          </w:p>
        </w:tc>
      </w:tr>
      <w:tr w14:paraId="5BED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BD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257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F35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A11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恩平市泰牧养殖有限公司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1E4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D7E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38F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405</w:t>
            </w:r>
          </w:p>
        </w:tc>
      </w:tr>
      <w:tr w14:paraId="024F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6F6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797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A2A9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FE4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恩平市张卓良养殖场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5D0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658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E98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2480</w:t>
            </w:r>
          </w:p>
        </w:tc>
      </w:tr>
      <w:tr w14:paraId="153A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630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FCF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588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220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恩平市圣园良种猪场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510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3A2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60B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3181</w:t>
            </w:r>
          </w:p>
        </w:tc>
      </w:tr>
      <w:tr w14:paraId="2DC36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EE2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284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F65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45C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恩平市上凯朝阳农业养殖有限公司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DAA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87D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60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1DF8A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9FE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DD5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604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403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恩平市沙湖镇吴俊凡养殖场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881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A8E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54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7B7C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806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323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AC2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090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恩平市沙湖镇吴健华养殖场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464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是（宝金公司）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24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E33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2300</w:t>
            </w:r>
          </w:p>
        </w:tc>
      </w:tr>
      <w:tr w14:paraId="3DCE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4507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268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D5C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680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恩平市沙湖镇康记养殖场（谢耀康）</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623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是（康倍健公司）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E0C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C5C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1273</w:t>
            </w:r>
          </w:p>
        </w:tc>
      </w:tr>
      <w:tr w14:paraId="3B0A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6D25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EE7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860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F9A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恩平市沙湖镇吴伟健养殖场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D14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F17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AC7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1340</w:t>
            </w:r>
          </w:p>
        </w:tc>
      </w:tr>
      <w:tr w14:paraId="66CE1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C76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6B68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81A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6A8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恩平市沙湖镇吴桂英养殖场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8A0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是（大广公司）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CA4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E35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2445</w:t>
            </w:r>
          </w:p>
        </w:tc>
      </w:tr>
      <w:tr w14:paraId="039A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A6A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109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7ED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1C0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28FA">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恩平双胞胎畜牧有限公司</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F83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F2A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4509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E4D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9F7A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28CF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1E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CEC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00F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恩平市华丰养殖场（莫俊华）</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2DE0">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是（温氏公司）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3CC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BEF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800</w:t>
            </w:r>
          </w:p>
        </w:tc>
      </w:tr>
      <w:tr w14:paraId="011ED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658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C7C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69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4B8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恩平市水楼农牧场（冯荣品）</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5BF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是（德池公司）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835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FB44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3DEA6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12B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325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405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沙湖</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7F3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恩平市沙湖镇王绍全养殖场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CD8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71C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43E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280</w:t>
            </w:r>
          </w:p>
        </w:tc>
      </w:tr>
      <w:tr w14:paraId="7A3F3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092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80D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EAD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E54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盈丰猪场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7085">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476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267</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873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2857</w:t>
            </w:r>
          </w:p>
        </w:tc>
      </w:tr>
      <w:tr w14:paraId="6634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E9D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114</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5D0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605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EF6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温氏石桥头猪场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F39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E93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AED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2DB7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971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21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551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3F2B">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温氏东新猪场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3EA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136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5500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8F2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24CC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652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116</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47F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68E3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E7C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温氏绵湖猪场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B07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A7E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4550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42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64AF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0EB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117</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F0F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D87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D2A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温氏石岗猪场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7C3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DF0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CA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6417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83C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05D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31A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27B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东骏农业</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0ED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0F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341</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8B3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2642</w:t>
            </w:r>
          </w:p>
        </w:tc>
      </w:tr>
      <w:tr w14:paraId="4409D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2B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62B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538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287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聚丰农场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B95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975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989</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D79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4633</w:t>
            </w:r>
          </w:p>
        </w:tc>
      </w:tr>
      <w:tr w14:paraId="6633D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6DF7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903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C01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BC2C">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文诚生态养殖场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3B9F">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是，海大集团公司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13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53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1226</w:t>
            </w:r>
          </w:p>
        </w:tc>
      </w:tr>
      <w:tr w14:paraId="3718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5A8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C28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B2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A0B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健力养殖场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827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E48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280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6AD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2322</w:t>
            </w:r>
          </w:p>
        </w:tc>
      </w:tr>
      <w:tr w14:paraId="4948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470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681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7F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11D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荣晖农场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18F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7F8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5F6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1FFA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A14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123</w:t>
            </w:r>
          </w:p>
        </w:tc>
        <w:tc>
          <w:tcPr>
            <w:tcW w:w="1296" w:type="dxa"/>
            <w:tcBorders>
              <w:top w:val="single" w:color="000000" w:sz="4" w:space="0"/>
              <w:left w:val="single" w:color="000000" w:sz="4" w:space="0"/>
              <w:bottom w:val="single" w:color="000000" w:sz="4" w:space="0"/>
              <w:right w:val="single" w:color="000000" w:sz="4" w:space="0"/>
            </w:tcBorders>
            <w:shd w:val="clear" w:color="auto" w:fill="EEECE1"/>
            <w:noWrap/>
            <w:vAlign w:val="center"/>
          </w:tcPr>
          <w:p w14:paraId="19102A9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EEECE1"/>
            <w:noWrap/>
            <w:vAlign w:val="center"/>
          </w:tcPr>
          <w:p w14:paraId="723B7F8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2247">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大广农牧</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635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E96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2000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494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16117</w:t>
            </w:r>
          </w:p>
        </w:tc>
      </w:tr>
      <w:tr w14:paraId="7455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639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124</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AE93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8A9C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2B1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恩平市喜龙农场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7E0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是，大广农牧</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E12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21C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2498</w:t>
            </w:r>
          </w:p>
        </w:tc>
      </w:tr>
      <w:tr w14:paraId="7AECE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46F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0E03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F712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0E3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世纪农庄（梁德源养殖场）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E43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是，聚丰农场</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497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93A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1569</w:t>
            </w:r>
          </w:p>
        </w:tc>
      </w:tr>
      <w:tr w14:paraId="1EDC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9C3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126</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0157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6959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东成镇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26F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顺酉农场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2A2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6D07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781</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831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3471</w:t>
            </w:r>
          </w:p>
        </w:tc>
      </w:tr>
      <w:tr w14:paraId="7732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87A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127</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25B0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4581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EFBB8">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大广养殖场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9654">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3B72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2759</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AB8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16020</w:t>
            </w:r>
          </w:p>
        </w:tc>
      </w:tr>
      <w:tr w14:paraId="697B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FF2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A7E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8A3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2F02">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琛旺养殖场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31CE">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828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500</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86B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3119</w:t>
            </w:r>
          </w:p>
        </w:tc>
      </w:tr>
      <w:tr w14:paraId="5757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6662">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129</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E465A">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8B2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186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冯俊裕养殖场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68F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广东华农温氏畜牧股份有限公司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85B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B4F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1368</w:t>
            </w:r>
          </w:p>
        </w:tc>
      </w:tr>
      <w:tr w14:paraId="77A5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B893">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D4D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1E7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09F6">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梁劲超养殖场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3BC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95F1">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D597">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421E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CC2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131</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0765">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BE24">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DE9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刘权钦养殖场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A6D9">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否</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359B6">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A158">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r w14:paraId="5F7A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D51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132</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7DDF">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82A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E0C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梁伟坚养殖场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584D">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广东华农温氏畜牧股份有限公司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003E">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DFF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1165</w:t>
            </w:r>
          </w:p>
        </w:tc>
      </w:tr>
      <w:tr w14:paraId="16387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AE0D">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133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87BC">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恩平市</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175B">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圣堂镇</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5C91">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冯锦伦养殖场</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C103">
            <w:pPr>
              <w:keepNext w:val="0"/>
              <w:keepLines w:val="0"/>
              <w:widowControl/>
              <w:suppressLineNumbers w:val="0"/>
              <w:snapToGrid w:val="0"/>
              <w:spacing w:line="240" w:lineRule="auto"/>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广东华农温氏畜牧股份有限公司</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2E50">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2449">
            <w:pPr>
              <w:keepNext w:val="0"/>
              <w:keepLines w:val="0"/>
              <w:widowControl/>
              <w:suppressLineNumbers w:val="0"/>
              <w:snapToGrid w:val="0"/>
              <w:spacing w:line="240" w:lineRule="auto"/>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0</w:t>
            </w:r>
          </w:p>
        </w:tc>
      </w:tr>
    </w:tbl>
    <w:p w14:paraId="1F9C94DC">
      <w:pPr>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7B4291EB">
      <w:pPr>
        <w:numPr>
          <w:ilvl w:val="0"/>
          <w:numId w:val="0"/>
        </w:numPr>
        <w:ind w:left="640"/>
        <w:outlineLvl w:val="1"/>
        <w:rPr>
          <w:rFonts w:hint="eastAsia" w:ascii="方正仿宋_GB2312" w:hAnsi="方正仿宋_GB2312" w:eastAsia="方正仿宋_GB2312" w:cs="方正仿宋_GB2312"/>
        </w:rPr>
      </w:pPr>
      <w:bookmarkStart w:id="80" w:name="_Toc24017"/>
      <w:r>
        <w:rPr>
          <w:rFonts w:hint="eastAsia" w:ascii="方正仿宋_GB2312" w:hAnsi="方正仿宋_GB2312" w:eastAsia="方正仿宋_GB2312" w:cs="方正仿宋_GB2312"/>
          <w:color w:val="000000" w:themeColor="text1"/>
          <w14:textFill>
            <w14:solidFill>
              <w14:schemeClr w14:val="tx1"/>
            </w14:solidFill>
          </w14:textFill>
        </w:rPr>
        <w:t>附</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表2</w:t>
      </w:r>
      <w:r>
        <w:rPr>
          <w:rFonts w:hint="eastAsia" w:ascii="方正仿宋_GB2312" w:hAnsi="方正仿宋_GB2312" w:eastAsia="方正仿宋_GB2312" w:cs="方正仿宋_GB2312"/>
          <w:lang w:val="en-US" w:eastAsia="zh-CN"/>
        </w:rPr>
        <w:t>恩平</w:t>
      </w:r>
      <w:r>
        <w:rPr>
          <w:rFonts w:hint="eastAsia" w:ascii="方正仿宋_GB2312" w:hAnsi="方正仿宋_GB2312" w:eastAsia="方正仿宋_GB2312" w:cs="方正仿宋_GB2312"/>
        </w:rPr>
        <w:t>市畜禽养殖污染防治重点工程支持主体清单</w:t>
      </w:r>
      <w:bookmarkEnd w:id="8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2569"/>
        <w:gridCol w:w="6718"/>
        <w:gridCol w:w="1326"/>
        <w:gridCol w:w="1776"/>
      </w:tblGrid>
      <w:tr w14:paraId="6404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shd w:val="clear" w:color="auto" w:fill="auto"/>
            <w:vAlign w:val="center"/>
          </w:tcPr>
          <w:p w14:paraId="6BD01DF7">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序号</w:t>
            </w:r>
          </w:p>
        </w:tc>
        <w:tc>
          <w:tcPr>
            <w:tcW w:w="969" w:type="pct"/>
            <w:shd w:val="clear" w:color="auto" w:fill="auto"/>
            <w:vAlign w:val="center"/>
          </w:tcPr>
          <w:p w14:paraId="69772657">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措施名称</w:t>
            </w:r>
          </w:p>
        </w:tc>
        <w:tc>
          <w:tcPr>
            <w:tcW w:w="2534" w:type="pct"/>
            <w:shd w:val="clear" w:color="auto" w:fill="auto"/>
            <w:vAlign w:val="center"/>
          </w:tcPr>
          <w:p w14:paraId="6ED1D614">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实施内容</w:t>
            </w:r>
          </w:p>
        </w:tc>
        <w:tc>
          <w:tcPr>
            <w:tcW w:w="500" w:type="pct"/>
            <w:shd w:val="clear" w:color="auto" w:fill="auto"/>
            <w:vAlign w:val="center"/>
          </w:tcPr>
          <w:p w14:paraId="431CA394">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牵头部门</w:t>
            </w:r>
          </w:p>
        </w:tc>
        <w:tc>
          <w:tcPr>
            <w:tcW w:w="668" w:type="pct"/>
            <w:shd w:val="clear" w:color="auto" w:fill="auto"/>
            <w:vAlign w:val="center"/>
          </w:tcPr>
          <w:p w14:paraId="6A984D5A">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完成时间</w:t>
            </w:r>
          </w:p>
        </w:tc>
      </w:tr>
      <w:tr w14:paraId="6906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5"/>
            <w:shd w:val="clear" w:color="auto" w:fill="auto"/>
            <w:vAlign w:val="center"/>
          </w:tcPr>
          <w:p w14:paraId="44DA71FA">
            <w:pPr>
              <w:widowControl/>
              <w:adjustRightInd/>
              <w:snapToGrid/>
              <w:spacing w:line="240" w:lineRule="auto"/>
              <w:ind w:firstLine="0" w:firstLineChars="0"/>
              <w:jc w:val="left"/>
              <w:outlineLvl w:val="9"/>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（一）畜禽养殖业空间布局优化工程</w:t>
            </w:r>
          </w:p>
        </w:tc>
      </w:tr>
      <w:tr w14:paraId="0706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shd w:val="clear" w:color="auto" w:fill="auto"/>
            <w:vAlign w:val="center"/>
          </w:tcPr>
          <w:p w14:paraId="37D4B89B">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lang w:val="en-US" w:eastAsia="zh-CN"/>
              </w:rPr>
              <w:t>1</w:t>
            </w:r>
          </w:p>
        </w:tc>
        <w:tc>
          <w:tcPr>
            <w:tcW w:w="969" w:type="pct"/>
            <w:shd w:val="clear" w:color="auto" w:fill="auto"/>
            <w:vAlign w:val="center"/>
          </w:tcPr>
          <w:p w14:paraId="58582952">
            <w:pPr>
              <w:widowControl/>
              <w:adjustRightInd/>
              <w:snapToGrid/>
              <w:spacing w:line="240" w:lineRule="auto"/>
              <w:ind w:firstLine="0" w:firstLineChars="0"/>
              <w:jc w:val="center"/>
              <w:outlineLvl w:val="9"/>
              <w:rPr>
                <w:rFonts w:hint="default"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调整</w:t>
            </w:r>
            <w:r>
              <w:rPr>
                <w:rFonts w:hint="eastAsia" w:ascii="方正仿宋_GB2312" w:hAnsi="方正仿宋_GB2312" w:eastAsia="方正仿宋_GB2312" w:cs="方正仿宋_GB2312"/>
                <w:kern w:val="0"/>
                <w:sz w:val="24"/>
                <w:szCs w:val="24"/>
              </w:rPr>
              <w:t>畜禽养殖</w:t>
            </w:r>
            <w:r>
              <w:rPr>
                <w:rFonts w:hint="eastAsia" w:ascii="方正仿宋_GB2312" w:hAnsi="方正仿宋_GB2312" w:eastAsia="方正仿宋_GB2312" w:cs="方正仿宋_GB2312"/>
                <w:kern w:val="0"/>
                <w:sz w:val="24"/>
                <w:szCs w:val="24"/>
                <w:lang w:val="en-US" w:eastAsia="zh-CN"/>
              </w:rPr>
              <w:t>禁养区、完成畜禽污染防治规划</w:t>
            </w:r>
          </w:p>
        </w:tc>
        <w:tc>
          <w:tcPr>
            <w:tcW w:w="2534" w:type="pct"/>
            <w:shd w:val="clear" w:color="auto" w:fill="auto"/>
            <w:vAlign w:val="center"/>
          </w:tcPr>
          <w:p w14:paraId="45B82438">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恩平市完成畜禽养殖</w:t>
            </w:r>
            <w:r>
              <w:rPr>
                <w:rFonts w:hint="eastAsia" w:ascii="方正仿宋_GB2312" w:hAnsi="方正仿宋_GB2312" w:eastAsia="方正仿宋_GB2312" w:cs="方正仿宋_GB2312"/>
                <w:kern w:val="0"/>
                <w:sz w:val="24"/>
                <w:szCs w:val="24"/>
                <w:lang w:val="en-US" w:eastAsia="zh-CN"/>
              </w:rPr>
              <w:t>禁养区调整工作</w:t>
            </w:r>
            <w:r>
              <w:rPr>
                <w:rFonts w:hint="eastAsia" w:ascii="方正仿宋_GB2312" w:hAnsi="方正仿宋_GB2312" w:eastAsia="方正仿宋_GB2312" w:cs="方正仿宋_GB2312"/>
                <w:kern w:val="0"/>
                <w:sz w:val="24"/>
                <w:szCs w:val="24"/>
                <w:lang w:eastAsia="zh-CN"/>
              </w:rPr>
              <w:t>、</w:t>
            </w:r>
            <w:r>
              <w:rPr>
                <w:rFonts w:hint="eastAsia" w:cs="Times New Roman"/>
                <w:kern w:val="0"/>
                <w:sz w:val="24"/>
                <w:szCs w:val="24"/>
              </w:rPr>
              <w:t>完成畜禽养殖污染防治规划编制。</w:t>
            </w:r>
          </w:p>
        </w:tc>
        <w:tc>
          <w:tcPr>
            <w:tcW w:w="500" w:type="pct"/>
            <w:shd w:val="clear" w:color="auto" w:fill="auto"/>
            <w:vAlign w:val="center"/>
          </w:tcPr>
          <w:p w14:paraId="69F7D50F">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生态环境部门</w:t>
            </w:r>
          </w:p>
        </w:tc>
        <w:tc>
          <w:tcPr>
            <w:tcW w:w="668" w:type="pct"/>
            <w:shd w:val="clear" w:color="auto" w:fill="auto"/>
            <w:vAlign w:val="center"/>
          </w:tcPr>
          <w:p w14:paraId="729F8114">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202</w:t>
            </w:r>
            <w:r>
              <w:rPr>
                <w:rFonts w:hint="eastAsia" w:ascii="方正仿宋_GB2312" w:hAnsi="方正仿宋_GB2312" w:eastAsia="方正仿宋_GB2312" w:cs="方正仿宋_GB2312"/>
                <w:kern w:val="0"/>
                <w:sz w:val="24"/>
                <w:szCs w:val="24"/>
                <w:lang w:val="en-US" w:eastAsia="zh-CN"/>
              </w:rPr>
              <w:t>6</w:t>
            </w:r>
            <w:r>
              <w:rPr>
                <w:rFonts w:hint="eastAsia" w:ascii="方正仿宋_GB2312" w:hAnsi="方正仿宋_GB2312" w:eastAsia="方正仿宋_GB2312" w:cs="方正仿宋_GB2312"/>
                <w:kern w:val="0"/>
                <w:sz w:val="24"/>
                <w:szCs w:val="24"/>
              </w:rPr>
              <w:t>年底前</w:t>
            </w:r>
          </w:p>
        </w:tc>
      </w:tr>
      <w:tr w14:paraId="5374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5"/>
            <w:shd w:val="clear" w:color="auto" w:fill="auto"/>
            <w:vAlign w:val="center"/>
          </w:tcPr>
          <w:p w14:paraId="6C202A4B">
            <w:pPr>
              <w:widowControl/>
              <w:adjustRightInd/>
              <w:snapToGrid/>
              <w:spacing w:line="240" w:lineRule="auto"/>
              <w:ind w:firstLine="0" w:firstLineChars="0"/>
              <w:jc w:val="left"/>
              <w:outlineLvl w:val="9"/>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（二）粪污资源化利用提升工程</w:t>
            </w:r>
          </w:p>
        </w:tc>
      </w:tr>
      <w:tr w14:paraId="1A4C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27" w:type="pct"/>
            <w:shd w:val="clear" w:color="auto" w:fill="auto"/>
            <w:vAlign w:val="center"/>
          </w:tcPr>
          <w:p w14:paraId="1E721DAB">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lang w:val="en-US" w:eastAsia="zh-CN"/>
              </w:rPr>
              <w:t>2</w:t>
            </w:r>
          </w:p>
        </w:tc>
        <w:tc>
          <w:tcPr>
            <w:tcW w:w="969" w:type="pct"/>
            <w:shd w:val="clear" w:color="auto" w:fill="auto"/>
            <w:vAlign w:val="center"/>
          </w:tcPr>
          <w:p w14:paraId="03162106">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粪污转运及集中处理中心建设工程</w:t>
            </w:r>
          </w:p>
        </w:tc>
        <w:tc>
          <w:tcPr>
            <w:tcW w:w="2534" w:type="pct"/>
            <w:shd w:val="clear" w:color="auto" w:fill="auto"/>
            <w:vAlign w:val="center"/>
          </w:tcPr>
          <w:p w14:paraId="4326FA4C">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完成一座有机肥生产中心建设，对本辖区内畜禽粪污进行集中收集、处理。</w:t>
            </w:r>
          </w:p>
        </w:tc>
        <w:tc>
          <w:tcPr>
            <w:tcW w:w="500" w:type="pct"/>
            <w:shd w:val="clear" w:color="auto" w:fill="auto"/>
            <w:vAlign w:val="center"/>
          </w:tcPr>
          <w:p w14:paraId="5E017380">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农业农村部门</w:t>
            </w:r>
          </w:p>
        </w:tc>
        <w:tc>
          <w:tcPr>
            <w:tcW w:w="668" w:type="pct"/>
            <w:shd w:val="clear" w:color="auto" w:fill="auto"/>
            <w:vAlign w:val="center"/>
          </w:tcPr>
          <w:p w14:paraId="123A6FB2">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202</w:t>
            </w:r>
            <w:r>
              <w:rPr>
                <w:rFonts w:hint="eastAsia" w:ascii="方正仿宋_GB2312" w:hAnsi="方正仿宋_GB2312" w:eastAsia="方正仿宋_GB2312" w:cs="方正仿宋_GB2312"/>
                <w:kern w:val="0"/>
                <w:sz w:val="24"/>
                <w:szCs w:val="24"/>
                <w:lang w:val="en-US" w:eastAsia="zh-CN"/>
              </w:rPr>
              <w:t>7</w:t>
            </w:r>
            <w:r>
              <w:rPr>
                <w:rFonts w:hint="eastAsia" w:ascii="方正仿宋_GB2312" w:hAnsi="方正仿宋_GB2312" w:eastAsia="方正仿宋_GB2312" w:cs="方正仿宋_GB2312"/>
                <w:kern w:val="0"/>
                <w:sz w:val="24"/>
                <w:szCs w:val="24"/>
              </w:rPr>
              <w:t>年底前</w:t>
            </w:r>
          </w:p>
        </w:tc>
      </w:tr>
      <w:tr w14:paraId="754F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5"/>
            <w:shd w:val="clear" w:color="auto" w:fill="auto"/>
            <w:vAlign w:val="center"/>
          </w:tcPr>
          <w:p w14:paraId="10240B4D">
            <w:pPr>
              <w:widowControl/>
              <w:adjustRightInd/>
              <w:snapToGrid/>
              <w:spacing w:line="240" w:lineRule="auto"/>
              <w:ind w:firstLine="0" w:firstLineChars="0"/>
              <w:jc w:val="left"/>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b/>
                <w:bCs/>
                <w:kern w:val="0"/>
                <w:sz w:val="24"/>
                <w:szCs w:val="24"/>
              </w:rPr>
              <w:t>（三）畜禽养殖污染防治工程</w:t>
            </w:r>
          </w:p>
        </w:tc>
      </w:tr>
      <w:tr w14:paraId="502E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327" w:type="pct"/>
            <w:shd w:val="clear" w:color="auto" w:fill="auto"/>
            <w:vAlign w:val="center"/>
          </w:tcPr>
          <w:p w14:paraId="436DD8EE">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lang w:val="en-US" w:eastAsia="zh-CN"/>
              </w:rPr>
              <w:t>3</w:t>
            </w:r>
          </w:p>
        </w:tc>
        <w:tc>
          <w:tcPr>
            <w:tcW w:w="969" w:type="pct"/>
            <w:shd w:val="clear" w:color="auto" w:fill="auto"/>
            <w:vAlign w:val="center"/>
          </w:tcPr>
          <w:p w14:paraId="18F49B91">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生猪规模养殖场粪污处理设施升级改造工程</w:t>
            </w:r>
          </w:p>
        </w:tc>
        <w:tc>
          <w:tcPr>
            <w:tcW w:w="2534" w:type="pct"/>
            <w:shd w:val="clear" w:color="auto" w:fill="auto"/>
            <w:vAlign w:val="center"/>
          </w:tcPr>
          <w:p w14:paraId="54AC7055">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推动畜禽规模养殖场开展粪污收集、处理、利用设施改造升级，其中生猪规模养殖场应配备液体粪污厌氧发酵和生化处理系统，全面实现达标治理，固体粪污无害化处理后就近就地还田或委托第三方机构实现资源化利用。</w:t>
            </w:r>
          </w:p>
        </w:tc>
        <w:tc>
          <w:tcPr>
            <w:tcW w:w="500" w:type="pct"/>
            <w:shd w:val="clear" w:color="auto" w:fill="auto"/>
            <w:vAlign w:val="center"/>
          </w:tcPr>
          <w:p w14:paraId="750D1A2B">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生态环境</w:t>
            </w:r>
            <w:r>
              <w:rPr>
                <w:rFonts w:hint="eastAsia" w:ascii="方正仿宋_GB2312" w:hAnsi="方正仿宋_GB2312" w:eastAsia="方正仿宋_GB2312" w:cs="方正仿宋_GB2312"/>
                <w:kern w:val="0"/>
                <w:sz w:val="24"/>
                <w:szCs w:val="24"/>
              </w:rPr>
              <w:t>部门</w:t>
            </w:r>
          </w:p>
          <w:p w14:paraId="1F3BAB2D">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农业农村部门</w:t>
            </w:r>
          </w:p>
        </w:tc>
        <w:tc>
          <w:tcPr>
            <w:tcW w:w="668" w:type="pct"/>
            <w:shd w:val="clear" w:color="auto" w:fill="auto"/>
            <w:vAlign w:val="center"/>
          </w:tcPr>
          <w:p w14:paraId="517C3159">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20</w:t>
            </w:r>
            <w:r>
              <w:rPr>
                <w:rFonts w:hint="eastAsia" w:ascii="方正仿宋_GB2312" w:hAnsi="方正仿宋_GB2312" w:eastAsia="方正仿宋_GB2312" w:cs="方正仿宋_GB2312"/>
                <w:kern w:val="0"/>
                <w:sz w:val="24"/>
                <w:szCs w:val="24"/>
                <w:lang w:val="en-US" w:eastAsia="zh-CN"/>
              </w:rPr>
              <w:t>27</w:t>
            </w:r>
            <w:r>
              <w:rPr>
                <w:rFonts w:hint="eastAsia" w:ascii="方正仿宋_GB2312" w:hAnsi="方正仿宋_GB2312" w:eastAsia="方正仿宋_GB2312" w:cs="方正仿宋_GB2312"/>
                <w:kern w:val="0"/>
                <w:sz w:val="24"/>
                <w:szCs w:val="24"/>
              </w:rPr>
              <w:t>年底前</w:t>
            </w:r>
          </w:p>
        </w:tc>
      </w:tr>
      <w:tr w14:paraId="6A6F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5"/>
            <w:shd w:val="clear" w:color="auto" w:fill="auto"/>
            <w:vAlign w:val="center"/>
          </w:tcPr>
          <w:p w14:paraId="61BD4799">
            <w:pPr>
              <w:widowControl/>
              <w:adjustRightInd/>
              <w:snapToGrid/>
              <w:spacing w:line="240" w:lineRule="auto"/>
              <w:ind w:firstLine="0" w:firstLineChars="0"/>
              <w:jc w:val="left"/>
              <w:outlineLvl w:val="9"/>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（四）环境监管体系建设工程</w:t>
            </w:r>
          </w:p>
        </w:tc>
      </w:tr>
      <w:tr w14:paraId="4C71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27" w:type="pct"/>
            <w:shd w:val="clear" w:color="auto" w:fill="auto"/>
            <w:vAlign w:val="center"/>
          </w:tcPr>
          <w:p w14:paraId="4BFD58EF">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lang w:val="en-US" w:eastAsia="zh-CN"/>
              </w:rPr>
              <w:t>4</w:t>
            </w:r>
          </w:p>
        </w:tc>
        <w:tc>
          <w:tcPr>
            <w:tcW w:w="969" w:type="pct"/>
            <w:vMerge w:val="restart"/>
            <w:shd w:val="clear" w:color="auto" w:fill="auto"/>
            <w:vAlign w:val="center"/>
          </w:tcPr>
          <w:p w14:paraId="6A284615">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畜禽规模养殖场监测工程</w:t>
            </w:r>
          </w:p>
        </w:tc>
        <w:tc>
          <w:tcPr>
            <w:tcW w:w="2534" w:type="pct"/>
            <w:shd w:val="clear" w:color="auto" w:fill="auto"/>
            <w:vAlign w:val="center"/>
          </w:tcPr>
          <w:p w14:paraId="6465C329">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每年开展一次全市畜禽规模养殖场水质抽查监测，抽查比例不低于</w:t>
            </w:r>
            <w:r>
              <w:rPr>
                <w:rFonts w:hint="eastAsia" w:ascii="方正仿宋_GB2312" w:hAnsi="方正仿宋_GB2312" w:eastAsia="方正仿宋_GB2312" w:cs="方正仿宋_GB2312"/>
                <w:kern w:val="0"/>
                <w:sz w:val="24"/>
                <w:szCs w:val="24"/>
                <w:lang w:val="en-US" w:eastAsia="zh-CN"/>
              </w:rPr>
              <w:t>4</w:t>
            </w:r>
            <w:r>
              <w:rPr>
                <w:rFonts w:hint="eastAsia" w:ascii="方正仿宋_GB2312" w:hAnsi="方正仿宋_GB2312" w:eastAsia="方正仿宋_GB2312" w:cs="方正仿宋_GB2312"/>
                <w:kern w:val="0"/>
                <w:sz w:val="24"/>
                <w:szCs w:val="24"/>
              </w:rPr>
              <w:t>%。</w:t>
            </w:r>
          </w:p>
        </w:tc>
        <w:tc>
          <w:tcPr>
            <w:tcW w:w="500" w:type="pct"/>
            <w:shd w:val="clear" w:color="auto" w:fill="auto"/>
            <w:vAlign w:val="center"/>
          </w:tcPr>
          <w:p w14:paraId="590A526D">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生态环境部门</w:t>
            </w:r>
          </w:p>
        </w:tc>
        <w:tc>
          <w:tcPr>
            <w:tcW w:w="668" w:type="pct"/>
            <w:shd w:val="clear" w:color="auto" w:fill="auto"/>
            <w:vAlign w:val="center"/>
          </w:tcPr>
          <w:p w14:paraId="102D2D8D">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2030年底前</w:t>
            </w:r>
          </w:p>
        </w:tc>
      </w:tr>
      <w:tr w14:paraId="6D7D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27" w:type="pct"/>
            <w:shd w:val="clear" w:color="auto" w:fill="auto"/>
            <w:vAlign w:val="center"/>
          </w:tcPr>
          <w:p w14:paraId="4BFF35C9">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lang w:val="en-US" w:eastAsia="zh-CN"/>
              </w:rPr>
              <w:t>5</w:t>
            </w:r>
          </w:p>
        </w:tc>
        <w:tc>
          <w:tcPr>
            <w:tcW w:w="969" w:type="pct"/>
            <w:vMerge w:val="continue"/>
            <w:shd w:val="clear" w:color="auto" w:fill="auto"/>
            <w:vAlign w:val="center"/>
          </w:tcPr>
          <w:p w14:paraId="2FD0ED9D">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p>
        </w:tc>
        <w:tc>
          <w:tcPr>
            <w:tcW w:w="2534" w:type="pct"/>
            <w:shd w:val="clear" w:color="auto" w:fill="auto"/>
            <w:vAlign w:val="center"/>
          </w:tcPr>
          <w:p w14:paraId="5C0912EC">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指导设有排污口的畜禽规模养殖场按排污许可证规定和有关标准规范开展自行监测，2025 年底前取得排污许可证的畜禽规模养殖场自行监测率达到100%。</w:t>
            </w:r>
          </w:p>
        </w:tc>
        <w:tc>
          <w:tcPr>
            <w:tcW w:w="500" w:type="pct"/>
            <w:shd w:val="clear" w:color="auto" w:fill="auto"/>
            <w:vAlign w:val="center"/>
          </w:tcPr>
          <w:p w14:paraId="01476CD2">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生态环境部门</w:t>
            </w:r>
          </w:p>
        </w:tc>
        <w:tc>
          <w:tcPr>
            <w:tcW w:w="668" w:type="pct"/>
            <w:shd w:val="clear" w:color="auto" w:fill="auto"/>
            <w:vAlign w:val="center"/>
          </w:tcPr>
          <w:p w14:paraId="2B1C160D">
            <w:pPr>
              <w:widowControl/>
              <w:adjustRightInd/>
              <w:snapToGrid/>
              <w:spacing w:line="240" w:lineRule="auto"/>
              <w:ind w:firstLine="0" w:firstLineChars="0"/>
              <w:jc w:val="center"/>
              <w:outlineLvl w:val="9"/>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202</w:t>
            </w:r>
            <w:r>
              <w:rPr>
                <w:rFonts w:hint="eastAsia" w:ascii="方正仿宋_GB2312" w:hAnsi="方正仿宋_GB2312" w:eastAsia="方正仿宋_GB2312" w:cs="方正仿宋_GB2312"/>
                <w:kern w:val="0"/>
                <w:sz w:val="24"/>
                <w:szCs w:val="24"/>
                <w:lang w:val="en-US" w:eastAsia="zh-CN"/>
              </w:rPr>
              <w:t>6</w:t>
            </w:r>
            <w:r>
              <w:rPr>
                <w:rFonts w:hint="eastAsia" w:ascii="方正仿宋_GB2312" w:hAnsi="方正仿宋_GB2312" w:eastAsia="方正仿宋_GB2312" w:cs="方正仿宋_GB2312"/>
                <w:kern w:val="0"/>
                <w:sz w:val="24"/>
                <w:szCs w:val="24"/>
              </w:rPr>
              <w:t>年底前</w:t>
            </w:r>
          </w:p>
        </w:tc>
      </w:tr>
    </w:tbl>
    <w:p w14:paraId="7A01B0F4">
      <w:pPr>
        <w:outlineLvl w:val="9"/>
        <w:rPr>
          <w:rFonts w:hint="eastAsia" w:ascii="方正仿宋_GB2312" w:hAnsi="方正仿宋_GB2312" w:eastAsia="方正仿宋_GB2312" w:cs="方正仿宋_GB2312"/>
          <w:color w:val="000000" w:themeColor="text1"/>
          <w14:textFill>
            <w14:solidFill>
              <w14:schemeClr w14:val="tx1"/>
            </w14:solidFill>
          </w14:textFill>
        </w:rPr>
        <w:sectPr>
          <w:footerReference r:id="rId28" w:type="default"/>
          <w:footerReference r:id="rId29" w:type="even"/>
          <w:pgSz w:w="16838" w:h="11906" w:orient="landscape"/>
          <w:pgMar w:top="1588" w:right="2098" w:bottom="1474" w:left="1701" w:header="992" w:footer="992" w:gutter="0"/>
          <w:pgBorders>
            <w:top w:val="none" w:sz="0" w:space="0"/>
            <w:left w:val="none" w:sz="0" w:space="0"/>
            <w:bottom w:val="none" w:sz="0" w:space="0"/>
            <w:right w:val="none" w:sz="0" w:space="0"/>
          </w:pgBorders>
          <w:pgNumType w:fmt="decimal"/>
          <w:cols w:space="425" w:num="1"/>
          <w:docGrid w:type="lines" w:linePitch="435" w:charSpace="0"/>
        </w:sectPr>
      </w:pPr>
    </w:p>
    <w:p w14:paraId="4662144D">
      <w:pPr>
        <w:ind w:left="0" w:leftChars="0" w:firstLine="0" w:firstLineChars="0"/>
        <w:outlineLvl w:val="0"/>
        <w:rPr>
          <w:rFonts w:hint="eastAsia" w:ascii="方正仿宋_GB2312" w:hAnsi="方正仿宋_GB2312" w:eastAsia="方正仿宋_GB2312" w:cs="方正仿宋_GB2312"/>
          <w:color w:val="000000" w:themeColor="text1"/>
          <w14:textFill>
            <w14:solidFill>
              <w14:schemeClr w14:val="tx1"/>
            </w14:solidFill>
          </w14:textFill>
        </w:rPr>
      </w:pPr>
      <w:bookmarkStart w:id="81" w:name="_Toc22642"/>
      <w:r>
        <w:rPr>
          <w:rFonts w:hint="eastAsia" w:ascii="方正仿宋_GB2312" w:hAnsi="方正仿宋_GB2312" w:eastAsia="方正仿宋_GB2312" w:cs="方正仿宋_GB2312"/>
          <w:color w:val="000000" w:themeColor="text1"/>
          <w14:textFill>
            <w14:solidFill>
              <w14:schemeClr w14:val="tx1"/>
            </w14:solidFill>
          </w14:textFill>
        </w:rPr>
        <w:t>附图</w:t>
      </w:r>
      <w:bookmarkEnd w:id="81"/>
    </w:p>
    <w:p w14:paraId="7E028876">
      <w:pPr>
        <w:ind w:left="0" w:leftChars="0" w:firstLine="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82" w:name="_Toc16388"/>
      <w:r>
        <w:rPr>
          <w:rFonts w:hint="eastAsia" w:ascii="方正仿宋_GB2312" w:hAnsi="方正仿宋_GB2312" w:eastAsia="方正仿宋_GB2312" w:cs="方正仿宋_GB2312"/>
          <w:color w:val="000000" w:themeColor="text1"/>
          <w14:textFill>
            <w14:solidFill>
              <w14:schemeClr w14:val="tx1"/>
            </w14:solidFill>
          </w14:textFill>
        </w:rPr>
        <w:t>附图1行政区划图</w:t>
      </w:r>
      <w:bookmarkEnd w:id="82"/>
    </w:p>
    <w:p w14:paraId="2B47CB5E">
      <w:pPr>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p>
    <w:p w14:paraId="33AF7843">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572125" cy="6739255"/>
            <wp:effectExtent l="0" t="0" r="5715" b="12065"/>
            <wp:docPr id="42" name="图片 42" descr="恩平市行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恩平市行政规划图"/>
                    <pic:cNvPicPr>
                      <a:picLocks noChangeAspect="1"/>
                    </pic:cNvPicPr>
                  </pic:nvPicPr>
                  <pic:blipFill>
                    <a:blip r:embed="rId43"/>
                    <a:stretch>
                      <a:fillRect/>
                    </a:stretch>
                  </pic:blipFill>
                  <pic:spPr>
                    <a:xfrm>
                      <a:off x="0" y="0"/>
                      <a:ext cx="5572125" cy="6739255"/>
                    </a:xfrm>
                    <a:prstGeom prst="rect">
                      <a:avLst/>
                    </a:prstGeom>
                  </pic:spPr>
                </pic:pic>
              </a:graphicData>
            </a:graphic>
          </wp:inline>
        </w:drawing>
      </w:r>
    </w:p>
    <w:p w14:paraId="02872A73">
      <w:pPr>
        <w:spacing w:line="240" w:lineRule="auto"/>
        <w:ind w:left="0" w:leftChars="0" w:firstLine="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83" w:name="_Toc27935"/>
      <w:r>
        <w:rPr>
          <w:rFonts w:hint="eastAsia" w:ascii="方正仿宋_GB2312" w:hAnsi="方正仿宋_GB2312" w:eastAsia="方正仿宋_GB2312" w:cs="方正仿宋_GB2312"/>
          <w:color w:val="000000" w:themeColor="text1"/>
          <w14:textFill>
            <w14:solidFill>
              <w14:schemeClr w14:val="tx1"/>
            </w14:solidFill>
          </w14:textFill>
        </w:rPr>
        <w:t>附图2</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恩平市水系</w:t>
      </w:r>
      <w:r>
        <w:rPr>
          <w:rFonts w:hint="eastAsia" w:ascii="方正仿宋_GB2312" w:hAnsi="方正仿宋_GB2312" w:eastAsia="方正仿宋_GB2312" w:cs="方正仿宋_GB2312"/>
          <w:color w:val="000000" w:themeColor="text1"/>
          <w14:textFill>
            <w14:solidFill>
              <w14:schemeClr w14:val="tx1"/>
            </w14:solidFill>
          </w14:textFill>
        </w:rPr>
        <w:t>图</w:t>
      </w:r>
      <w:bookmarkEnd w:id="83"/>
    </w:p>
    <w:p w14:paraId="179B3E59">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601335" cy="7536180"/>
            <wp:effectExtent l="0" t="0" r="6985" b="7620"/>
            <wp:docPr id="43" name="图片 43" descr="2_1_恩平市水系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_1_恩平市水系图_01"/>
                    <pic:cNvPicPr>
                      <a:picLocks noChangeAspect="1"/>
                    </pic:cNvPicPr>
                  </pic:nvPicPr>
                  <pic:blipFill>
                    <a:blip r:embed="rId44"/>
                    <a:stretch>
                      <a:fillRect/>
                    </a:stretch>
                  </pic:blipFill>
                  <pic:spPr>
                    <a:xfrm>
                      <a:off x="0" y="0"/>
                      <a:ext cx="5601335" cy="7536180"/>
                    </a:xfrm>
                    <a:prstGeom prst="rect">
                      <a:avLst/>
                    </a:prstGeom>
                  </pic:spPr>
                </pic:pic>
              </a:graphicData>
            </a:graphic>
          </wp:inline>
        </w:drawing>
      </w:r>
    </w:p>
    <w:p w14:paraId="470AD407">
      <w:pPr>
        <w:spacing w:line="240" w:lineRule="auto"/>
        <w:ind w:left="0" w:leftChars="0" w:firstLine="0" w:firstLineChars="0"/>
        <w:outlineLvl w:val="1"/>
        <w:rPr>
          <w:rFonts w:hint="eastAsia" w:ascii="方正仿宋_GB2312" w:hAnsi="方正仿宋_GB2312" w:eastAsia="方正仿宋_GB2312" w:cs="方正仿宋_GB2312"/>
          <w:color w:val="000000" w:themeColor="text1"/>
          <w14:textFill>
            <w14:solidFill>
              <w14:schemeClr w14:val="tx1"/>
            </w14:solidFill>
          </w14:textFill>
        </w:rPr>
      </w:pPr>
      <w:bookmarkStart w:id="84" w:name="_Toc15305"/>
      <w:r>
        <w:rPr>
          <w:rFonts w:hint="eastAsia" w:ascii="方正仿宋_GB2312" w:hAnsi="方正仿宋_GB2312" w:eastAsia="方正仿宋_GB2312" w:cs="方正仿宋_GB2312"/>
          <w:color w:val="000000" w:themeColor="text1"/>
          <w14:textFill>
            <w14:solidFill>
              <w14:schemeClr w14:val="tx1"/>
            </w14:solidFill>
          </w14:textFill>
        </w:rPr>
        <w:t>附图3</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年出栏2000头以上</w:t>
      </w:r>
      <w:r>
        <w:rPr>
          <w:rFonts w:hint="eastAsia" w:ascii="方正仿宋_GB2312" w:hAnsi="方正仿宋_GB2312" w:eastAsia="方正仿宋_GB2312" w:cs="方正仿宋_GB2312"/>
          <w:color w:val="000000" w:themeColor="text1"/>
          <w14:textFill>
            <w14:solidFill>
              <w14:schemeClr w14:val="tx1"/>
            </w14:solidFill>
          </w14:textFill>
        </w:rPr>
        <w:t>畜禽养殖场（户）分布图</w:t>
      </w:r>
      <w:bookmarkEnd w:id="84"/>
    </w:p>
    <w:p w14:paraId="54EED0DE">
      <w:pPr>
        <w:spacing w:line="240" w:lineRule="auto"/>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p>
    <w:p w14:paraId="75938256">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432425" cy="5125085"/>
            <wp:effectExtent l="0" t="0" r="8255" b="10795"/>
            <wp:docPr id="44" name="图片 44"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WPS图片(1)"/>
                    <pic:cNvPicPr>
                      <a:picLocks noChangeAspect="1"/>
                    </pic:cNvPicPr>
                  </pic:nvPicPr>
                  <pic:blipFill>
                    <a:blip r:embed="rId45"/>
                    <a:stretch>
                      <a:fillRect/>
                    </a:stretch>
                  </pic:blipFill>
                  <pic:spPr>
                    <a:xfrm>
                      <a:off x="0" y="0"/>
                      <a:ext cx="5432425" cy="5125085"/>
                    </a:xfrm>
                    <a:prstGeom prst="rect">
                      <a:avLst/>
                    </a:prstGeom>
                  </pic:spPr>
                </pic:pic>
              </a:graphicData>
            </a:graphic>
          </wp:inline>
        </w:drawing>
      </w:r>
    </w:p>
    <w:p w14:paraId="141586FC">
      <w:pPr>
        <w:spacing w:line="240" w:lineRule="auto"/>
        <w:ind w:left="0" w:leftChars="0" w:firstLine="0" w:firstLineChars="0"/>
        <w:outlineLvl w:val="9"/>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14:textFill>
            <w14:solidFill>
              <w14:schemeClr w14:val="tx1"/>
            </w14:solidFill>
          </w14:textFill>
        </w:rPr>
        <w:t>附图4禁养区分布图</w:t>
      </w:r>
    </w:p>
    <w:p w14:paraId="052BA8EF">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605780" cy="7063740"/>
            <wp:effectExtent l="0" t="0" r="2540" b="7620"/>
            <wp:docPr id="45" name="图片 45" descr="禁养区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禁养区示意图"/>
                    <pic:cNvPicPr>
                      <a:picLocks noChangeAspect="1"/>
                    </pic:cNvPicPr>
                  </pic:nvPicPr>
                  <pic:blipFill>
                    <a:blip r:embed="rId39"/>
                    <a:stretch>
                      <a:fillRect/>
                    </a:stretch>
                  </pic:blipFill>
                  <pic:spPr>
                    <a:xfrm>
                      <a:off x="0" y="0"/>
                      <a:ext cx="5605780" cy="7063740"/>
                    </a:xfrm>
                    <a:prstGeom prst="rect">
                      <a:avLst/>
                    </a:prstGeom>
                  </pic:spPr>
                </pic:pic>
              </a:graphicData>
            </a:graphic>
          </wp:inline>
        </w:drawing>
      </w:r>
    </w:p>
    <w:p w14:paraId="43AD3314">
      <w:pPr>
        <w:spacing w:line="240" w:lineRule="auto"/>
        <w:ind w:left="0" w:leftChars="0" w:firstLine="0" w:firstLineChars="0"/>
        <w:outlineLvl w:val="1"/>
        <w:rPr>
          <w:rFonts w:hint="eastAsia" w:ascii="方正仿宋_GB2312" w:hAnsi="方正仿宋_GB2312" w:eastAsia="方正仿宋_GB2312" w:cs="方正仿宋_GB2312"/>
          <w:color w:val="000000" w:themeColor="text1"/>
          <w:lang w:eastAsia="zh-CN"/>
          <w14:textFill>
            <w14:solidFill>
              <w14:schemeClr w14:val="tx1"/>
            </w14:solidFill>
          </w14:textFill>
        </w:rPr>
      </w:pPr>
      <w:bookmarkStart w:id="85" w:name="_Toc2441"/>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附图5恩平市土地利用</w:t>
      </w:r>
      <w:r>
        <w:rPr>
          <w:rFonts w:hint="eastAsia" w:ascii="方正仿宋_GB2312" w:hAnsi="方正仿宋_GB2312" w:eastAsia="方正仿宋_GB2312" w:cs="方正仿宋_GB2312"/>
          <w:color w:val="000000" w:themeColor="text1"/>
          <w:lang w:eastAsia="zh-CN"/>
          <w14:textFill>
            <w14:solidFill>
              <w14:schemeClr w14:val="tx1"/>
            </w14:solidFill>
          </w14:textFill>
        </w:rPr>
        <w:t>现状图</w:t>
      </w:r>
      <w:bookmarkEnd w:id="85"/>
    </w:p>
    <w:p w14:paraId="719634B4">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615305" cy="7402830"/>
            <wp:effectExtent l="0" t="0" r="0" b="0"/>
            <wp:docPr id="46" name="图片 46" descr="第267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第267页-1"/>
                    <pic:cNvPicPr>
                      <a:picLocks noChangeAspect="1"/>
                    </pic:cNvPicPr>
                  </pic:nvPicPr>
                  <pic:blipFill>
                    <a:blip r:embed="rId46"/>
                    <a:srcRect t="4161" b="2553"/>
                    <a:stretch>
                      <a:fillRect/>
                    </a:stretch>
                  </pic:blipFill>
                  <pic:spPr>
                    <a:xfrm>
                      <a:off x="0" y="0"/>
                      <a:ext cx="5615305" cy="7402830"/>
                    </a:xfrm>
                    <a:prstGeom prst="rect">
                      <a:avLst/>
                    </a:prstGeom>
                  </pic:spPr>
                </pic:pic>
              </a:graphicData>
            </a:graphic>
          </wp:inline>
        </w:drawing>
      </w:r>
    </w:p>
    <w:p w14:paraId="6620D66B">
      <w:pPr>
        <w:spacing w:line="240" w:lineRule="auto"/>
        <w:ind w:left="0" w:leftChars="0" w:firstLine="0" w:firstLineChars="0"/>
        <w:outlineLvl w:val="1"/>
        <w:rPr>
          <w:rFonts w:hint="eastAsia" w:ascii="方正仿宋_GB2312" w:hAnsi="方正仿宋_GB2312" w:eastAsia="方正仿宋_GB2312" w:cs="方正仿宋_GB2312"/>
          <w:color w:val="000000" w:themeColor="text1"/>
          <w:lang w:eastAsia="zh-CN"/>
          <w14:textFill>
            <w14:solidFill>
              <w14:schemeClr w14:val="tx1"/>
            </w14:solidFill>
          </w14:textFill>
        </w:rPr>
      </w:pPr>
      <w:bookmarkStart w:id="86" w:name="_Toc32765"/>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附图6恩平市饮用水源保护区分布</w:t>
      </w:r>
      <w:r>
        <w:rPr>
          <w:rFonts w:hint="eastAsia" w:ascii="方正仿宋_GB2312" w:hAnsi="方正仿宋_GB2312" w:eastAsia="方正仿宋_GB2312" w:cs="方正仿宋_GB2312"/>
          <w:color w:val="000000" w:themeColor="text1"/>
          <w:lang w:eastAsia="zh-CN"/>
          <w14:textFill>
            <w14:solidFill>
              <w14:schemeClr w14:val="tx1"/>
            </w14:solidFill>
          </w14:textFill>
        </w:rPr>
        <w:t>图</w:t>
      </w:r>
      <w:bookmarkEnd w:id="86"/>
    </w:p>
    <w:p w14:paraId="6C2DC972">
      <w:pPr>
        <w:spacing w:line="240" w:lineRule="auto"/>
        <w:ind w:left="0" w:leftChars="0" w:firstLine="0" w:firstLineChars="0"/>
        <w:outlineLvl w:val="9"/>
        <w:rPr>
          <w:rFonts w:hint="eastAsia" w:ascii="方正仿宋_GB2312" w:hAnsi="方正仿宋_GB2312" w:eastAsia="方正仿宋_GB2312" w:cs="方正仿宋_GB2312"/>
          <w:color w:val="000000" w:themeColor="text1"/>
          <w:lang w:eastAsia="zh-CN"/>
          <w14:textFill>
            <w14:solidFill>
              <w14:schemeClr w14:val="tx1"/>
            </w14:solidFill>
          </w14:textFill>
        </w:rPr>
      </w:pPr>
      <w:r>
        <w:rPr>
          <w:rFonts w:hint="eastAsia" w:ascii="方正仿宋_GB2312" w:hAnsi="方正仿宋_GB2312" w:eastAsia="方正仿宋_GB2312" w:cs="方正仿宋_GB2312"/>
          <w:color w:val="000000" w:themeColor="text1"/>
          <w:lang w:eastAsia="zh-CN"/>
          <w14:textFill>
            <w14:solidFill>
              <w14:schemeClr w14:val="tx1"/>
            </w14:solidFill>
          </w14:textFill>
        </w:rPr>
        <w:drawing>
          <wp:inline distT="0" distB="0" distL="114300" distR="114300">
            <wp:extent cx="5612765" cy="7677785"/>
            <wp:effectExtent l="0" t="0" r="0" b="0"/>
            <wp:docPr id="2" name="图片 2" descr="水源地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水源地分布"/>
                    <pic:cNvPicPr>
                      <a:picLocks noChangeAspect="1"/>
                    </pic:cNvPicPr>
                  </pic:nvPicPr>
                  <pic:blipFill>
                    <a:blip r:embed="rId47"/>
                    <a:srcRect t="1105"/>
                    <a:stretch>
                      <a:fillRect/>
                    </a:stretch>
                  </pic:blipFill>
                  <pic:spPr>
                    <a:xfrm>
                      <a:off x="0" y="0"/>
                      <a:ext cx="5612765" cy="7677785"/>
                    </a:xfrm>
                    <a:prstGeom prst="rect">
                      <a:avLst/>
                    </a:prstGeom>
                  </pic:spPr>
                </pic:pic>
              </a:graphicData>
            </a:graphic>
          </wp:inline>
        </w:drawing>
      </w:r>
    </w:p>
    <w:sectPr>
      <w:pgSz w:w="11906" w:h="16838"/>
      <w:pgMar w:top="2098" w:right="1474" w:bottom="1701" w:left="1588" w:header="992" w:footer="992" w:gutter="0"/>
      <w:pgBorders>
        <w:top w:val="none" w:sz="0" w:space="0"/>
        <w:left w:val="none" w:sz="0" w:space="0"/>
        <w:bottom w:val="none" w:sz="0" w:space="0"/>
        <w:right w:val="none" w:sz="0" w:space="0"/>
      </w:pgBorders>
      <w:pgNumType w:fmt="decimal"/>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CDCDB3-4183-4E7B-BF8D-80C2736295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黑体_GBK">
    <w:panose1 w:val="02010600010101010101"/>
    <w:charset w:val="86"/>
    <w:family w:val="script"/>
    <w:pitch w:val="default"/>
    <w:sig w:usb0="00000001" w:usb1="080E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简体">
    <w:panose1 w:val="02000000000000000000"/>
    <w:charset w:val="86"/>
    <w:family w:val="auto"/>
    <w:pitch w:val="default"/>
    <w:sig w:usb0="A00002BF" w:usb1="184F6CFA" w:usb2="00000012" w:usb3="00000000" w:csb0="00040001" w:csb1="00000000"/>
    <w:embedRegular r:id="rId2" w:fontKey="{7E6768DA-094F-45A5-96CC-24DB18366A4D}"/>
  </w:font>
  <w:font w:name="方正仿宋_GB2312">
    <w:panose1 w:val="02000000000000000000"/>
    <w:charset w:val="86"/>
    <w:family w:val="auto"/>
    <w:pitch w:val="default"/>
    <w:sig w:usb0="A00002BF" w:usb1="184F6CFA" w:usb2="00000012" w:usb3="00000000" w:csb0="00040001" w:csb1="00000000"/>
    <w:embedRegular r:id="rId3" w:fontKey="{8B428E0C-4F4B-4FD2-B6B6-CC8C864A1A43}"/>
  </w:font>
  <w:font w:name="仿宋">
    <w:panose1 w:val="02010609060101010101"/>
    <w:charset w:val="86"/>
    <w:family w:val="modern"/>
    <w:pitch w:val="default"/>
    <w:sig w:usb0="800002BF" w:usb1="38CF7CFA" w:usb2="00000016" w:usb3="00000000" w:csb0="00040001" w:csb1="00000000"/>
    <w:embedRegular r:id="rId4" w:fontKey="{CC998D0A-C5B0-4AE4-8A9B-44C37D578913}"/>
  </w:font>
  <w:font w:name="方正大标宋_GBK">
    <w:panose1 w:val="03000509000000000000"/>
    <w:charset w:val="86"/>
    <w:family w:val="auto"/>
    <w:pitch w:val="default"/>
    <w:sig w:usb0="00000001" w:usb1="080E0000" w:usb2="00000000" w:usb3="00000000" w:csb0="00040000" w:csb1="00000000"/>
    <w:embedRegular r:id="rId5" w:fontKey="{9D4672E2-B98B-4973-9C8C-FFD477239300}"/>
  </w:font>
  <w:font w:name="楷体_GB2312">
    <w:altName w:val="楷体"/>
    <w:panose1 w:val="02010609030101010101"/>
    <w:charset w:val="86"/>
    <w:family w:val="modern"/>
    <w:pitch w:val="default"/>
    <w:sig w:usb0="00000000" w:usb1="00000000" w:usb2="00000000" w:usb3="00000000" w:csb0="00040000" w:csb1="00000000"/>
    <w:embedRegular r:id="rId6" w:fontKey="{2B5A6F1C-DDB4-4E18-833E-1F456BD41627}"/>
  </w:font>
  <w:font w:name="Cambria Math">
    <w:panose1 w:val="02040503050406030204"/>
    <w:charset w:val="00"/>
    <w:family w:val="roman"/>
    <w:pitch w:val="default"/>
    <w:sig w:usb0="E00006FF" w:usb1="420024FF" w:usb2="02000000" w:usb3="00000000" w:csb0="2000019F" w:csb1="00000000"/>
    <w:embedRegular r:id="rId7" w:fontKey="{B8C1E55B-654B-4D18-8D9D-9C833386E886}"/>
  </w:font>
  <w:font w:name="WPSEMBED18">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914D7">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7C660">
    <w:pPr>
      <w:pStyle w:val="14"/>
      <w:spacing w:line="240" w:lineRule="auto"/>
      <w:ind w:firstLine="0" w:firstLineChars="0"/>
      <w:rPr>
        <w:rFonts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7CDE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77CDE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7C32E">
    <w:pPr>
      <w:pStyle w:val="14"/>
      <w:spacing w:line="240" w:lineRule="auto"/>
      <w:ind w:firstLine="0" w:firstLineChars="0"/>
      <w:jc w:val="right"/>
      <w:rPr>
        <w:rFonts w:cs="Times New Roman"/>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D9BBD">
    <w:pPr>
      <w:pStyle w:val="14"/>
      <w:spacing w:line="240" w:lineRule="auto"/>
      <w:ind w:firstLine="0" w:firstLineChars="0"/>
      <w:rPr>
        <w:rFonts w:cs="Times New Roman"/>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F4898">
    <w:pPr>
      <w:pStyle w:val="14"/>
      <w:spacing w:line="240" w:lineRule="auto"/>
      <w:ind w:firstLine="0" w:firstLineChars="0"/>
      <w:jc w:val="right"/>
      <w:rPr>
        <w:rFonts w:eastAsia="方正仿宋简体"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28166">
                          <w:pPr>
                            <w:pStyle w:val="1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C228166">
                    <w:pPr>
                      <w:pStyle w:val="1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0F566">
    <w:pPr>
      <w:pStyle w:val="14"/>
      <w:spacing w:line="240" w:lineRule="auto"/>
      <w:ind w:firstLine="0" w:firstLineChars="0"/>
      <w:rPr>
        <w:rFonts w:eastAsia="方正仿宋简体"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396B4">
                          <w:pPr>
                            <w:pStyle w:val="14"/>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7D396B4">
                    <w:pPr>
                      <w:pStyle w:val="14"/>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4B6DF">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D8D31">
                          <w:pPr>
                            <w:pStyle w:val="1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1BD8D31">
                    <w:pPr>
                      <w:pStyle w:val="1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A821">
    <w:pPr>
      <w:pStyle w:val="14"/>
      <w:spacing w:line="240" w:lineRule="auto"/>
      <w:ind w:firstLine="0" w:firstLineChars="0"/>
      <w:rPr>
        <w:rFonts w:eastAsia="方正仿宋简体"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8F9F2">
                          <w:pPr>
                            <w:pStyle w:val="14"/>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008F9F2">
                    <w:pPr>
                      <w:pStyle w:val="14"/>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1E433">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86D22">
                          <w:pPr>
                            <w:pStyle w:val="14"/>
                          </w:pPr>
                          <w:r>
                            <w:fldChar w:fldCharType="begin"/>
                          </w:r>
                          <w:r>
                            <w:instrText xml:space="preserve"> PAGE  \* MERGEFORMAT </w:instrText>
                          </w:r>
                          <w:r>
                            <w:fldChar w:fldCharType="separate"/>
                          </w:r>
                          <w:r>
                            <w:t>- 17 -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6186D22">
                    <w:pPr>
                      <w:pStyle w:val="14"/>
                    </w:pPr>
                    <w:r>
                      <w:fldChar w:fldCharType="begin"/>
                    </w:r>
                    <w:r>
                      <w:instrText xml:space="preserve"> PAGE  \* MERGEFORMAT </w:instrText>
                    </w:r>
                    <w:r>
                      <w:fldChar w:fldCharType="separate"/>
                    </w:r>
                    <w:r>
                      <w:t>- 17 -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F4D27">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A5DBA">
                          <w:pPr>
                            <w:pStyle w:val="14"/>
                          </w:pPr>
                          <w:r>
                            <w:fldChar w:fldCharType="begin"/>
                          </w:r>
                          <w:r>
                            <w:instrText xml:space="preserve"> PAGE  \* MERGEFORMAT </w:instrText>
                          </w:r>
                          <w:r>
                            <w:fldChar w:fldCharType="separate"/>
                          </w:r>
                          <w:r>
                            <w:t>- 16 -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85A5DBA">
                    <w:pPr>
                      <w:pStyle w:val="14"/>
                    </w:pPr>
                    <w:r>
                      <w:fldChar w:fldCharType="begin"/>
                    </w:r>
                    <w:r>
                      <w:instrText xml:space="preserve"> PAGE  \* MERGEFORMAT </w:instrText>
                    </w:r>
                    <w:r>
                      <w:fldChar w:fldCharType="separate"/>
                    </w:r>
                    <w:r>
                      <w:t>- 16 -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F669">
    <w:pPr>
      <w:pStyle w:val="14"/>
      <w:spacing w:line="240" w:lineRule="auto"/>
      <w:ind w:firstLine="0" w:firstLineChars="0"/>
      <w:jc w:val="right"/>
      <w:rPr>
        <w:rFonts w:eastAsia="方正仿宋简体"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49DC7">
                          <w:pPr>
                            <w:pStyle w:val="14"/>
                          </w:pPr>
                          <w:r>
                            <w:fldChar w:fldCharType="begin"/>
                          </w:r>
                          <w:r>
                            <w:instrText xml:space="preserve"> PAGE  \* MERGEFORMAT </w:instrText>
                          </w:r>
                          <w:r>
                            <w:fldChar w:fldCharType="separate"/>
                          </w:r>
                          <w:r>
                            <w:t>- 27 -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D549DC7">
                    <w:pPr>
                      <w:pStyle w:val="14"/>
                    </w:pPr>
                    <w:r>
                      <w:fldChar w:fldCharType="begin"/>
                    </w:r>
                    <w:r>
                      <w:instrText xml:space="preserve"> PAGE  \* MERGEFORMAT </w:instrText>
                    </w:r>
                    <w:r>
                      <w:fldChar w:fldCharType="separate"/>
                    </w:r>
                    <w:r>
                      <w:t>- 27 -</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E58C">
    <w:pPr>
      <w:pStyle w:val="14"/>
      <w:spacing w:line="240" w:lineRule="auto"/>
      <w:ind w:firstLine="0" w:firstLineChars="0"/>
      <w:rPr>
        <w:rFonts w:eastAsia="方正仿宋简体"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CEFD8">
                          <w:pPr>
                            <w:pStyle w:val="14"/>
                          </w:pPr>
                          <w:r>
                            <w:fldChar w:fldCharType="begin"/>
                          </w:r>
                          <w:r>
                            <w:instrText xml:space="preserve"> PAGE  \* MERGEFORMAT </w:instrText>
                          </w:r>
                          <w:r>
                            <w:fldChar w:fldCharType="separate"/>
                          </w:r>
                          <w:r>
                            <w:t>- 28 -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3CEFD8">
                    <w:pPr>
                      <w:pStyle w:val="14"/>
                    </w:pPr>
                    <w:r>
                      <w:fldChar w:fldCharType="begin"/>
                    </w:r>
                    <w:r>
                      <w:instrText xml:space="preserve"> PAGE  \* MERGEFORMAT </w:instrText>
                    </w:r>
                    <w:r>
                      <w:fldChar w:fldCharType="separate"/>
                    </w:r>
                    <w:r>
                      <w:t>- 28 -</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86375">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D285A">
                          <w:pPr>
                            <w:pStyle w:val="1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57D285A">
                    <w:pPr>
                      <w:pStyle w:val="1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1D58">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F0936">
                          <w:pPr>
                            <w:pStyle w:val="14"/>
                          </w:pPr>
                          <w:r>
                            <w:fldChar w:fldCharType="begin"/>
                          </w:r>
                          <w:r>
                            <w:instrText xml:space="preserve"> PAGE  \* MERGEFORMAT </w:instrText>
                          </w:r>
                          <w:r>
                            <w:fldChar w:fldCharType="separate"/>
                          </w:r>
                          <w:r>
                            <w:t>- 32 -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CFF0936">
                    <w:pPr>
                      <w:pStyle w:val="14"/>
                    </w:pPr>
                    <w:r>
                      <w:fldChar w:fldCharType="begin"/>
                    </w:r>
                    <w:r>
                      <w:instrText xml:space="preserve"> PAGE  \* MERGEFORMAT </w:instrText>
                    </w:r>
                    <w:r>
                      <w:fldChar w:fldCharType="separate"/>
                    </w:r>
                    <w:r>
                      <w:t>- 32 -</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4B60D">
    <w:pPr>
      <w:pStyle w:val="14"/>
      <w:spacing w:line="240" w:lineRule="auto"/>
      <w:ind w:firstLine="0" w:firstLineChars="0"/>
      <w:jc w:val="right"/>
      <w:rPr>
        <w:rFonts w:eastAsia="方正仿宋简体"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77DE9">
                          <w:pPr>
                            <w:pStyle w:val="14"/>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7877DE9">
                    <w:pPr>
                      <w:pStyle w:val="14"/>
                    </w:pPr>
                    <w:r>
                      <w:fldChar w:fldCharType="begin"/>
                    </w:r>
                    <w:r>
                      <w:instrText xml:space="preserve"> PAGE  \* MERGEFORMAT </w:instrText>
                    </w:r>
                    <w:r>
                      <w:fldChar w:fldCharType="separate"/>
                    </w:r>
                    <w:r>
                      <w:t>- 33 -</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73540">
    <w:pPr>
      <w:pStyle w:val="14"/>
      <w:spacing w:line="240" w:lineRule="auto"/>
      <w:ind w:firstLine="0" w:firstLineChars="0"/>
      <w:rPr>
        <w:rFonts w:eastAsia="方正仿宋简体"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4C090">
                          <w:pPr>
                            <w:pStyle w:val="14"/>
                          </w:pPr>
                          <w:r>
                            <w:fldChar w:fldCharType="begin"/>
                          </w:r>
                          <w:r>
                            <w:instrText xml:space="preserve"> PAGE  \* MERGEFORMAT </w:instrText>
                          </w:r>
                          <w:r>
                            <w:fldChar w:fldCharType="separate"/>
                          </w:r>
                          <w:r>
                            <w:t>- 34 -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7D4C090">
                    <w:pPr>
                      <w:pStyle w:val="14"/>
                    </w:pPr>
                    <w:r>
                      <w:fldChar w:fldCharType="begin"/>
                    </w:r>
                    <w:r>
                      <w:instrText xml:space="preserve"> PAGE  \* MERGEFORMAT </w:instrText>
                    </w:r>
                    <w:r>
                      <w:fldChar w:fldCharType="separate"/>
                    </w:r>
                    <w:r>
                      <w:t>- 34 -</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42C">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DA597">
                          <w:pPr>
                            <w:pStyle w:val="14"/>
                          </w:pPr>
                          <w:r>
                            <w:fldChar w:fldCharType="begin"/>
                          </w:r>
                          <w:r>
                            <w:instrText xml:space="preserve"> PAGE  \* MERGEFORMAT </w:instrText>
                          </w:r>
                          <w:r>
                            <w:fldChar w:fldCharType="separate"/>
                          </w:r>
                          <w:r>
                            <w:t>- 49 -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90DA597">
                    <w:pPr>
                      <w:pStyle w:val="14"/>
                    </w:pPr>
                    <w:r>
                      <w:fldChar w:fldCharType="begin"/>
                    </w:r>
                    <w:r>
                      <w:instrText xml:space="preserve"> PAGE  \* MERGEFORMAT </w:instrText>
                    </w:r>
                    <w:r>
                      <w:fldChar w:fldCharType="separate"/>
                    </w:r>
                    <w:r>
                      <w:t>- 49 -</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6417A">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7A0EF6">
                          <w:pPr>
                            <w:pStyle w:val="14"/>
                          </w:pPr>
                          <w:r>
                            <w:fldChar w:fldCharType="begin"/>
                          </w:r>
                          <w:r>
                            <w:instrText xml:space="preserve"> PAGE  \* MERGEFORMAT </w:instrText>
                          </w:r>
                          <w:r>
                            <w:fldChar w:fldCharType="separate"/>
                          </w:r>
                          <w:r>
                            <w:t>- 50 -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27A0EF6">
                    <w:pPr>
                      <w:pStyle w:val="14"/>
                    </w:pPr>
                    <w:r>
                      <w:fldChar w:fldCharType="begin"/>
                    </w:r>
                    <w:r>
                      <w:instrText xml:space="preserve"> PAGE  \* MERGEFORMAT </w:instrText>
                    </w:r>
                    <w:r>
                      <w:fldChar w:fldCharType="separate"/>
                    </w:r>
                    <w:r>
                      <w:t>- 50 -</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34D34">
    <w:pPr>
      <w:pStyle w:val="14"/>
      <w:spacing w:line="240" w:lineRule="auto"/>
      <w:ind w:firstLine="0" w:firstLineChars="0"/>
      <w:jc w:val="right"/>
      <w:rPr>
        <w:rFonts w:eastAsia="方正仿宋简体"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9C7E1">
                          <w:pPr>
                            <w:pStyle w:val="14"/>
                          </w:pPr>
                          <w:r>
                            <w:fldChar w:fldCharType="begin"/>
                          </w:r>
                          <w:r>
                            <w:instrText xml:space="preserve"> PAGE  \* MERGEFORMAT </w:instrText>
                          </w:r>
                          <w:r>
                            <w:fldChar w:fldCharType="separate"/>
                          </w:r>
                          <w:r>
                            <w:t>- 51 -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2A9C7E1">
                    <w:pPr>
                      <w:pStyle w:val="14"/>
                    </w:pPr>
                    <w:r>
                      <w:fldChar w:fldCharType="begin"/>
                    </w:r>
                    <w:r>
                      <w:instrText xml:space="preserve"> PAGE  \* MERGEFORMAT </w:instrText>
                    </w:r>
                    <w:r>
                      <w:fldChar w:fldCharType="separate"/>
                    </w:r>
                    <w:r>
                      <w:t>- 51 -</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15622">
    <w:pPr>
      <w:pStyle w:val="14"/>
      <w:spacing w:line="240" w:lineRule="auto"/>
      <w:ind w:firstLine="0" w:firstLineChars="0"/>
      <w:rPr>
        <w:rFonts w:eastAsia="方正仿宋简体"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84094">
                          <w:pPr>
                            <w:pStyle w:val="14"/>
                          </w:pPr>
                          <w:r>
                            <w:fldChar w:fldCharType="begin"/>
                          </w:r>
                          <w:r>
                            <w:instrText xml:space="preserve"> PAGE  \* MERGEFORMAT </w:instrText>
                          </w:r>
                          <w:r>
                            <w:fldChar w:fldCharType="separate"/>
                          </w:r>
                          <w:r>
                            <w:t>- 52 -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7D84094">
                    <w:pPr>
                      <w:pStyle w:val="14"/>
                    </w:pPr>
                    <w:r>
                      <w:fldChar w:fldCharType="begin"/>
                    </w:r>
                    <w:r>
                      <w:instrText xml:space="preserve"> PAGE  \* MERGEFORMAT </w:instrText>
                    </w:r>
                    <w:r>
                      <w:fldChar w:fldCharType="separate"/>
                    </w:r>
                    <w:r>
                      <w:t>- 52 -</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12F9A">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31FE5">
                          <w:pPr>
                            <w:pStyle w:val="14"/>
                          </w:pPr>
                          <w:r>
                            <w:fldChar w:fldCharType="begin"/>
                          </w:r>
                          <w:r>
                            <w:instrText xml:space="preserve"> PAGE  \* MERGEFORMAT </w:instrText>
                          </w:r>
                          <w:r>
                            <w:fldChar w:fldCharType="separate"/>
                          </w:r>
                          <w:r>
                            <w:t>- 129 -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C31FE5">
                    <w:pPr>
                      <w:pStyle w:val="14"/>
                    </w:pPr>
                    <w:r>
                      <w:fldChar w:fldCharType="begin"/>
                    </w:r>
                    <w:r>
                      <w:instrText xml:space="preserve"> PAGE  \* MERGEFORMAT </w:instrText>
                    </w:r>
                    <w:r>
                      <w:fldChar w:fldCharType="separate"/>
                    </w:r>
                    <w:r>
                      <w:t>- 129 -</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B3125">
    <w:pPr>
      <w:pStyle w:val="14"/>
      <w:spacing w:line="240" w:lineRule="auto"/>
      <w:ind w:firstLine="0" w:firstLineChars="0"/>
      <w:jc w:val="center"/>
      <w:rPr>
        <w:rFonts w:eastAsia="方正仿宋简体" w:cs="Times New Roman"/>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2C59C">
                          <w:pPr>
                            <w:pStyle w:val="14"/>
                          </w:pPr>
                          <w:r>
                            <w:fldChar w:fldCharType="begin"/>
                          </w:r>
                          <w:r>
                            <w:instrText xml:space="preserve"> PAGE  \* MERGEFORMAT </w:instrText>
                          </w:r>
                          <w:r>
                            <w:fldChar w:fldCharType="separate"/>
                          </w:r>
                          <w:r>
                            <w:t>- 128 -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662C59C">
                    <w:pPr>
                      <w:pStyle w:val="14"/>
                    </w:pPr>
                    <w:r>
                      <w:fldChar w:fldCharType="begin"/>
                    </w:r>
                    <w:r>
                      <w:instrText xml:space="preserve"> PAGE  \* MERGEFORMAT </w:instrText>
                    </w:r>
                    <w:r>
                      <w:fldChar w:fldCharType="separate"/>
                    </w:r>
                    <w:r>
                      <w:t>- 128 -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E359">
    <w:pPr>
      <w:pStyle w:val="15"/>
      <w:ind w:firstLine="0" w:firstLineChars="0"/>
      <w:rPr>
        <w:rFonts w:eastAsia="方正仿宋简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4BAC">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98A35">
    <w:pPr>
      <w:pStyle w:val="15"/>
      <w:spacing w:line="240" w:lineRule="auto"/>
      <w:ind w:firstLine="0" w:firstLineChars="0"/>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8D0FBA"/>
    <w:multiLevelType w:val="multilevel"/>
    <w:tmpl w:val="1C8D0FBA"/>
    <w:lvl w:ilvl="0" w:tentative="0">
      <w:start w:val="1"/>
      <w:numFmt w:val="decimal"/>
      <w:suff w:val="nothing"/>
      <w:lvlText w:val="%1."/>
      <w:lvlJc w:val="left"/>
      <w:pPr>
        <w:ind w:left="0" w:firstLine="0"/>
      </w:pPr>
      <w:rPr>
        <w:rFonts w:hint="eastAsia"/>
        <w:b w:val="0"/>
        <w:i w:val="0"/>
        <w:sz w:val="32"/>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3D14585C"/>
    <w:multiLevelType w:val="multilevel"/>
    <w:tmpl w:val="3D14585C"/>
    <w:lvl w:ilvl="0" w:tentative="0">
      <w:start w:val="1"/>
      <w:numFmt w:val="chineseCountingThousand"/>
      <w:pStyle w:val="2"/>
      <w:suff w:val="nothing"/>
      <w:lvlText w:val="%1、"/>
      <w:lvlJc w:val="left"/>
      <w:pPr>
        <w:ind w:left="0" w:firstLine="0"/>
      </w:pPr>
      <w:rPr>
        <w:rFonts w:hint="default" w:ascii="Times New Roman" w:hAnsi="Times New Roman" w:eastAsia="方正黑体_GBK"/>
        <w:b w:val="0"/>
        <w:i w:val="0"/>
        <w:spacing w:val="0"/>
        <w:w w:val="100"/>
        <w:position w:val="0"/>
        <w:sz w:val="32"/>
        <w:u w:val="none"/>
      </w:rPr>
    </w:lvl>
    <w:lvl w:ilvl="1" w:tentative="0">
      <w:start w:val="1"/>
      <w:numFmt w:val="chineseCountingThousand"/>
      <w:pStyle w:val="3"/>
      <w:suff w:val="nothing"/>
      <w:lvlText w:val="（%2）"/>
      <w:lvlJc w:val="left"/>
      <w:pPr>
        <w:ind w:left="0" w:firstLine="0"/>
      </w:pPr>
      <w:rPr>
        <w:rFonts w:hint="default" w:ascii="Times New Roman" w:hAnsi="Times New Roman" w:eastAsia="方正楷体_GBK"/>
        <w:b w:val="0"/>
        <w:i w:val="0"/>
        <w:sz w:val="32"/>
        <w:u w:val="none"/>
      </w:rPr>
    </w:lvl>
    <w:lvl w:ilvl="2" w:tentative="0">
      <w:start w:val="1"/>
      <w:numFmt w:val="decimal"/>
      <w:pStyle w:val="4"/>
      <w:suff w:val="nothing"/>
      <w:lvlText w:val="%3."/>
      <w:lvlJc w:val="left"/>
      <w:pPr>
        <w:ind w:left="0" w:firstLine="0"/>
      </w:pPr>
      <w:rPr>
        <w:rFonts w:hint="default" w:ascii="Times New Roman" w:hAnsi="Times New Roman" w:eastAsia="方正仿宋_GBK"/>
        <w:b w:val="0"/>
        <w:i w:val="0"/>
        <w:sz w:val="32"/>
        <w:u w:val="none"/>
      </w:rPr>
    </w:lvl>
    <w:lvl w:ilvl="3" w:tentative="0">
      <w:start w:val="1"/>
      <w:numFmt w:val="decimal"/>
      <w:pStyle w:val="5"/>
      <w:suff w:val="nothing"/>
      <w:lvlText w:val="（%4）"/>
      <w:lvlJc w:val="left"/>
      <w:pPr>
        <w:ind w:left="0" w:firstLine="0"/>
      </w:pPr>
      <w:rPr>
        <w:rFonts w:hint="default" w:ascii="Times New Roman" w:hAnsi="Times New Roman" w:eastAsia="方正仿宋_GBK"/>
        <w:b w:val="0"/>
        <w:i w:val="0"/>
        <w:sz w:val="32"/>
        <w:u w:val="none"/>
      </w:rPr>
    </w:lvl>
    <w:lvl w:ilvl="4" w:tentative="0">
      <w:start w:val="1"/>
      <w:numFmt w:val="bullet"/>
      <w:pStyle w:val="6"/>
      <w:suff w:val="nothing"/>
      <w:lvlText w:val="①"/>
      <w:lvlJc w:val="left"/>
      <w:pPr>
        <w:ind w:left="0" w:firstLine="0"/>
      </w:pPr>
      <w:rPr>
        <w:rFonts w:hint="default" w:ascii="Times New Roman" w:hAnsi="Times New Roman" w:cs="Times New Roman"/>
        <w:b w:val="0"/>
        <w:i w:val="0"/>
        <w:color w:val="auto"/>
        <w:sz w:val="32"/>
        <w:u w:val="none"/>
      </w:rPr>
    </w:lvl>
    <w:lvl w:ilvl="5" w:tentative="0">
      <w:start w:val="1"/>
      <w:numFmt w:val="none"/>
      <w:pStyle w:val="37"/>
      <w:suff w:val="nothing"/>
      <w:lvlText w:val="（？）"/>
      <w:lvlJc w:val="left"/>
      <w:pPr>
        <w:ind w:left="0" w:firstLine="0"/>
      </w:pPr>
      <w:rPr>
        <w:rFonts w:hint="eastAsia"/>
        <w:b/>
        <w:i w:val="0"/>
        <w:sz w:val="24"/>
        <w:u w:val="none"/>
      </w:rPr>
    </w:lvl>
    <w:lvl w:ilvl="6" w:tentative="0">
      <w:start w:val="1"/>
      <w:numFmt w:val="none"/>
      <w:pStyle w:val="38"/>
      <w:suff w:val="nothing"/>
      <w:lvlText w:val="%7？"/>
      <w:lvlJc w:val="left"/>
      <w:pPr>
        <w:ind w:left="0" w:firstLine="0"/>
      </w:pPr>
      <w:rPr>
        <w:rFonts w:hint="default" w:ascii="Times New Roman" w:hAnsi="Times New Roman" w:eastAsia="宋体"/>
        <w:b/>
        <w:i w:val="0"/>
        <w:sz w:val="24"/>
        <w:u w:val="none"/>
      </w:rPr>
    </w:lvl>
    <w:lvl w:ilvl="7" w:tentative="0">
      <w:start w:val="1"/>
      <w:numFmt w:val="decimal"/>
      <w:lvlRestart w:val="0"/>
      <w:pStyle w:val="49"/>
      <w:suff w:val="space"/>
      <w:lvlText w:val="图%8"/>
      <w:lvlJc w:val="left"/>
      <w:pPr>
        <w:ind w:left="0" w:firstLine="0"/>
      </w:pPr>
      <w:rPr>
        <w:rFonts w:hint="default" w:ascii="Times New Roman" w:hAnsi="Times New Roman" w:eastAsia="方正黑体_GBK"/>
        <w:b w:val="0"/>
        <w:i w:val="0"/>
        <w:sz w:val="32"/>
        <w:u w:val="none"/>
      </w:rPr>
    </w:lvl>
    <w:lvl w:ilvl="8" w:tentative="0">
      <w:start w:val="1"/>
      <w:numFmt w:val="decimal"/>
      <w:lvlRestart w:val="0"/>
      <w:pStyle w:val="48"/>
      <w:suff w:val="space"/>
      <w:lvlText w:val="表%9"/>
      <w:lvlJc w:val="left"/>
      <w:pPr>
        <w:ind w:left="0" w:firstLine="0"/>
      </w:pPr>
      <w:rPr>
        <w:rFonts w:hint="default" w:ascii="Times New Roman" w:hAnsi="Times New Roman" w:eastAsia="方正黑体_GBK"/>
        <w:b w:val="0"/>
        <w:i w:val="0"/>
        <w:sz w:val="32"/>
      </w:rPr>
    </w:lvl>
  </w:abstractNum>
  <w:abstractNum w:abstractNumId="2">
    <w:nsid w:val="6FD8D509"/>
    <w:multiLevelType w:val="singleLevel"/>
    <w:tmpl w:val="6FD8D509"/>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17B"/>
    <w:rsid w:val="00000140"/>
    <w:rsid w:val="00000AD4"/>
    <w:rsid w:val="00000DAF"/>
    <w:rsid w:val="00004C85"/>
    <w:rsid w:val="000072B6"/>
    <w:rsid w:val="000113C3"/>
    <w:rsid w:val="0001235B"/>
    <w:rsid w:val="00012DF6"/>
    <w:rsid w:val="00015D63"/>
    <w:rsid w:val="00016358"/>
    <w:rsid w:val="00016817"/>
    <w:rsid w:val="00020227"/>
    <w:rsid w:val="00021DFB"/>
    <w:rsid w:val="00022678"/>
    <w:rsid w:val="00031409"/>
    <w:rsid w:val="0003428D"/>
    <w:rsid w:val="000350FA"/>
    <w:rsid w:val="000357E4"/>
    <w:rsid w:val="000361E6"/>
    <w:rsid w:val="00037087"/>
    <w:rsid w:val="00042A61"/>
    <w:rsid w:val="0004657E"/>
    <w:rsid w:val="000473DD"/>
    <w:rsid w:val="0004797D"/>
    <w:rsid w:val="00057C28"/>
    <w:rsid w:val="0006266D"/>
    <w:rsid w:val="000657A8"/>
    <w:rsid w:val="00065CB7"/>
    <w:rsid w:val="000737A5"/>
    <w:rsid w:val="00074EF2"/>
    <w:rsid w:val="00081E2C"/>
    <w:rsid w:val="00082580"/>
    <w:rsid w:val="000841AA"/>
    <w:rsid w:val="000864AB"/>
    <w:rsid w:val="000878B8"/>
    <w:rsid w:val="00091887"/>
    <w:rsid w:val="00095B45"/>
    <w:rsid w:val="00095C65"/>
    <w:rsid w:val="00095FB3"/>
    <w:rsid w:val="0009625A"/>
    <w:rsid w:val="00096A11"/>
    <w:rsid w:val="000A01FF"/>
    <w:rsid w:val="000A0E8B"/>
    <w:rsid w:val="000A3872"/>
    <w:rsid w:val="000A433D"/>
    <w:rsid w:val="000A51D1"/>
    <w:rsid w:val="000A79C9"/>
    <w:rsid w:val="000B1A8F"/>
    <w:rsid w:val="000B231D"/>
    <w:rsid w:val="000B4606"/>
    <w:rsid w:val="000B5056"/>
    <w:rsid w:val="000B6C8F"/>
    <w:rsid w:val="000C07F7"/>
    <w:rsid w:val="000C0E38"/>
    <w:rsid w:val="000C13F8"/>
    <w:rsid w:val="000C15F0"/>
    <w:rsid w:val="000C2034"/>
    <w:rsid w:val="000C60B6"/>
    <w:rsid w:val="000C6B6A"/>
    <w:rsid w:val="000C7CC3"/>
    <w:rsid w:val="000D2BC6"/>
    <w:rsid w:val="000D3C54"/>
    <w:rsid w:val="000D68F1"/>
    <w:rsid w:val="000D6989"/>
    <w:rsid w:val="000E0E62"/>
    <w:rsid w:val="000E1950"/>
    <w:rsid w:val="000E3435"/>
    <w:rsid w:val="000E60B9"/>
    <w:rsid w:val="000E7BF5"/>
    <w:rsid w:val="000F10A1"/>
    <w:rsid w:val="000F1330"/>
    <w:rsid w:val="000F5737"/>
    <w:rsid w:val="000F6E61"/>
    <w:rsid w:val="001013C9"/>
    <w:rsid w:val="00101F11"/>
    <w:rsid w:val="00104BF4"/>
    <w:rsid w:val="00105978"/>
    <w:rsid w:val="0010646E"/>
    <w:rsid w:val="00107ADA"/>
    <w:rsid w:val="0011082B"/>
    <w:rsid w:val="001162D8"/>
    <w:rsid w:val="00116940"/>
    <w:rsid w:val="00116F6B"/>
    <w:rsid w:val="00122574"/>
    <w:rsid w:val="00124D85"/>
    <w:rsid w:val="00126CEE"/>
    <w:rsid w:val="00132A17"/>
    <w:rsid w:val="00134FDC"/>
    <w:rsid w:val="001364AC"/>
    <w:rsid w:val="00143C03"/>
    <w:rsid w:val="001455F3"/>
    <w:rsid w:val="0014669F"/>
    <w:rsid w:val="001508C8"/>
    <w:rsid w:val="00152FC6"/>
    <w:rsid w:val="001550EF"/>
    <w:rsid w:val="001615BC"/>
    <w:rsid w:val="00161871"/>
    <w:rsid w:val="00164E58"/>
    <w:rsid w:val="00167180"/>
    <w:rsid w:val="001677DC"/>
    <w:rsid w:val="00172990"/>
    <w:rsid w:val="00173445"/>
    <w:rsid w:val="00173AA7"/>
    <w:rsid w:val="0017493E"/>
    <w:rsid w:val="00176760"/>
    <w:rsid w:val="00180D88"/>
    <w:rsid w:val="001858D4"/>
    <w:rsid w:val="0018729E"/>
    <w:rsid w:val="00190506"/>
    <w:rsid w:val="00190E31"/>
    <w:rsid w:val="00190F79"/>
    <w:rsid w:val="001924A4"/>
    <w:rsid w:val="00194AFD"/>
    <w:rsid w:val="00195A0F"/>
    <w:rsid w:val="001971CA"/>
    <w:rsid w:val="00197861"/>
    <w:rsid w:val="001A113C"/>
    <w:rsid w:val="001A3286"/>
    <w:rsid w:val="001A3313"/>
    <w:rsid w:val="001A383F"/>
    <w:rsid w:val="001A46D1"/>
    <w:rsid w:val="001A5F0D"/>
    <w:rsid w:val="001A6237"/>
    <w:rsid w:val="001A6F50"/>
    <w:rsid w:val="001B07CF"/>
    <w:rsid w:val="001B34A9"/>
    <w:rsid w:val="001B614E"/>
    <w:rsid w:val="001C05DC"/>
    <w:rsid w:val="001C0A0E"/>
    <w:rsid w:val="001D5917"/>
    <w:rsid w:val="001D7B13"/>
    <w:rsid w:val="001E19BE"/>
    <w:rsid w:val="001E3064"/>
    <w:rsid w:val="001F0EAA"/>
    <w:rsid w:val="001F0FD4"/>
    <w:rsid w:val="001F22F8"/>
    <w:rsid w:val="001F4960"/>
    <w:rsid w:val="001F61D1"/>
    <w:rsid w:val="001F63AD"/>
    <w:rsid w:val="001F78F0"/>
    <w:rsid w:val="00200243"/>
    <w:rsid w:val="00200C10"/>
    <w:rsid w:val="0020216C"/>
    <w:rsid w:val="00202CAB"/>
    <w:rsid w:val="00203D1A"/>
    <w:rsid w:val="00204EBC"/>
    <w:rsid w:val="00205E43"/>
    <w:rsid w:val="00206714"/>
    <w:rsid w:val="002148A8"/>
    <w:rsid w:val="002155B0"/>
    <w:rsid w:val="0022057E"/>
    <w:rsid w:val="00221834"/>
    <w:rsid w:val="0022194B"/>
    <w:rsid w:val="00221D67"/>
    <w:rsid w:val="00222409"/>
    <w:rsid w:val="00224437"/>
    <w:rsid w:val="00224BB1"/>
    <w:rsid w:val="002264A5"/>
    <w:rsid w:val="00227D8C"/>
    <w:rsid w:val="002320B8"/>
    <w:rsid w:val="00232784"/>
    <w:rsid w:val="00233174"/>
    <w:rsid w:val="00234839"/>
    <w:rsid w:val="002369A2"/>
    <w:rsid w:val="00236F84"/>
    <w:rsid w:val="00242F77"/>
    <w:rsid w:val="00243FE3"/>
    <w:rsid w:val="00246E52"/>
    <w:rsid w:val="00246E62"/>
    <w:rsid w:val="00253E32"/>
    <w:rsid w:val="00256EE8"/>
    <w:rsid w:val="0025744A"/>
    <w:rsid w:val="00262AB1"/>
    <w:rsid w:val="00264B9E"/>
    <w:rsid w:val="0027003B"/>
    <w:rsid w:val="00270A4F"/>
    <w:rsid w:val="002714F4"/>
    <w:rsid w:val="0027750B"/>
    <w:rsid w:val="002851CD"/>
    <w:rsid w:val="00286AB5"/>
    <w:rsid w:val="00291EF3"/>
    <w:rsid w:val="0029206D"/>
    <w:rsid w:val="00293B50"/>
    <w:rsid w:val="0029554D"/>
    <w:rsid w:val="00295999"/>
    <w:rsid w:val="00297BFE"/>
    <w:rsid w:val="002A1BE0"/>
    <w:rsid w:val="002A2410"/>
    <w:rsid w:val="002A3D28"/>
    <w:rsid w:val="002A3FA6"/>
    <w:rsid w:val="002B0F54"/>
    <w:rsid w:val="002B2338"/>
    <w:rsid w:val="002B587A"/>
    <w:rsid w:val="002B5AA3"/>
    <w:rsid w:val="002B5C4D"/>
    <w:rsid w:val="002C0C63"/>
    <w:rsid w:val="002C3873"/>
    <w:rsid w:val="002C67D4"/>
    <w:rsid w:val="002C6A43"/>
    <w:rsid w:val="002C7391"/>
    <w:rsid w:val="002D3DEA"/>
    <w:rsid w:val="002E1B83"/>
    <w:rsid w:val="002E566D"/>
    <w:rsid w:val="002E5A65"/>
    <w:rsid w:val="002F0509"/>
    <w:rsid w:val="002F0840"/>
    <w:rsid w:val="002F2A73"/>
    <w:rsid w:val="002F311B"/>
    <w:rsid w:val="002F5135"/>
    <w:rsid w:val="00300A51"/>
    <w:rsid w:val="00301314"/>
    <w:rsid w:val="00304A3E"/>
    <w:rsid w:val="00307D0D"/>
    <w:rsid w:val="003118C3"/>
    <w:rsid w:val="0031470B"/>
    <w:rsid w:val="0031729F"/>
    <w:rsid w:val="00322B32"/>
    <w:rsid w:val="00325F1D"/>
    <w:rsid w:val="003276B8"/>
    <w:rsid w:val="003314DC"/>
    <w:rsid w:val="00333E38"/>
    <w:rsid w:val="003372C5"/>
    <w:rsid w:val="0034061D"/>
    <w:rsid w:val="003429DC"/>
    <w:rsid w:val="00342F80"/>
    <w:rsid w:val="00343026"/>
    <w:rsid w:val="003457EA"/>
    <w:rsid w:val="00350262"/>
    <w:rsid w:val="00352356"/>
    <w:rsid w:val="00352CE2"/>
    <w:rsid w:val="0035709A"/>
    <w:rsid w:val="003647C7"/>
    <w:rsid w:val="003651AA"/>
    <w:rsid w:val="00365599"/>
    <w:rsid w:val="00370F34"/>
    <w:rsid w:val="00372B84"/>
    <w:rsid w:val="0037459B"/>
    <w:rsid w:val="00375013"/>
    <w:rsid w:val="0037562D"/>
    <w:rsid w:val="00375DA2"/>
    <w:rsid w:val="00376511"/>
    <w:rsid w:val="00377192"/>
    <w:rsid w:val="00381330"/>
    <w:rsid w:val="00383340"/>
    <w:rsid w:val="00386A4C"/>
    <w:rsid w:val="00387D5F"/>
    <w:rsid w:val="0039067E"/>
    <w:rsid w:val="00392B02"/>
    <w:rsid w:val="00392DA4"/>
    <w:rsid w:val="0039311A"/>
    <w:rsid w:val="00394530"/>
    <w:rsid w:val="0039680A"/>
    <w:rsid w:val="003A1920"/>
    <w:rsid w:val="003A2DCE"/>
    <w:rsid w:val="003A3354"/>
    <w:rsid w:val="003A3BBD"/>
    <w:rsid w:val="003A3FCD"/>
    <w:rsid w:val="003A5D04"/>
    <w:rsid w:val="003A7D5F"/>
    <w:rsid w:val="003B0ADC"/>
    <w:rsid w:val="003B15C9"/>
    <w:rsid w:val="003B2E8E"/>
    <w:rsid w:val="003B320B"/>
    <w:rsid w:val="003B66B2"/>
    <w:rsid w:val="003C0B9E"/>
    <w:rsid w:val="003D227D"/>
    <w:rsid w:val="003D308B"/>
    <w:rsid w:val="003D3DE4"/>
    <w:rsid w:val="003D7D6B"/>
    <w:rsid w:val="003E038F"/>
    <w:rsid w:val="003E0B3D"/>
    <w:rsid w:val="003E54CF"/>
    <w:rsid w:val="003E574F"/>
    <w:rsid w:val="003F0634"/>
    <w:rsid w:val="003F2316"/>
    <w:rsid w:val="003F2D12"/>
    <w:rsid w:val="004003B2"/>
    <w:rsid w:val="00401D87"/>
    <w:rsid w:val="0040247D"/>
    <w:rsid w:val="00402FBD"/>
    <w:rsid w:val="00403881"/>
    <w:rsid w:val="00403906"/>
    <w:rsid w:val="00403B80"/>
    <w:rsid w:val="00405E8F"/>
    <w:rsid w:val="00415589"/>
    <w:rsid w:val="0041701E"/>
    <w:rsid w:val="00422756"/>
    <w:rsid w:val="00422C44"/>
    <w:rsid w:val="00423887"/>
    <w:rsid w:val="0042389D"/>
    <w:rsid w:val="004239C1"/>
    <w:rsid w:val="00423F32"/>
    <w:rsid w:val="00423F8E"/>
    <w:rsid w:val="00424700"/>
    <w:rsid w:val="004322A5"/>
    <w:rsid w:val="0043282D"/>
    <w:rsid w:val="00432D26"/>
    <w:rsid w:val="00432E2F"/>
    <w:rsid w:val="004335A0"/>
    <w:rsid w:val="004349CF"/>
    <w:rsid w:val="00440422"/>
    <w:rsid w:val="00440DE4"/>
    <w:rsid w:val="00441B85"/>
    <w:rsid w:val="004452A8"/>
    <w:rsid w:val="0044697D"/>
    <w:rsid w:val="00452112"/>
    <w:rsid w:val="00453E6C"/>
    <w:rsid w:val="00456AE3"/>
    <w:rsid w:val="00457211"/>
    <w:rsid w:val="004615A8"/>
    <w:rsid w:val="004619F0"/>
    <w:rsid w:val="004639AD"/>
    <w:rsid w:val="00463EAB"/>
    <w:rsid w:val="004642C1"/>
    <w:rsid w:val="004652D1"/>
    <w:rsid w:val="00473415"/>
    <w:rsid w:val="00473941"/>
    <w:rsid w:val="00474391"/>
    <w:rsid w:val="004770D8"/>
    <w:rsid w:val="00477CC7"/>
    <w:rsid w:val="00480A87"/>
    <w:rsid w:val="004821E4"/>
    <w:rsid w:val="00482300"/>
    <w:rsid w:val="0048445C"/>
    <w:rsid w:val="00485617"/>
    <w:rsid w:val="0049331F"/>
    <w:rsid w:val="00496211"/>
    <w:rsid w:val="00496546"/>
    <w:rsid w:val="00497640"/>
    <w:rsid w:val="00497F43"/>
    <w:rsid w:val="004A013F"/>
    <w:rsid w:val="004A3E78"/>
    <w:rsid w:val="004A4CAF"/>
    <w:rsid w:val="004A57A1"/>
    <w:rsid w:val="004A6805"/>
    <w:rsid w:val="004A6E76"/>
    <w:rsid w:val="004B21AF"/>
    <w:rsid w:val="004B289D"/>
    <w:rsid w:val="004B3BDD"/>
    <w:rsid w:val="004B49AE"/>
    <w:rsid w:val="004B5177"/>
    <w:rsid w:val="004B5D10"/>
    <w:rsid w:val="004B6705"/>
    <w:rsid w:val="004B7160"/>
    <w:rsid w:val="004C1D55"/>
    <w:rsid w:val="004C1F25"/>
    <w:rsid w:val="004C3BC1"/>
    <w:rsid w:val="004C4115"/>
    <w:rsid w:val="004C66BC"/>
    <w:rsid w:val="004C6BF4"/>
    <w:rsid w:val="004D3D3D"/>
    <w:rsid w:val="004D68E2"/>
    <w:rsid w:val="004D7432"/>
    <w:rsid w:val="004E2971"/>
    <w:rsid w:val="004E2D84"/>
    <w:rsid w:val="004E3EE4"/>
    <w:rsid w:val="004E3FDF"/>
    <w:rsid w:val="004E7162"/>
    <w:rsid w:val="004F08C5"/>
    <w:rsid w:val="004F513C"/>
    <w:rsid w:val="004F58F2"/>
    <w:rsid w:val="004F66D9"/>
    <w:rsid w:val="005031A5"/>
    <w:rsid w:val="00503906"/>
    <w:rsid w:val="005041CB"/>
    <w:rsid w:val="00504B13"/>
    <w:rsid w:val="00505A8D"/>
    <w:rsid w:val="00513827"/>
    <w:rsid w:val="005148A9"/>
    <w:rsid w:val="00516CFD"/>
    <w:rsid w:val="005201BD"/>
    <w:rsid w:val="00522D29"/>
    <w:rsid w:val="0052426F"/>
    <w:rsid w:val="00525575"/>
    <w:rsid w:val="00526494"/>
    <w:rsid w:val="005264B0"/>
    <w:rsid w:val="005264F6"/>
    <w:rsid w:val="005269B0"/>
    <w:rsid w:val="005303F2"/>
    <w:rsid w:val="00532041"/>
    <w:rsid w:val="00532102"/>
    <w:rsid w:val="00534421"/>
    <w:rsid w:val="005366B5"/>
    <w:rsid w:val="00536A48"/>
    <w:rsid w:val="0054043A"/>
    <w:rsid w:val="00541B01"/>
    <w:rsid w:val="00543252"/>
    <w:rsid w:val="00545318"/>
    <w:rsid w:val="005454C0"/>
    <w:rsid w:val="00545F7E"/>
    <w:rsid w:val="00552228"/>
    <w:rsid w:val="00552C69"/>
    <w:rsid w:val="00554FF3"/>
    <w:rsid w:val="00556FDC"/>
    <w:rsid w:val="00560DA1"/>
    <w:rsid w:val="00562CF4"/>
    <w:rsid w:val="0056454D"/>
    <w:rsid w:val="0056781D"/>
    <w:rsid w:val="005713C0"/>
    <w:rsid w:val="005773B0"/>
    <w:rsid w:val="0058035F"/>
    <w:rsid w:val="00580780"/>
    <w:rsid w:val="00580B40"/>
    <w:rsid w:val="00581678"/>
    <w:rsid w:val="005816B5"/>
    <w:rsid w:val="00583F66"/>
    <w:rsid w:val="0058420B"/>
    <w:rsid w:val="0059475E"/>
    <w:rsid w:val="00594C0A"/>
    <w:rsid w:val="00594E7A"/>
    <w:rsid w:val="005951C6"/>
    <w:rsid w:val="00596557"/>
    <w:rsid w:val="00597656"/>
    <w:rsid w:val="005A1F86"/>
    <w:rsid w:val="005A45B3"/>
    <w:rsid w:val="005A46A8"/>
    <w:rsid w:val="005B1346"/>
    <w:rsid w:val="005B1607"/>
    <w:rsid w:val="005B1CCC"/>
    <w:rsid w:val="005B2899"/>
    <w:rsid w:val="005B52CE"/>
    <w:rsid w:val="005B7ED1"/>
    <w:rsid w:val="005C2140"/>
    <w:rsid w:val="005C33A6"/>
    <w:rsid w:val="005C393C"/>
    <w:rsid w:val="005C5115"/>
    <w:rsid w:val="005C5B2F"/>
    <w:rsid w:val="005C5BF5"/>
    <w:rsid w:val="005C6FB0"/>
    <w:rsid w:val="005D0142"/>
    <w:rsid w:val="005D0D3A"/>
    <w:rsid w:val="005D0E6D"/>
    <w:rsid w:val="005D176A"/>
    <w:rsid w:val="005D26C0"/>
    <w:rsid w:val="005D5214"/>
    <w:rsid w:val="005E00F4"/>
    <w:rsid w:val="005E08F0"/>
    <w:rsid w:val="005E09F4"/>
    <w:rsid w:val="005E3196"/>
    <w:rsid w:val="0060617E"/>
    <w:rsid w:val="006066B7"/>
    <w:rsid w:val="00611033"/>
    <w:rsid w:val="00611BFA"/>
    <w:rsid w:val="006127F9"/>
    <w:rsid w:val="00617F35"/>
    <w:rsid w:val="00620144"/>
    <w:rsid w:val="006210C4"/>
    <w:rsid w:val="006245BE"/>
    <w:rsid w:val="006257F7"/>
    <w:rsid w:val="006308A6"/>
    <w:rsid w:val="00631840"/>
    <w:rsid w:val="00632B66"/>
    <w:rsid w:val="006348A9"/>
    <w:rsid w:val="00636308"/>
    <w:rsid w:val="00636966"/>
    <w:rsid w:val="00640DB7"/>
    <w:rsid w:val="00640F7E"/>
    <w:rsid w:val="00641A20"/>
    <w:rsid w:val="00642B7C"/>
    <w:rsid w:val="00645C70"/>
    <w:rsid w:val="006461E5"/>
    <w:rsid w:val="006462AC"/>
    <w:rsid w:val="00646C9B"/>
    <w:rsid w:val="006512EE"/>
    <w:rsid w:val="006514B2"/>
    <w:rsid w:val="00652A6E"/>
    <w:rsid w:val="00654541"/>
    <w:rsid w:val="00657482"/>
    <w:rsid w:val="00663E85"/>
    <w:rsid w:val="00665AA7"/>
    <w:rsid w:val="006675DE"/>
    <w:rsid w:val="00667648"/>
    <w:rsid w:val="0067159A"/>
    <w:rsid w:val="00671B48"/>
    <w:rsid w:val="00671F53"/>
    <w:rsid w:val="006725DB"/>
    <w:rsid w:val="0067523E"/>
    <w:rsid w:val="0067528E"/>
    <w:rsid w:val="00677F36"/>
    <w:rsid w:val="00684139"/>
    <w:rsid w:val="00684273"/>
    <w:rsid w:val="00686063"/>
    <w:rsid w:val="00686B8E"/>
    <w:rsid w:val="006872DA"/>
    <w:rsid w:val="0069040E"/>
    <w:rsid w:val="0069499A"/>
    <w:rsid w:val="006954B3"/>
    <w:rsid w:val="0069643A"/>
    <w:rsid w:val="00696A31"/>
    <w:rsid w:val="00697BD6"/>
    <w:rsid w:val="006A29F7"/>
    <w:rsid w:val="006A32B6"/>
    <w:rsid w:val="006A70DC"/>
    <w:rsid w:val="006A7BD9"/>
    <w:rsid w:val="006B138E"/>
    <w:rsid w:val="006B2BC5"/>
    <w:rsid w:val="006B38D4"/>
    <w:rsid w:val="006B4950"/>
    <w:rsid w:val="006B4AB8"/>
    <w:rsid w:val="006B6210"/>
    <w:rsid w:val="006C1238"/>
    <w:rsid w:val="006C23CA"/>
    <w:rsid w:val="006C5376"/>
    <w:rsid w:val="006C6D17"/>
    <w:rsid w:val="006D023E"/>
    <w:rsid w:val="006D4380"/>
    <w:rsid w:val="006D446C"/>
    <w:rsid w:val="006D627F"/>
    <w:rsid w:val="006D6F88"/>
    <w:rsid w:val="006E0AE7"/>
    <w:rsid w:val="006E3DBE"/>
    <w:rsid w:val="006E408F"/>
    <w:rsid w:val="006E4675"/>
    <w:rsid w:val="006E68F4"/>
    <w:rsid w:val="006F1912"/>
    <w:rsid w:val="006F3915"/>
    <w:rsid w:val="006F4843"/>
    <w:rsid w:val="007000FC"/>
    <w:rsid w:val="00701ECE"/>
    <w:rsid w:val="00702CE5"/>
    <w:rsid w:val="007037C5"/>
    <w:rsid w:val="0070556F"/>
    <w:rsid w:val="00706859"/>
    <w:rsid w:val="00706B7F"/>
    <w:rsid w:val="00710283"/>
    <w:rsid w:val="007106BB"/>
    <w:rsid w:val="00711515"/>
    <w:rsid w:val="007118AC"/>
    <w:rsid w:val="007127C2"/>
    <w:rsid w:val="00714A12"/>
    <w:rsid w:val="00717AAB"/>
    <w:rsid w:val="0072140B"/>
    <w:rsid w:val="007239D2"/>
    <w:rsid w:val="00724034"/>
    <w:rsid w:val="007240FD"/>
    <w:rsid w:val="00725BF7"/>
    <w:rsid w:val="007305E4"/>
    <w:rsid w:val="007305F8"/>
    <w:rsid w:val="0073165A"/>
    <w:rsid w:val="0073333C"/>
    <w:rsid w:val="007334F5"/>
    <w:rsid w:val="00733BC7"/>
    <w:rsid w:val="00735238"/>
    <w:rsid w:val="00735730"/>
    <w:rsid w:val="00735AFF"/>
    <w:rsid w:val="00741391"/>
    <w:rsid w:val="00742845"/>
    <w:rsid w:val="0074325D"/>
    <w:rsid w:val="007438D8"/>
    <w:rsid w:val="00745102"/>
    <w:rsid w:val="00747F91"/>
    <w:rsid w:val="00751135"/>
    <w:rsid w:val="007520AE"/>
    <w:rsid w:val="00755B02"/>
    <w:rsid w:val="007569DE"/>
    <w:rsid w:val="007570C1"/>
    <w:rsid w:val="00760C0E"/>
    <w:rsid w:val="0076540E"/>
    <w:rsid w:val="00771705"/>
    <w:rsid w:val="00776393"/>
    <w:rsid w:val="00777A6B"/>
    <w:rsid w:val="00780CBA"/>
    <w:rsid w:val="00782EFC"/>
    <w:rsid w:val="0078413A"/>
    <w:rsid w:val="0078449F"/>
    <w:rsid w:val="00784B35"/>
    <w:rsid w:val="0078504A"/>
    <w:rsid w:val="00790BCD"/>
    <w:rsid w:val="0079176B"/>
    <w:rsid w:val="0079402E"/>
    <w:rsid w:val="007A0BED"/>
    <w:rsid w:val="007A1BD5"/>
    <w:rsid w:val="007A373D"/>
    <w:rsid w:val="007A5769"/>
    <w:rsid w:val="007A6896"/>
    <w:rsid w:val="007A6FD9"/>
    <w:rsid w:val="007A70C5"/>
    <w:rsid w:val="007B1746"/>
    <w:rsid w:val="007B2244"/>
    <w:rsid w:val="007B328D"/>
    <w:rsid w:val="007B4379"/>
    <w:rsid w:val="007B750F"/>
    <w:rsid w:val="007C06DC"/>
    <w:rsid w:val="007C1605"/>
    <w:rsid w:val="007C4925"/>
    <w:rsid w:val="007C5B60"/>
    <w:rsid w:val="007C6A6C"/>
    <w:rsid w:val="007D0991"/>
    <w:rsid w:val="007D33C7"/>
    <w:rsid w:val="007D427A"/>
    <w:rsid w:val="007D5F49"/>
    <w:rsid w:val="007D6231"/>
    <w:rsid w:val="007D6742"/>
    <w:rsid w:val="007E0680"/>
    <w:rsid w:val="007E0989"/>
    <w:rsid w:val="007E610C"/>
    <w:rsid w:val="007E614B"/>
    <w:rsid w:val="007E680F"/>
    <w:rsid w:val="007E7870"/>
    <w:rsid w:val="007F04B5"/>
    <w:rsid w:val="007F3904"/>
    <w:rsid w:val="007F3A8C"/>
    <w:rsid w:val="007F3F7D"/>
    <w:rsid w:val="007F6849"/>
    <w:rsid w:val="00801B8E"/>
    <w:rsid w:val="00804223"/>
    <w:rsid w:val="00806754"/>
    <w:rsid w:val="00807D64"/>
    <w:rsid w:val="00812003"/>
    <w:rsid w:val="00812077"/>
    <w:rsid w:val="00812A0B"/>
    <w:rsid w:val="0081348E"/>
    <w:rsid w:val="00814D87"/>
    <w:rsid w:val="00815D1D"/>
    <w:rsid w:val="00821753"/>
    <w:rsid w:val="00822028"/>
    <w:rsid w:val="00825EFB"/>
    <w:rsid w:val="0083214F"/>
    <w:rsid w:val="00834673"/>
    <w:rsid w:val="00834C6F"/>
    <w:rsid w:val="00836378"/>
    <w:rsid w:val="00837230"/>
    <w:rsid w:val="00847D78"/>
    <w:rsid w:val="00852F49"/>
    <w:rsid w:val="00853C4A"/>
    <w:rsid w:val="00853D15"/>
    <w:rsid w:val="00853D48"/>
    <w:rsid w:val="00857DEA"/>
    <w:rsid w:val="0086010F"/>
    <w:rsid w:val="00860516"/>
    <w:rsid w:val="0086262E"/>
    <w:rsid w:val="008634DF"/>
    <w:rsid w:val="00863D0E"/>
    <w:rsid w:val="00865174"/>
    <w:rsid w:val="008661AA"/>
    <w:rsid w:val="00866D7E"/>
    <w:rsid w:val="0087316D"/>
    <w:rsid w:val="00874E21"/>
    <w:rsid w:val="008765EC"/>
    <w:rsid w:val="008770B9"/>
    <w:rsid w:val="00877425"/>
    <w:rsid w:val="00877F88"/>
    <w:rsid w:val="00880867"/>
    <w:rsid w:val="00881AE1"/>
    <w:rsid w:val="00881D3A"/>
    <w:rsid w:val="00881D67"/>
    <w:rsid w:val="00882CAF"/>
    <w:rsid w:val="00884006"/>
    <w:rsid w:val="00887432"/>
    <w:rsid w:val="008908CD"/>
    <w:rsid w:val="00890BD3"/>
    <w:rsid w:val="00890BED"/>
    <w:rsid w:val="00890C07"/>
    <w:rsid w:val="008955D2"/>
    <w:rsid w:val="008A177A"/>
    <w:rsid w:val="008A216E"/>
    <w:rsid w:val="008A4766"/>
    <w:rsid w:val="008A5E94"/>
    <w:rsid w:val="008A7108"/>
    <w:rsid w:val="008B1346"/>
    <w:rsid w:val="008B5544"/>
    <w:rsid w:val="008B796B"/>
    <w:rsid w:val="008C134C"/>
    <w:rsid w:val="008C259B"/>
    <w:rsid w:val="008C307B"/>
    <w:rsid w:val="008D095B"/>
    <w:rsid w:val="008D3A2B"/>
    <w:rsid w:val="008D3D7C"/>
    <w:rsid w:val="008D4D32"/>
    <w:rsid w:val="008E0B71"/>
    <w:rsid w:val="008E2E48"/>
    <w:rsid w:val="008E5E85"/>
    <w:rsid w:val="008E6588"/>
    <w:rsid w:val="008E6EC2"/>
    <w:rsid w:val="008F4A50"/>
    <w:rsid w:val="008F55C3"/>
    <w:rsid w:val="008F67A2"/>
    <w:rsid w:val="008F6C9A"/>
    <w:rsid w:val="00904110"/>
    <w:rsid w:val="00917A07"/>
    <w:rsid w:val="00921552"/>
    <w:rsid w:val="00921A04"/>
    <w:rsid w:val="0092387F"/>
    <w:rsid w:val="00923E97"/>
    <w:rsid w:val="00925776"/>
    <w:rsid w:val="00926C37"/>
    <w:rsid w:val="00927772"/>
    <w:rsid w:val="009300B2"/>
    <w:rsid w:val="00930EB2"/>
    <w:rsid w:val="00931787"/>
    <w:rsid w:val="00933B0A"/>
    <w:rsid w:val="00933C3C"/>
    <w:rsid w:val="009360FC"/>
    <w:rsid w:val="0093611F"/>
    <w:rsid w:val="009370AA"/>
    <w:rsid w:val="00943138"/>
    <w:rsid w:val="009432B1"/>
    <w:rsid w:val="0094529E"/>
    <w:rsid w:val="009453B8"/>
    <w:rsid w:val="00946EE0"/>
    <w:rsid w:val="00950F9A"/>
    <w:rsid w:val="00951FFB"/>
    <w:rsid w:val="00952A63"/>
    <w:rsid w:val="00953169"/>
    <w:rsid w:val="0095534F"/>
    <w:rsid w:val="0095549E"/>
    <w:rsid w:val="00955F86"/>
    <w:rsid w:val="00956D3B"/>
    <w:rsid w:val="009605FA"/>
    <w:rsid w:val="00963054"/>
    <w:rsid w:val="009634A1"/>
    <w:rsid w:val="0096352C"/>
    <w:rsid w:val="00964331"/>
    <w:rsid w:val="0096511A"/>
    <w:rsid w:val="00966787"/>
    <w:rsid w:val="00967421"/>
    <w:rsid w:val="00971558"/>
    <w:rsid w:val="009719F9"/>
    <w:rsid w:val="00971E66"/>
    <w:rsid w:val="009734BF"/>
    <w:rsid w:val="00980276"/>
    <w:rsid w:val="00982A12"/>
    <w:rsid w:val="00982D5D"/>
    <w:rsid w:val="00983AA8"/>
    <w:rsid w:val="009868D7"/>
    <w:rsid w:val="00987A91"/>
    <w:rsid w:val="00991F4D"/>
    <w:rsid w:val="009926F6"/>
    <w:rsid w:val="00993A12"/>
    <w:rsid w:val="00996139"/>
    <w:rsid w:val="009A1766"/>
    <w:rsid w:val="009A1D27"/>
    <w:rsid w:val="009A2D25"/>
    <w:rsid w:val="009A2F57"/>
    <w:rsid w:val="009A4C29"/>
    <w:rsid w:val="009A5BC2"/>
    <w:rsid w:val="009A6136"/>
    <w:rsid w:val="009A672F"/>
    <w:rsid w:val="009B17B6"/>
    <w:rsid w:val="009B6823"/>
    <w:rsid w:val="009C5438"/>
    <w:rsid w:val="009C6000"/>
    <w:rsid w:val="009C6E6F"/>
    <w:rsid w:val="009C72CA"/>
    <w:rsid w:val="009D1D88"/>
    <w:rsid w:val="009D6B23"/>
    <w:rsid w:val="009E0485"/>
    <w:rsid w:val="009E0F48"/>
    <w:rsid w:val="009E1530"/>
    <w:rsid w:val="009E2317"/>
    <w:rsid w:val="009E2525"/>
    <w:rsid w:val="009E28D8"/>
    <w:rsid w:val="009E4249"/>
    <w:rsid w:val="009E5D95"/>
    <w:rsid w:val="009E6340"/>
    <w:rsid w:val="009F2024"/>
    <w:rsid w:val="009F2459"/>
    <w:rsid w:val="009F371A"/>
    <w:rsid w:val="009F53C7"/>
    <w:rsid w:val="009F54CF"/>
    <w:rsid w:val="009F6BC1"/>
    <w:rsid w:val="00A004EE"/>
    <w:rsid w:val="00A005C0"/>
    <w:rsid w:val="00A03B80"/>
    <w:rsid w:val="00A05136"/>
    <w:rsid w:val="00A059EF"/>
    <w:rsid w:val="00A06085"/>
    <w:rsid w:val="00A07488"/>
    <w:rsid w:val="00A11889"/>
    <w:rsid w:val="00A13E98"/>
    <w:rsid w:val="00A13FFA"/>
    <w:rsid w:val="00A14E45"/>
    <w:rsid w:val="00A155EF"/>
    <w:rsid w:val="00A16ACA"/>
    <w:rsid w:val="00A17E2C"/>
    <w:rsid w:val="00A25465"/>
    <w:rsid w:val="00A30AAA"/>
    <w:rsid w:val="00A31369"/>
    <w:rsid w:val="00A34BCC"/>
    <w:rsid w:val="00A35600"/>
    <w:rsid w:val="00A35E0A"/>
    <w:rsid w:val="00A40762"/>
    <w:rsid w:val="00A40917"/>
    <w:rsid w:val="00A41F91"/>
    <w:rsid w:val="00A45D71"/>
    <w:rsid w:val="00A47E23"/>
    <w:rsid w:val="00A50DAC"/>
    <w:rsid w:val="00A5218B"/>
    <w:rsid w:val="00A54EC2"/>
    <w:rsid w:val="00A577E0"/>
    <w:rsid w:val="00A60D25"/>
    <w:rsid w:val="00A63EC4"/>
    <w:rsid w:val="00A64B47"/>
    <w:rsid w:val="00A669E3"/>
    <w:rsid w:val="00A7015E"/>
    <w:rsid w:val="00A74E69"/>
    <w:rsid w:val="00A77D98"/>
    <w:rsid w:val="00A80169"/>
    <w:rsid w:val="00A813FA"/>
    <w:rsid w:val="00A815A6"/>
    <w:rsid w:val="00A818E6"/>
    <w:rsid w:val="00A82D64"/>
    <w:rsid w:val="00A83270"/>
    <w:rsid w:val="00A872A6"/>
    <w:rsid w:val="00A90602"/>
    <w:rsid w:val="00A93B14"/>
    <w:rsid w:val="00A97FC9"/>
    <w:rsid w:val="00AA0B85"/>
    <w:rsid w:val="00AA16E2"/>
    <w:rsid w:val="00AA1851"/>
    <w:rsid w:val="00AA23F1"/>
    <w:rsid w:val="00AA4443"/>
    <w:rsid w:val="00AB14C6"/>
    <w:rsid w:val="00AB4A1F"/>
    <w:rsid w:val="00AB52F3"/>
    <w:rsid w:val="00AB560F"/>
    <w:rsid w:val="00AB5FFD"/>
    <w:rsid w:val="00AC004A"/>
    <w:rsid w:val="00AC0900"/>
    <w:rsid w:val="00AC0B02"/>
    <w:rsid w:val="00AC1EC5"/>
    <w:rsid w:val="00AC3009"/>
    <w:rsid w:val="00AC5327"/>
    <w:rsid w:val="00AC64D9"/>
    <w:rsid w:val="00AD0438"/>
    <w:rsid w:val="00AD16E9"/>
    <w:rsid w:val="00AD5EA4"/>
    <w:rsid w:val="00AD6269"/>
    <w:rsid w:val="00AD6EAB"/>
    <w:rsid w:val="00AD72F1"/>
    <w:rsid w:val="00AE2EF5"/>
    <w:rsid w:val="00B135DE"/>
    <w:rsid w:val="00B14B3B"/>
    <w:rsid w:val="00B158FD"/>
    <w:rsid w:val="00B2205A"/>
    <w:rsid w:val="00B24A14"/>
    <w:rsid w:val="00B24E82"/>
    <w:rsid w:val="00B304F3"/>
    <w:rsid w:val="00B30865"/>
    <w:rsid w:val="00B33EC7"/>
    <w:rsid w:val="00B35823"/>
    <w:rsid w:val="00B36371"/>
    <w:rsid w:val="00B365DF"/>
    <w:rsid w:val="00B40736"/>
    <w:rsid w:val="00B40ABD"/>
    <w:rsid w:val="00B420F6"/>
    <w:rsid w:val="00B421A8"/>
    <w:rsid w:val="00B467B6"/>
    <w:rsid w:val="00B46E3D"/>
    <w:rsid w:val="00B47402"/>
    <w:rsid w:val="00B51DFF"/>
    <w:rsid w:val="00B5304E"/>
    <w:rsid w:val="00B5316E"/>
    <w:rsid w:val="00B55507"/>
    <w:rsid w:val="00B55A0C"/>
    <w:rsid w:val="00B57C04"/>
    <w:rsid w:val="00B62E6F"/>
    <w:rsid w:val="00B63AEE"/>
    <w:rsid w:val="00B63B3B"/>
    <w:rsid w:val="00B63D71"/>
    <w:rsid w:val="00B651E5"/>
    <w:rsid w:val="00B66768"/>
    <w:rsid w:val="00B70EFE"/>
    <w:rsid w:val="00B71BDA"/>
    <w:rsid w:val="00B82BC3"/>
    <w:rsid w:val="00B856D3"/>
    <w:rsid w:val="00B85793"/>
    <w:rsid w:val="00B85842"/>
    <w:rsid w:val="00B870E0"/>
    <w:rsid w:val="00B93C94"/>
    <w:rsid w:val="00B95ABC"/>
    <w:rsid w:val="00B960ED"/>
    <w:rsid w:val="00BA129B"/>
    <w:rsid w:val="00BA12EF"/>
    <w:rsid w:val="00BA1865"/>
    <w:rsid w:val="00BA306F"/>
    <w:rsid w:val="00BA66B8"/>
    <w:rsid w:val="00BA6FE5"/>
    <w:rsid w:val="00BB05F5"/>
    <w:rsid w:val="00BB1A53"/>
    <w:rsid w:val="00BB4044"/>
    <w:rsid w:val="00BB49C8"/>
    <w:rsid w:val="00BB50B5"/>
    <w:rsid w:val="00BB585E"/>
    <w:rsid w:val="00BB778E"/>
    <w:rsid w:val="00BC04D3"/>
    <w:rsid w:val="00BC230A"/>
    <w:rsid w:val="00BD0607"/>
    <w:rsid w:val="00BE0E01"/>
    <w:rsid w:val="00BE34B4"/>
    <w:rsid w:val="00BE4C47"/>
    <w:rsid w:val="00BE53A0"/>
    <w:rsid w:val="00BF1923"/>
    <w:rsid w:val="00BF550C"/>
    <w:rsid w:val="00BF6547"/>
    <w:rsid w:val="00BF7139"/>
    <w:rsid w:val="00BF719C"/>
    <w:rsid w:val="00C0178A"/>
    <w:rsid w:val="00C01ABD"/>
    <w:rsid w:val="00C02601"/>
    <w:rsid w:val="00C03335"/>
    <w:rsid w:val="00C05CB9"/>
    <w:rsid w:val="00C06CA6"/>
    <w:rsid w:val="00C10092"/>
    <w:rsid w:val="00C11CF3"/>
    <w:rsid w:val="00C11F80"/>
    <w:rsid w:val="00C14943"/>
    <w:rsid w:val="00C14DCC"/>
    <w:rsid w:val="00C159EF"/>
    <w:rsid w:val="00C20E59"/>
    <w:rsid w:val="00C21263"/>
    <w:rsid w:val="00C22438"/>
    <w:rsid w:val="00C2272D"/>
    <w:rsid w:val="00C24BBC"/>
    <w:rsid w:val="00C26917"/>
    <w:rsid w:val="00C26C52"/>
    <w:rsid w:val="00C27CEC"/>
    <w:rsid w:val="00C315B1"/>
    <w:rsid w:val="00C32C58"/>
    <w:rsid w:val="00C3338A"/>
    <w:rsid w:val="00C336C8"/>
    <w:rsid w:val="00C35DC6"/>
    <w:rsid w:val="00C408BB"/>
    <w:rsid w:val="00C4211E"/>
    <w:rsid w:val="00C42178"/>
    <w:rsid w:val="00C421F6"/>
    <w:rsid w:val="00C42A89"/>
    <w:rsid w:val="00C44999"/>
    <w:rsid w:val="00C45FBD"/>
    <w:rsid w:val="00C508C0"/>
    <w:rsid w:val="00C509B0"/>
    <w:rsid w:val="00C50DD3"/>
    <w:rsid w:val="00C51A2D"/>
    <w:rsid w:val="00C51E36"/>
    <w:rsid w:val="00C52517"/>
    <w:rsid w:val="00C5392D"/>
    <w:rsid w:val="00C554A3"/>
    <w:rsid w:val="00C55DC1"/>
    <w:rsid w:val="00C572FF"/>
    <w:rsid w:val="00C62613"/>
    <w:rsid w:val="00C6283C"/>
    <w:rsid w:val="00C63D06"/>
    <w:rsid w:val="00C65BCB"/>
    <w:rsid w:val="00C66C8C"/>
    <w:rsid w:val="00C67E84"/>
    <w:rsid w:val="00C7151A"/>
    <w:rsid w:val="00C758C6"/>
    <w:rsid w:val="00C75F82"/>
    <w:rsid w:val="00C77A7C"/>
    <w:rsid w:val="00C82E35"/>
    <w:rsid w:val="00C83639"/>
    <w:rsid w:val="00C838D0"/>
    <w:rsid w:val="00C8417B"/>
    <w:rsid w:val="00C85240"/>
    <w:rsid w:val="00C85906"/>
    <w:rsid w:val="00C87440"/>
    <w:rsid w:val="00C906CC"/>
    <w:rsid w:val="00CA0E2B"/>
    <w:rsid w:val="00CA1C8D"/>
    <w:rsid w:val="00CA22C7"/>
    <w:rsid w:val="00CA3D24"/>
    <w:rsid w:val="00CA3F53"/>
    <w:rsid w:val="00CA4121"/>
    <w:rsid w:val="00CA5102"/>
    <w:rsid w:val="00CA6FCD"/>
    <w:rsid w:val="00CB191B"/>
    <w:rsid w:val="00CC0DD4"/>
    <w:rsid w:val="00CC155E"/>
    <w:rsid w:val="00CC52E1"/>
    <w:rsid w:val="00CC5E64"/>
    <w:rsid w:val="00CC7309"/>
    <w:rsid w:val="00CC74A0"/>
    <w:rsid w:val="00CD14B1"/>
    <w:rsid w:val="00CD1762"/>
    <w:rsid w:val="00CD2AA9"/>
    <w:rsid w:val="00CD3388"/>
    <w:rsid w:val="00CD50D7"/>
    <w:rsid w:val="00CD61DF"/>
    <w:rsid w:val="00CD6E83"/>
    <w:rsid w:val="00CE04B1"/>
    <w:rsid w:val="00CE1DA0"/>
    <w:rsid w:val="00CE27C6"/>
    <w:rsid w:val="00CE2AB6"/>
    <w:rsid w:val="00CE395E"/>
    <w:rsid w:val="00CE4D64"/>
    <w:rsid w:val="00CE6046"/>
    <w:rsid w:val="00CF1DFE"/>
    <w:rsid w:val="00CF1FCB"/>
    <w:rsid w:val="00D00245"/>
    <w:rsid w:val="00D03195"/>
    <w:rsid w:val="00D034D6"/>
    <w:rsid w:val="00D04B0E"/>
    <w:rsid w:val="00D04FF2"/>
    <w:rsid w:val="00D0531F"/>
    <w:rsid w:val="00D10763"/>
    <w:rsid w:val="00D11164"/>
    <w:rsid w:val="00D15B27"/>
    <w:rsid w:val="00D16069"/>
    <w:rsid w:val="00D21C19"/>
    <w:rsid w:val="00D253D2"/>
    <w:rsid w:val="00D25FFA"/>
    <w:rsid w:val="00D26471"/>
    <w:rsid w:val="00D27CBD"/>
    <w:rsid w:val="00D30306"/>
    <w:rsid w:val="00D30FE5"/>
    <w:rsid w:val="00D34348"/>
    <w:rsid w:val="00D34464"/>
    <w:rsid w:val="00D34E01"/>
    <w:rsid w:val="00D35491"/>
    <w:rsid w:val="00D35C1C"/>
    <w:rsid w:val="00D35D6E"/>
    <w:rsid w:val="00D3640A"/>
    <w:rsid w:val="00D369AC"/>
    <w:rsid w:val="00D438E4"/>
    <w:rsid w:val="00D44541"/>
    <w:rsid w:val="00D45289"/>
    <w:rsid w:val="00D46A5A"/>
    <w:rsid w:val="00D51F28"/>
    <w:rsid w:val="00D5214A"/>
    <w:rsid w:val="00D54536"/>
    <w:rsid w:val="00D54F89"/>
    <w:rsid w:val="00D55175"/>
    <w:rsid w:val="00D5532E"/>
    <w:rsid w:val="00D55C66"/>
    <w:rsid w:val="00D55FFD"/>
    <w:rsid w:val="00D56213"/>
    <w:rsid w:val="00D56464"/>
    <w:rsid w:val="00D605B2"/>
    <w:rsid w:val="00D60A77"/>
    <w:rsid w:val="00D66363"/>
    <w:rsid w:val="00D6665E"/>
    <w:rsid w:val="00D712B1"/>
    <w:rsid w:val="00D7158B"/>
    <w:rsid w:val="00D71F8A"/>
    <w:rsid w:val="00D73021"/>
    <w:rsid w:val="00D73DA3"/>
    <w:rsid w:val="00D77225"/>
    <w:rsid w:val="00D802A1"/>
    <w:rsid w:val="00D804B4"/>
    <w:rsid w:val="00D80FE5"/>
    <w:rsid w:val="00D814EA"/>
    <w:rsid w:val="00D81710"/>
    <w:rsid w:val="00D82D1B"/>
    <w:rsid w:val="00D835DA"/>
    <w:rsid w:val="00D8545F"/>
    <w:rsid w:val="00D9154F"/>
    <w:rsid w:val="00D94EA2"/>
    <w:rsid w:val="00D9798E"/>
    <w:rsid w:val="00DA1458"/>
    <w:rsid w:val="00DA28C3"/>
    <w:rsid w:val="00DA3672"/>
    <w:rsid w:val="00DA3954"/>
    <w:rsid w:val="00DA5418"/>
    <w:rsid w:val="00DB140B"/>
    <w:rsid w:val="00DB19C7"/>
    <w:rsid w:val="00DB2863"/>
    <w:rsid w:val="00DB4C25"/>
    <w:rsid w:val="00DC0CBE"/>
    <w:rsid w:val="00DC1748"/>
    <w:rsid w:val="00DC253D"/>
    <w:rsid w:val="00DC32A5"/>
    <w:rsid w:val="00DC5E05"/>
    <w:rsid w:val="00DC7A6D"/>
    <w:rsid w:val="00DD2397"/>
    <w:rsid w:val="00DD32C1"/>
    <w:rsid w:val="00DD3BA7"/>
    <w:rsid w:val="00DD3FE5"/>
    <w:rsid w:val="00DE6294"/>
    <w:rsid w:val="00DE6977"/>
    <w:rsid w:val="00DE72D3"/>
    <w:rsid w:val="00DE73C2"/>
    <w:rsid w:val="00DF140F"/>
    <w:rsid w:val="00DF463E"/>
    <w:rsid w:val="00DF5521"/>
    <w:rsid w:val="00DF7B3F"/>
    <w:rsid w:val="00E01436"/>
    <w:rsid w:val="00E02ACE"/>
    <w:rsid w:val="00E0367A"/>
    <w:rsid w:val="00E05010"/>
    <w:rsid w:val="00E05589"/>
    <w:rsid w:val="00E06E05"/>
    <w:rsid w:val="00E10FDC"/>
    <w:rsid w:val="00E20D97"/>
    <w:rsid w:val="00E2272A"/>
    <w:rsid w:val="00E245DA"/>
    <w:rsid w:val="00E3025E"/>
    <w:rsid w:val="00E37345"/>
    <w:rsid w:val="00E405CD"/>
    <w:rsid w:val="00E445F0"/>
    <w:rsid w:val="00E446E4"/>
    <w:rsid w:val="00E45315"/>
    <w:rsid w:val="00E5159A"/>
    <w:rsid w:val="00E52AAA"/>
    <w:rsid w:val="00E53DF5"/>
    <w:rsid w:val="00E56BC2"/>
    <w:rsid w:val="00E572CC"/>
    <w:rsid w:val="00E65A5A"/>
    <w:rsid w:val="00E673E6"/>
    <w:rsid w:val="00E733D2"/>
    <w:rsid w:val="00E75B94"/>
    <w:rsid w:val="00E768D4"/>
    <w:rsid w:val="00E76A09"/>
    <w:rsid w:val="00E76E90"/>
    <w:rsid w:val="00E77461"/>
    <w:rsid w:val="00E806D2"/>
    <w:rsid w:val="00E80B2A"/>
    <w:rsid w:val="00E8233B"/>
    <w:rsid w:val="00E86D23"/>
    <w:rsid w:val="00E870E2"/>
    <w:rsid w:val="00E8744C"/>
    <w:rsid w:val="00E944A9"/>
    <w:rsid w:val="00EA587B"/>
    <w:rsid w:val="00EA5FF2"/>
    <w:rsid w:val="00EB0A9E"/>
    <w:rsid w:val="00EB0E76"/>
    <w:rsid w:val="00EB1617"/>
    <w:rsid w:val="00EB2455"/>
    <w:rsid w:val="00EB2B1C"/>
    <w:rsid w:val="00EB340E"/>
    <w:rsid w:val="00EB3F7F"/>
    <w:rsid w:val="00EB527A"/>
    <w:rsid w:val="00EB7832"/>
    <w:rsid w:val="00EC0084"/>
    <w:rsid w:val="00EC09D1"/>
    <w:rsid w:val="00EC1C37"/>
    <w:rsid w:val="00EC3813"/>
    <w:rsid w:val="00EC3E09"/>
    <w:rsid w:val="00EC3E2C"/>
    <w:rsid w:val="00EC46B9"/>
    <w:rsid w:val="00EC6171"/>
    <w:rsid w:val="00ED0578"/>
    <w:rsid w:val="00ED0D65"/>
    <w:rsid w:val="00ED3ACC"/>
    <w:rsid w:val="00ED4683"/>
    <w:rsid w:val="00ED546E"/>
    <w:rsid w:val="00ED5850"/>
    <w:rsid w:val="00ED5AA6"/>
    <w:rsid w:val="00EE1406"/>
    <w:rsid w:val="00EE1D4F"/>
    <w:rsid w:val="00EE2236"/>
    <w:rsid w:val="00EE30AD"/>
    <w:rsid w:val="00EE3B7F"/>
    <w:rsid w:val="00EE4672"/>
    <w:rsid w:val="00EE4D87"/>
    <w:rsid w:val="00EE5BB5"/>
    <w:rsid w:val="00EE6D0B"/>
    <w:rsid w:val="00EE7F55"/>
    <w:rsid w:val="00EF0E2C"/>
    <w:rsid w:val="00F01E53"/>
    <w:rsid w:val="00F02929"/>
    <w:rsid w:val="00F03729"/>
    <w:rsid w:val="00F03E5D"/>
    <w:rsid w:val="00F04111"/>
    <w:rsid w:val="00F071C9"/>
    <w:rsid w:val="00F075BF"/>
    <w:rsid w:val="00F078FF"/>
    <w:rsid w:val="00F1122F"/>
    <w:rsid w:val="00F1258E"/>
    <w:rsid w:val="00F164C3"/>
    <w:rsid w:val="00F21120"/>
    <w:rsid w:val="00F21A51"/>
    <w:rsid w:val="00F220C5"/>
    <w:rsid w:val="00F23050"/>
    <w:rsid w:val="00F261D3"/>
    <w:rsid w:val="00F263F8"/>
    <w:rsid w:val="00F26B66"/>
    <w:rsid w:val="00F27304"/>
    <w:rsid w:val="00F27B97"/>
    <w:rsid w:val="00F27C43"/>
    <w:rsid w:val="00F33CE9"/>
    <w:rsid w:val="00F360CD"/>
    <w:rsid w:val="00F456BD"/>
    <w:rsid w:val="00F457D6"/>
    <w:rsid w:val="00F4617A"/>
    <w:rsid w:val="00F46E96"/>
    <w:rsid w:val="00F5145D"/>
    <w:rsid w:val="00F52B98"/>
    <w:rsid w:val="00F5540C"/>
    <w:rsid w:val="00F554F2"/>
    <w:rsid w:val="00F61DB2"/>
    <w:rsid w:val="00F63164"/>
    <w:rsid w:val="00F63FFC"/>
    <w:rsid w:val="00F65F6A"/>
    <w:rsid w:val="00F7084C"/>
    <w:rsid w:val="00F83470"/>
    <w:rsid w:val="00F84989"/>
    <w:rsid w:val="00F87182"/>
    <w:rsid w:val="00F90620"/>
    <w:rsid w:val="00F90D0A"/>
    <w:rsid w:val="00F93052"/>
    <w:rsid w:val="00F939D1"/>
    <w:rsid w:val="00F944D9"/>
    <w:rsid w:val="00F949D6"/>
    <w:rsid w:val="00F959CA"/>
    <w:rsid w:val="00F95B12"/>
    <w:rsid w:val="00F97CC1"/>
    <w:rsid w:val="00FA02B1"/>
    <w:rsid w:val="00FA6C1A"/>
    <w:rsid w:val="00FB10F2"/>
    <w:rsid w:val="00FB2CF8"/>
    <w:rsid w:val="00FB2EC8"/>
    <w:rsid w:val="00FB42E7"/>
    <w:rsid w:val="00FB48A7"/>
    <w:rsid w:val="00FB4B5B"/>
    <w:rsid w:val="00FB5135"/>
    <w:rsid w:val="00FB748D"/>
    <w:rsid w:val="00FB7B62"/>
    <w:rsid w:val="00FC3256"/>
    <w:rsid w:val="00FC44BC"/>
    <w:rsid w:val="00FC45A8"/>
    <w:rsid w:val="00FD0F42"/>
    <w:rsid w:val="00FD3F48"/>
    <w:rsid w:val="00FD61F4"/>
    <w:rsid w:val="00FD64BF"/>
    <w:rsid w:val="00FD6551"/>
    <w:rsid w:val="00FD6D52"/>
    <w:rsid w:val="00FE37E5"/>
    <w:rsid w:val="00FE6832"/>
    <w:rsid w:val="00FF1D5E"/>
    <w:rsid w:val="00FF2907"/>
    <w:rsid w:val="00FF3436"/>
    <w:rsid w:val="00FF39BF"/>
    <w:rsid w:val="00FF51FE"/>
    <w:rsid w:val="018D0FF1"/>
    <w:rsid w:val="042C386D"/>
    <w:rsid w:val="06B71954"/>
    <w:rsid w:val="076F17EB"/>
    <w:rsid w:val="08A737E0"/>
    <w:rsid w:val="09292D87"/>
    <w:rsid w:val="0CCF0293"/>
    <w:rsid w:val="0D2723B8"/>
    <w:rsid w:val="0D3161AB"/>
    <w:rsid w:val="0D584C5E"/>
    <w:rsid w:val="13D11138"/>
    <w:rsid w:val="141D612B"/>
    <w:rsid w:val="170513F4"/>
    <w:rsid w:val="17C94958"/>
    <w:rsid w:val="18E86D07"/>
    <w:rsid w:val="19A355DE"/>
    <w:rsid w:val="1A6C3968"/>
    <w:rsid w:val="1B8B42C2"/>
    <w:rsid w:val="1D0D31E0"/>
    <w:rsid w:val="1EE766B7"/>
    <w:rsid w:val="23037939"/>
    <w:rsid w:val="246E4F65"/>
    <w:rsid w:val="24A84486"/>
    <w:rsid w:val="26CE7A1E"/>
    <w:rsid w:val="28153891"/>
    <w:rsid w:val="33D00BC2"/>
    <w:rsid w:val="34077B9E"/>
    <w:rsid w:val="357D5D5C"/>
    <w:rsid w:val="37F214F9"/>
    <w:rsid w:val="387E2D8D"/>
    <w:rsid w:val="3D07544A"/>
    <w:rsid w:val="41035FCA"/>
    <w:rsid w:val="42AD715E"/>
    <w:rsid w:val="42ED503C"/>
    <w:rsid w:val="46114ACD"/>
    <w:rsid w:val="46674673"/>
    <w:rsid w:val="47F22E4F"/>
    <w:rsid w:val="4A857FAB"/>
    <w:rsid w:val="4D5A05EA"/>
    <w:rsid w:val="5273385E"/>
    <w:rsid w:val="55563F10"/>
    <w:rsid w:val="5A0D7E2C"/>
    <w:rsid w:val="5D1B1530"/>
    <w:rsid w:val="5F6257FF"/>
    <w:rsid w:val="603C6FCA"/>
    <w:rsid w:val="611319A3"/>
    <w:rsid w:val="624E7BF5"/>
    <w:rsid w:val="636261FD"/>
    <w:rsid w:val="67B101D9"/>
    <w:rsid w:val="69081375"/>
    <w:rsid w:val="698C4A5A"/>
    <w:rsid w:val="6E4B7ED4"/>
    <w:rsid w:val="768F1979"/>
    <w:rsid w:val="76D55F44"/>
    <w:rsid w:val="770D27B9"/>
    <w:rsid w:val="79C42722"/>
    <w:rsid w:val="7E232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200" w:firstLineChars="200"/>
      <w:jc w:val="both"/>
    </w:pPr>
    <w:rPr>
      <w:rFonts w:ascii="Times New Roman" w:hAnsi="Times New Roman" w:eastAsia="方正仿宋_GBK" w:cstheme="minorBidi"/>
      <w:kern w:val="2"/>
      <w:sz w:val="32"/>
      <w:szCs w:val="21"/>
      <w:lang w:val="en-US" w:eastAsia="zh-CN" w:bidi="ar-SA"/>
    </w:rPr>
  </w:style>
  <w:style w:type="paragraph" w:styleId="2">
    <w:name w:val="heading 1"/>
    <w:basedOn w:val="1"/>
    <w:next w:val="1"/>
    <w:link w:val="28"/>
    <w:qFormat/>
    <w:uiPriority w:val="9"/>
    <w:pPr>
      <w:keepNext/>
      <w:keepLines/>
      <w:numPr>
        <w:ilvl w:val="0"/>
        <w:numId w:val="1"/>
      </w:numPr>
      <w:ind w:firstLine="200"/>
      <w:jc w:val="left"/>
      <w:outlineLvl w:val="0"/>
    </w:pPr>
    <w:rPr>
      <w:rFonts w:eastAsia="方正黑体_GBK"/>
      <w:bCs/>
      <w:kern w:val="44"/>
      <w:szCs w:val="44"/>
    </w:rPr>
  </w:style>
  <w:style w:type="paragraph" w:styleId="3">
    <w:name w:val="heading 2"/>
    <w:basedOn w:val="1"/>
    <w:next w:val="1"/>
    <w:link w:val="29"/>
    <w:unhideWhenUsed/>
    <w:qFormat/>
    <w:uiPriority w:val="9"/>
    <w:pPr>
      <w:keepNext/>
      <w:keepLines/>
      <w:numPr>
        <w:ilvl w:val="1"/>
        <w:numId w:val="1"/>
      </w:numPr>
      <w:ind w:firstLineChars="0"/>
      <w:outlineLvl w:val="1"/>
    </w:pPr>
    <w:rPr>
      <w:rFonts w:eastAsia="方正楷体_GBK" w:cstheme="majorBidi"/>
      <w:bCs/>
      <w:szCs w:val="32"/>
    </w:rPr>
  </w:style>
  <w:style w:type="paragraph" w:styleId="4">
    <w:name w:val="heading 3"/>
    <w:basedOn w:val="1"/>
    <w:next w:val="1"/>
    <w:link w:val="30"/>
    <w:unhideWhenUsed/>
    <w:qFormat/>
    <w:uiPriority w:val="9"/>
    <w:pPr>
      <w:keepNext/>
      <w:keepLines/>
      <w:numPr>
        <w:ilvl w:val="2"/>
        <w:numId w:val="1"/>
      </w:numPr>
      <w:ind w:firstLineChars="0"/>
      <w:outlineLvl w:val="2"/>
    </w:pPr>
    <w:rPr>
      <w:bCs/>
      <w:szCs w:val="32"/>
    </w:rPr>
  </w:style>
  <w:style w:type="paragraph" w:styleId="5">
    <w:name w:val="heading 4"/>
    <w:basedOn w:val="1"/>
    <w:next w:val="1"/>
    <w:link w:val="31"/>
    <w:unhideWhenUsed/>
    <w:qFormat/>
    <w:uiPriority w:val="9"/>
    <w:pPr>
      <w:keepNext/>
      <w:keepLines/>
      <w:numPr>
        <w:ilvl w:val="3"/>
        <w:numId w:val="1"/>
      </w:numPr>
      <w:ind w:firstLine="200"/>
      <w:outlineLvl w:val="3"/>
    </w:pPr>
    <w:rPr>
      <w:rFonts w:cstheme="majorBidi"/>
      <w:bCs/>
      <w:szCs w:val="28"/>
    </w:rPr>
  </w:style>
  <w:style w:type="paragraph" w:styleId="6">
    <w:name w:val="heading 5"/>
    <w:basedOn w:val="1"/>
    <w:next w:val="1"/>
    <w:link w:val="32"/>
    <w:unhideWhenUsed/>
    <w:qFormat/>
    <w:uiPriority w:val="9"/>
    <w:pPr>
      <w:keepNext/>
      <w:keepLines/>
      <w:numPr>
        <w:ilvl w:val="4"/>
        <w:numId w:val="1"/>
      </w:numPr>
      <w:ind w:firstLineChars="0"/>
      <w:outlineLvl w:val="4"/>
    </w:pPr>
    <w:rPr>
      <w:bCs/>
      <w:szCs w:val="28"/>
    </w:rPr>
  </w:style>
  <w:style w:type="paragraph" w:styleId="7">
    <w:name w:val="heading 6"/>
    <w:basedOn w:val="1"/>
    <w:next w:val="1"/>
    <w:link w:val="33"/>
    <w:semiHidden/>
    <w:unhideWhenUsed/>
    <w:qFormat/>
    <w:uiPriority w:val="9"/>
    <w:pPr>
      <w:keepNext/>
      <w:keepLines/>
      <w:spacing w:before="240" w:after="64" w:line="320" w:lineRule="auto"/>
      <w:ind w:firstLine="0" w:firstLineChars="0"/>
      <w:outlineLvl w:val="5"/>
    </w:pPr>
    <w:rPr>
      <w:rFonts w:asciiTheme="majorHAnsi" w:hAnsiTheme="majorHAnsi" w:eastAsiaTheme="majorEastAsia" w:cstheme="majorBidi"/>
      <w:b/>
      <w:bCs/>
      <w:szCs w:val="24"/>
    </w:rPr>
  </w:style>
  <w:style w:type="paragraph" w:styleId="8">
    <w:name w:val="heading 7"/>
    <w:basedOn w:val="1"/>
    <w:next w:val="1"/>
    <w:link w:val="34"/>
    <w:semiHidden/>
    <w:unhideWhenUsed/>
    <w:qFormat/>
    <w:uiPriority w:val="9"/>
    <w:pPr>
      <w:keepNext/>
      <w:keepLines/>
      <w:spacing w:before="240" w:after="64" w:line="320" w:lineRule="auto"/>
      <w:ind w:firstLine="0" w:firstLineChars="0"/>
      <w:outlineLvl w:val="6"/>
    </w:pPr>
    <w:rPr>
      <w:b/>
      <w:bCs/>
      <w:szCs w:val="24"/>
    </w:rPr>
  </w:style>
  <w:style w:type="paragraph" w:styleId="9">
    <w:name w:val="heading 8"/>
    <w:basedOn w:val="1"/>
    <w:next w:val="1"/>
    <w:link w:val="35"/>
    <w:semiHidden/>
    <w:unhideWhenUsed/>
    <w:qFormat/>
    <w:uiPriority w:val="9"/>
    <w:pPr>
      <w:keepNext/>
      <w:keepLines/>
      <w:spacing w:before="240" w:after="64" w:line="320" w:lineRule="auto"/>
      <w:ind w:firstLine="0" w:firstLineChars="0"/>
      <w:outlineLvl w:val="7"/>
    </w:pPr>
    <w:rPr>
      <w:rFonts w:asciiTheme="majorHAnsi" w:hAnsiTheme="majorHAnsi" w:eastAsiaTheme="majorEastAsia" w:cstheme="majorBidi"/>
      <w:szCs w:val="24"/>
    </w:rPr>
  </w:style>
  <w:style w:type="paragraph" w:styleId="10">
    <w:name w:val="heading 9"/>
    <w:basedOn w:val="1"/>
    <w:next w:val="1"/>
    <w:link w:val="36"/>
    <w:semiHidden/>
    <w:unhideWhenUsed/>
    <w:qFormat/>
    <w:uiPriority w:val="9"/>
    <w:pPr>
      <w:keepNext/>
      <w:keepLines/>
      <w:spacing w:before="240" w:after="64" w:line="320" w:lineRule="auto"/>
      <w:ind w:firstLine="0" w:firstLineChars="0"/>
      <w:outlineLvl w:val="8"/>
    </w:pPr>
    <w:rPr>
      <w:rFonts w:asciiTheme="majorHAnsi" w:hAnsiTheme="majorHAnsi" w:eastAsiaTheme="majorEastAsia" w:cstheme="majorBidi"/>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ind w:firstLine="0" w:firstLineChars="0"/>
      <w:jc w:val="center"/>
    </w:pPr>
    <w:rPr>
      <w:rFonts w:cstheme="majorBidi"/>
      <w:b/>
      <w:szCs w:val="20"/>
    </w:rPr>
  </w:style>
  <w:style w:type="paragraph" w:styleId="12">
    <w:name w:val="Body Text Indent"/>
    <w:basedOn w:val="1"/>
    <w:next w:val="13"/>
    <w:qFormat/>
    <w:uiPriority w:val="0"/>
    <w:pPr>
      <w:widowControl/>
      <w:adjustRightInd w:val="0"/>
      <w:spacing w:line="360" w:lineRule="atLeast"/>
      <w:ind w:firstLine="480"/>
      <w:jc w:val="left"/>
      <w:textAlignment w:val="baseline"/>
    </w:pPr>
    <w:rPr>
      <w:rFonts w:ascii="宋体" w:hAnsi="宋体" w:cs="宋体"/>
      <w:kern w:val="0"/>
      <w:sz w:val="24"/>
      <w:szCs w:val="20"/>
    </w:rPr>
  </w:style>
  <w:style w:type="paragraph" w:customStyle="1" w:styleId="13">
    <w:name w:val="样式 正文文本缩进 + 行距: 1.5 倍行距"/>
    <w:basedOn w:val="1"/>
    <w:autoRedefine/>
    <w:qFormat/>
    <w:uiPriority w:val="99"/>
    <w:pPr>
      <w:spacing w:after="120" w:line="360" w:lineRule="auto"/>
      <w:ind w:left="32" w:leftChars="32" w:firstLine="200" w:firstLineChars="200"/>
    </w:pPr>
    <w:rPr>
      <w:sz w:val="24"/>
      <w:szCs w:val="24"/>
    </w:rPr>
  </w:style>
  <w:style w:type="paragraph" w:styleId="14">
    <w:name w:val="footer"/>
    <w:basedOn w:val="1"/>
    <w:link w:val="27"/>
    <w:unhideWhenUsed/>
    <w:qFormat/>
    <w:uiPriority w:val="99"/>
    <w:pPr>
      <w:tabs>
        <w:tab w:val="center" w:pos="4153"/>
        <w:tab w:val="right" w:pos="8306"/>
      </w:tabs>
      <w:snapToGrid w:val="0"/>
      <w:jc w:val="left"/>
    </w:pPr>
    <w:rPr>
      <w:sz w:val="18"/>
      <w:szCs w:val="18"/>
    </w:rPr>
  </w:style>
  <w:style w:type="paragraph" w:styleId="15">
    <w:name w:val="header"/>
    <w:basedOn w:val="1"/>
    <w:link w:val="26"/>
    <w:unhideWhenUsed/>
    <w:qFormat/>
    <w:uiPriority w:val="99"/>
    <w:pPr>
      <w:tabs>
        <w:tab w:val="center" w:pos="4153"/>
        <w:tab w:val="right" w:pos="8306"/>
      </w:tabs>
      <w:snapToGrid w:val="0"/>
      <w:jc w:val="center"/>
    </w:pPr>
    <w:rPr>
      <w:sz w:val="18"/>
      <w:szCs w:val="18"/>
    </w:rPr>
  </w:style>
  <w:style w:type="paragraph" w:styleId="16">
    <w:name w:val="toc 1"/>
    <w:basedOn w:val="1"/>
    <w:next w:val="1"/>
    <w:autoRedefine/>
    <w:unhideWhenUsed/>
    <w:qFormat/>
    <w:uiPriority w:val="39"/>
    <w:pPr>
      <w:tabs>
        <w:tab w:val="right" w:leader="dot" w:pos="9060"/>
      </w:tabs>
      <w:ind w:firstLine="0" w:firstLineChars="0"/>
    </w:pPr>
    <w:rPr>
      <w:rFonts w:eastAsia="方正黑体_GBK"/>
    </w:rPr>
  </w:style>
  <w:style w:type="paragraph" w:styleId="17">
    <w:name w:val="toc 2"/>
    <w:basedOn w:val="1"/>
    <w:next w:val="1"/>
    <w:autoRedefine/>
    <w:unhideWhenUsed/>
    <w:qFormat/>
    <w:uiPriority w:val="39"/>
    <w:rPr>
      <w:rFonts w:eastAsia="方正楷体_GBK"/>
    </w:rPr>
  </w:style>
  <w:style w:type="paragraph" w:styleId="18">
    <w:name w:val="Body Text 2"/>
    <w:basedOn w:val="1"/>
    <w:qFormat/>
    <w:uiPriority w:val="0"/>
    <w:pPr>
      <w:spacing w:line="480" w:lineRule="auto"/>
    </w:pPr>
    <w:rPr>
      <w:sz w:val="30"/>
    </w:rPr>
  </w:style>
  <w:style w:type="paragraph" w:styleId="19">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20">
    <w:name w:val="Body Text First Indent 2"/>
    <w:basedOn w:val="12"/>
    <w:next w:val="1"/>
    <w:qFormat/>
    <w:uiPriority w:val="0"/>
    <w:pPr>
      <w:adjustRightInd/>
      <w:spacing w:after="120" w:line="240" w:lineRule="auto"/>
      <w:ind w:left="420" w:firstLine="210"/>
      <w:textAlignment w:val="auto"/>
    </w:pPr>
    <w:rPr>
      <w:rFonts w:ascii="Times New Roman"/>
      <w:kern w:val="2"/>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llowedHyperlink"/>
    <w:basedOn w:val="23"/>
    <w:semiHidden/>
    <w:unhideWhenUsed/>
    <w:qFormat/>
    <w:uiPriority w:val="99"/>
    <w:rPr>
      <w:color w:val="954F72"/>
      <w:u w:val="single"/>
    </w:rPr>
  </w:style>
  <w:style w:type="character" w:styleId="25">
    <w:name w:val="Hyperlink"/>
    <w:basedOn w:val="23"/>
    <w:unhideWhenUsed/>
    <w:qFormat/>
    <w:uiPriority w:val="99"/>
    <w:rPr>
      <w:color w:val="0563C1" w:themeColor="hyperlink"/>
      <w:u w:val="single"/>
      <w14:textFill>
        <w14:solidFill>
          <w14:schemeClr w14:val="hlink"/>
        </w14:solidFill>
      </w14:textFill>
    </w:rPr>
  </w:style>
  <w:style w:type="character" w:customStyle="1" w:styleId="26">
    <w:name w:val="页眉 字符"/>
    <w:basedOn w:val="23"/>
    <w:link w:val="15"/>
    <w:qFormat/>
    <w:uiPriority w:val="99"/>
    <w:rPr>
      <w:sz w:val="18"/>
      <w:szCs w:val="18"/>
    </w:rPr>
  </w:style>
  <w:style w:type="character" w:customStyle="1" w:styleId="27">
    <w:name w:val="页脚 字符"/>
    <w:basedOn w:val="23"/>
    <w:link w:val="14"/>
    <w:qFormat/>
    <w:uiPriority w:val="99"/>
    <w:rPr>
      <w:sz w:val="18"/>
      <w:szCs w:val="18"/>
    </w:rPr>
  </w:style>
  <w:style w:type="character" w:customStyle="1" w:styleId="28">
    <w:name w:val="标题 1 字符"/>
    <w:basedOn w:val="23"/>
    <w:link w:val="2"/>
    <w:qFormat/>
    <w:uiPriority w:val="9"/>
    <w:rPr>
      <w:rFonts w:ascii="Times New Roman" w:hAnsi="Times New Roman" w:eastAsia="方正黑体_GBK"/>
      <w:bCs/>
      <w:kern w:val="44"/>
      <w:sz w:val="32"/>
      <w:szCs w:val="44"/>
    </w:rPr>
  </w:style>
  <w:style w:type="character" w:customStyle="1" w:styleId="29">
    <w:name w:val="标题 2 字符"/>
    <w:basedOn w:val="23"/>
    <w:link w:val="3"/>
    <w:qFormat/>
    <w:uiPriority w:val="9"/>
    <w:rPr>
      <w:rFonts w:ascii="Times New Roman" w:hAnsi="Times New Roman" w:eastAsia="方正楷体_GBK" w:cstheme="majorBidi"/>
      <w:bCs/>
      <w:sz w:val="32"/>
      <w:szCs w:val="32"/>
    </w:rPr>
  </w:style>
  <w:style w:type="character" w:customStyle="1" w:styleId="30">
    <w:name w:val="标题 3 字符"/>
    <w:basedOn w:val="23"/>
    <w:link w:val="4"/>
    <w:qFormat/>
    <w:uiPriority w:val="9"/>
    <w:rPr>
      <w:rFonts w:ascii="Times New Roman" w:hAnsi="Times New Roman" w:eastAsia="方正仿宋_GBK"/>
      <w:bCs/>
      <w:sz w:val="32"/>
      <w:szCs w:val="32"/>
    </w:rPr>
  </w:style>
  <w:style w:type="character" w:customStyle="1" w:styleId="31">
    <w:name w:val="标题 4 字符"/>
    <w:basedOn w:val="23"/>
    <w:link w:val="5"/>
    <w:qFormat/>
    <w:uiPriority w:val="9"/>
    <w:rPr>
      <w:rFonts w:ascii="Times New Roman" w:hAnsi="Times New Roman" w:eastAsia="方正仿宋_GBK" w:cstheme="majorBidi"/>
      <w:bCs/>
      <w:sz w:val="32"/>
      <w:szCs w:val="28"/>
    </w:rPr>
  </w:style>
  <w:style w:type="character" w:customStyle="1" w:styleId="32">
    <w:name w:val="标题 5 字符"/>
    <w:basedOn w:val="23"/>
    <w:link w:val="6"/>
    <w:qFormat/>
    <w:uiPriority w:val="9"/>
    <w:rPr>
      <w:rFonts w:ascii="Times New Roman" w:hAnsi="Times New Roman" w:eastAsia="方正仿宋_GBK"/>
      <w:bCs/>
      <w:sz w:val="32"/>
      <w:szCs w:val="28"/>
    </w:rPr>
  </w:style>
  <w:style w:type="character" w:customStyle="1" w:styleId="33">
    <w:name w:val="标题 6 字符"/>
    <w:basedOn w:val="23"/>
    <w:link w:val="7"/>
    <w:semiHidden/>
    <w:qFormat/>
    <w:uiPriority w:val="9"/>
    <w:rPr>
      <w:rFonts w:asciiTheme="majorHAnsi" w:hAnsiTheme="majorHAnsi" w:eastAsiaTheme="majorEastAsia" w:cstheme="majorBidi"/>
      <w:b/>
      <w:bCs/>
      <w:sz w:val="24"/>
      <w:szCs w:val="24"/>
    </w:rPr>
  </w:style>
  <w:style w:type="character" w:customStyle="1" w:styleId="34">
    <w:name w:val="标题 7 字符"/>
    <w:basedOn w:val="23"/>
    <w:link w:val="8"/>
    <w:semiHidden/>
    <w:qFormat/>
    <w:uiPriority w:val="9"/>
    <w:rPr>
      <w:b/>
      <w:bCs/>
      <w:sz w:val="24"/>
      <w:szCs w:val="24"/>
    </w:rPr>
  </w:style>
  <w:style w:type="character" w:customStyle="1" w:styleId="35">
    <w:name w:val="标题 8 字符"/>
    <w:basedOn w:val="23"/>
    <w:link w:val="9"/>
    <w:semiHidden/>
    <w:qFormat/>
    <w:uiPriority w:val="9"/>
    <w:rPr>
      <w:rFonts w:asciiTheme="majorHAnsi" w:hAnsiTheme="majorHAnsi" w:eastAsiaTheme="majorEastAsia" w:cstheme="majorBidi"/>
      <w:sz w:val="24"/>
      <w:szCs w:val="24"/>
    </w:rPr>
  </w:style>
  <w:style w:type="character" w:customStyle="1" w:styleId="36">
    <w:name w:val="标题 9 字符"/>
    <w:basedOn w:val="23"/>
    <w:link w:val="10"/>
    <w:semiHidden/>
    <w:qFormat/>
    <w:uiPriority w:val="9"/>
    <w:rPr>
      <w:rFonts w:asciiTheme="majorHAnsi" w:hAnsiTheme="majorHAnsi" w:eastAsiaTheme="majorEastAsia" w:cstheme="majorBidi"/>
    </w:rPr>
  </w:style>
  <w:style w:type="paragraph" w:customStyle="1" w:styleId="37">
    <w:name w:val="标题6"/>
    <w:basedOn w:val="1"/>
    <w:next w:val="1"/>
    <w:link w:val="39"/>
    <w:qFormat/>
    <w:uiPriority w:val="0"/>
    <w:pPr>
      <w:numPr>
        <w:ilvl w:val="5"/>
        <w:numId w:val="1"/>
      </w:numPr>
      <w:ind w:firstLineChars="0"/>
    </w:pPr>
    <w:rPr>
      <w:rFonts w:cs="Times New Roman"/>
      <w:b/>
      <w:szCs w:val="24"/>
    </w:rPr>
  </w:style>
  <w:style w:type="paragraph" w:customStyle="1" w:styleId="38">
    <w:name w:val="标题7"/>
    <w:basedOn w:val="1"/>
    <w:next w:val="1"/>
    <w:link w:val="41"/>
    <w:qFormat/>
    <w:uiPriority w:val="0"/>
    <w:pPr>
      <w:numPr>
        <w:ilvl w:val="6"/>
        <w:numId w:val="1"/>
      </w:numPr>
      <w:ind w:firstLineChars="0"/>
    </w:pPr>
    <w:rPr>
      <w:rFonts w:cs="Times New Roman"/>
      <w:b/>
      <w:szCs w:val="24"/>
    </w:rPr>
  </w:style>
  <w:style w:type="character" w:customStyle="1" w:styleId="39">
    <w:name w:val="标题6 字符"/>
    <w:basedOn w:val="23"/>
    <w:link w:val="37"/>
    <w:qFormat/>
    <w:uiPriority w:val="0"/>
    <w:rPr>
      <w:rFonts w:ascii="Times New Roman" w:hAnsi="Times New Roman" w:eastAsia="宋体" w:cs="Times New Roman"/>
      <w:b/>
      <w:sz w:val="24"/>
      <w:szCs w:val="24"/>
    </w:rPr>
  </w:style>
  <w:style w:type="paragraph" w:customStyle="1" w:styleId="40">
    <w:name w:val="标题8"/>
    <w:basedOn w:val="38"/>
    <w:next w:val="1"/>
    <w:link w:val="43"/>
    <w:qFormat/>
    <w:uiPriority w:val="0"/>
    <w:pPr>
      <w:numPr>
        <w:ilvl w:val="0"/>
        <w:numId w:val="0"/>
      </w:numPr>
    </w:pPr>
  </w:style>
  <w:style w:type="character" w:customStyle="1" w:styleId="41">
    <w:name w:val="标题7 字符"/>
    <w:basedOn w:val="23"/>
    <w:link w:val="38"/>
    <w:qFormat/>
    <w:uiPriority w:val="0"/>
    <w:rPr>
      <w:rFonts w:ascii="Times New Roman" w:hAnsi="Times New Roman" w:eastAsia="宋体" w:cs="Times New Roman"/>
      <w:b/>
      <w:sz w:val="24"/>
      <w:szCs w:val="24"/>
    </w:rPr>
  </w:style>
  <w:style w:type="paragraph" w:customStyle="1" w:styleId="42">
    <w:name w:val="表"/>
    <w:basedOn w:val="1"/>
    <w:link w:val="44"/>
    <w:qFormat/>
    <w:uiPriority w:val="0"/>
    <w:rPr>
      <w:rFonts w:cs="Times New Roman"/>
      <w:szCs w:val="24"/>
    </w:rPr>
  </w:style>
  <w:style w:type="character" w:customStyle="1" w:styleId="43">
    <w:name w:val="标题8 字符"/>
    <w:basedOn w:val="41"/>
    <w:link w:val="40"/>
    <w:qFormat/>
    <w:uiPriority w:val="0"/>
    <w:rPr>
      <w:rFonts w:ascii="Times New Roman" w:hAnsi="Times New Roman" w:eastAsia="宋体" w:cs="Times New Roman"/>
      <w:sz w:val="24"/>
      <w:szCs w:val="24"/>
    </w:rPr>
  </w:style>
  <w:style w:type="character" w:customStyle="1" w:styleId="44">
    <w:name w:val="表 字符"/>
    <w:basedOn w:val="23"/>
    <w:link w:val="42"/>
    <w:qFormat/>
    <w:uiPriority w:val="0"/>
    <w:rPr>
      <w:rFonts w:ascii="Times New Roman" w:hAnsi="Times New Roman" w:eastAsia="宋体" w:cs="Times New Roman"/>
      <w:sz w:val="24"/>
      <w:szCs w:val="24"/>
    </w:rPr>
  </w:style>
  <w:style w:type="paragraph" w:customStyle="1" w:styleId="45">
    <w:name w:val="附图"/>
    <w:basedOn w:val="1"/>
    <w:link w:val="47"/>
    <w:qFormat/>
    <w:uiPriority w:val="0"/>
    <w:pPr>
      <w:ind w:firstLine="0" w:firstLineChars="0"/>
      <w:jc w:val="center"/>
      <w:outlineLvl w:val="0"/>
    </w:pPr>
    <w:rPr>
      <w:rFonts w:cs="Times New Roman"/>
      <w:b/>
      <w:szCs w:val="24"/>
    </w:rPr>
  </w:style>
  <w:style w:type="paragraph" w:styleId="46">
    <w:name w:val="List Paragraph"/>
    <w:basedOn w:val="1"/>
    <w:qFormat/>
    <w:uiPriority w:val="34"/>
    <w:pPr>
      <w:ind w:firstLine="420"/>
    </w:pPr>
  </w:style>
  <w:style w:type="character" w:customStyle="1" w:styleId="47">
    <w:name w:val="附图 字符"/>
    <w:basedOn w:val="23"/>
    <w:link w:val="45"/>
    <w:qFormat/>
    <w:uiPriority w:val="0"/>
    <w:rPr>
      <w:rFonts w:ascii="Times New Roman" w:hAnsi="Times New Roman" w:eastAsia="宋体" w:cs="Times New Roman"/>
      <w:b/>
      <w:sz w:val="24"/>
      <w:szCs w:val="24"/>
    </w:rPr>
  </w:style>
  <w:style w:type="paragraph" w:customStyle="1" w:styleId="48">
    <w:name w:val="表号"/>
    <w:basedOn w:val="1"/>
    <w:next w:val="1"/>
    <w:link w:val="50"/>
    <w:qFormat/>
    <w:uiPriority w:val="0"/>
    <w:pPr>
      <w:numPr>
        <w:ilvl w:val="8"/>
        <w:numId w:val="1"/>
      </w:numPr>
      <w:ind w:firstLineChars="0"/>
      <w:jc w:val="center"/>
    </w:pPr>
    <w:rPr>
      <w:rFonts w:eastAsia="方正黑体_GBK"/>
    </w:rPr>
  </w:style>
  <w:style w:type="paragraph" w:customStyle="1" w:styleId="49">
    <w:name w:val="图号"/>
    <w:basedOn w:val="48"/>
    <w:next w:val="1"/>
    <w:link w:val="51"/>
    <w:qFormat/>
    <w:uiPriority w:val="0"/>
    <w:pPr>
      <w:numPr>
        <w:ilvl w:val="7"/>
      </w:numPr>
    </w:pPr>
  </w:style>
  <w:style w:type="character" w:customStyle="1" w:styleId="50">
    <w:name w:val="表号 字符"/>
    <w:basedOn w:val="23"/>
    <w:link w:val="48"/>
    <w:qFormat/>
    <w:uiPriority w:val="0"/>
    <w:rPr>
      <w:rFonts w:ascii="Times New Roman" w:hAnsi="Times New Roman" w:eastAsia="方正黑体_GBK"/>
      <w:sz w:val="32"/>
    </w:rPr>
  </w:style>
  <w:style w:type="character" w:customStyle="1" w:styleId="51">
    <w:name w:val="图号 字符"/>
    <w:basedOn w:val="50"/>
    <w:link w:val="49"/>
    <w:qFormat/>
    <w:uiPriority w:val="0"/>
    <w:rPr>
      <w:rFonts w:ascii="Times New Roman" w:hAnsi="Times New Roman" w:eastAsia="方正黑体_GBK"/>
      <w:sz w:val="32"/>
    </w:rPr>
  </w:style>
  <w:style w:type="table" w:customStyle="1" w:styleId="52">
    <w:name w:val="表格样式2"/>
    <w:basedOn w:val="21"/>
    <w:qFormat/>
    <w:uiPriority w:val="99"/>
    <w:pPr>
      <w:spacing w:line="0" w:lineRule="atLeast"/>
      <w:jc w:val="center"/>
    </w:pPr>
    <w:rPr>
      <w:rFonts w:ascii="Times New Roman" w:hAnsi="Times New Roman" w:eastAsia="方正仿宋_GBK"/>
      <w:sz w:val="24"/>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rPr>
        <w:rFonts w:ascii="Times New Roman" w:hAnsi="Times New Roman" w:eastAsia="宋体"/>
        <w:b/>
        <w:i w:val="0"/>
        <w:sz w:val="21"/>
      </w:rPr>
    </w:tblStylePr>
  </w:style>
  <w:style w:type="paragraph" w:customStyle="1" w:styleId="53">
    <w:name w:val="表格文字"/>
    <w:basedOn w:val="1"/>
    <w:next w:val="1"/>
    <w:link w:val="54"/>
    <w:qFormat/>
    <w:uiPriority w:val="0"/>
    <w:pPr>
      <w:adjustRightInd w:val="0"/>
      <w:snapToGrid w:val="0"/>
      <w:spacing w:line="0" w:lineRule="atLeast"/>
      <w:ind w:firstLine="0" w:firstLineChars="0"/>
      <w:jc w:val="center"/>
    </w:pPr>
    <w:rPr>
      <w:rFonts w:cs="Times New Roman"/>
      <w:sz w:val="24"/>
    </w:rPr>
  </w:style>
  <w:style w:type="character" w:customStyle="1" w:styleId="54">
    <w:name w:val="表格文字 字符"/>
    <w:basedOn w:val="23"/>
    <w:link w:val="53"/>
    <w:qFormat/>
    <w:uiPriority w:val="0"/>
    <w:rPr>
      <w:rFonts w:ascii="Times New Roman" w:hAnsi="Times New Roman" w:eastAsia="方正仿宋_GBK" w:cs="Times New Roman"/>
      <w:sz w:val="24"/>
    </w:rPr>
  </w:style>
  <w:style w:type="paragraph" w:customStyle="1" w:styleId="55">
    <w:name w:val="msonormal"/>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6">
    <w:name w:val="font5"/>
    <w:basedOn w:val="1"/>
    <w:qFormat/>
    <w:uiPriority w:val="0"/>
    <w:pPr>
      <w:widowControl/>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57">
    <w:name w:val="font6"/>
    <w:basedOn w:val="1"/>
    <w:qFormat/>
    <w:uiPriority w:val="0"/>
    <w:pPr>
      <w:widowControl/>
      <w:spacing w:before="100" w:beforeAutospacing="1" w:after="100" w:afterAutospacing="1" w:line="240" w:lineRule="auto"/>
      <w:ind w:firstLine="0" w:firstLineChars="0"/>
      <w:jc w:val="left"/>
    </w:pPr>
    <w:rPr>
      <w:rFonts w:eastAsia="宋体" w:cs="Times New Roman"/>
      <w:kern w:val="0"/>
      <w:sz w:val="22"/>
      <w:szCs w:val="22"/>
    </w:rPr>
  </w:style>
  <w:style w:type="paragraph" w:customStyle="1" w:styleId="58">
    <w:name w:val="font7"/>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2"/>
      <w:szCs w:val="22"/>
    </w:rPr>
  </w:style>
  <w:style w:type="paragraph" w:customStyle="1" w:styleId="59">
    <w:name w:val="font8"/>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1"/>
    </w:rPr>
  </w:style>
  <w:style w:type="paragraph" w:customStyle="1" w:styleId="60">
    <w:name w:val="font9"/>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1"/>
    </w:rPr>
  </w:style>
  <w:style w:type="paragraph" w:customStyle="1" w:styleId="61">
    <w:name w:val="font10"/>
    <w:basedOn w:val="1"/>
    <w:qFormat/>
    <w:uiPriority w:val="0"/>
    <w:pPr>
      <w:widowControl/>
      <w:spacing w:before="100" w:beforeAutospacing="1" w:after="100" w:afterAutospacing="1" w:line="240" w:lineRule="auto"/>
      <w:ind w:firstLine="0" w:firstLineChars="0"/>
      <w:jc w:val="left"/>
    </w:pPr>
    <w:rPr>
      <w:rFonts w:eastAsia="宋体" w:cs="Times New Roman"/>
      <w:color w:val="000000"/>
      <w:kern w:val="0"/>
      <w:sz w:val="21"/>
    </w:rPr>
  </w:style>
  <w:style w:type="paragraph" w:customStyle="1" w:styleId="62">
    <w:name w:val="font11"/>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1"/>
    </w:rPr>
  </w:style>
  <w:style w:type="paragraph" w:customStyle="1" w:styleId="63">
    <w:name w:val="font12"/>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1"/>
    </w:rPr>
  </w:style>
  <w:style w:type="paragraph" w:customStyle="1" w:styleId="64">
    <w:name w:val="font13"/>
    <w:basedOn w:val="1"/>
    <w:qFormat/>
    <w:uiPriority w:val="0"/>
    <w:pPr>
      <w:widowControl/>
      <w:spacing w:before="100" w:beforeAutospacing="1" w:after="100" w:afterAutospacing="1" w:line="240" w:lineRule="auto"/>
      <w:ind w:firstLine="0" w:firstLineChars="0"/>
      <w:jc w:val="left"/>
    </w:pPr>
    <w:rPr>
      <w:rFonts w:eastAsia="宋体" w:cs="Times New Roman"/>
      <w:color w:val="000000"/>
      <w:kern w:val="0"/>
      <w:sz w:val="22"/>
      <w:szCs w:val="22"/>
    </w:rPr>
  </w:style>
  <w:style w:type="paragraph" w:customStyle="1" w:styleId="65">
    <w:name w:val="font14"/>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2"/>
      <w:szCs w:val="22"/>
    </w:rPr>
  </w:style>
  <w:style w:type="paragraph" w:customStyle="1" w:styleId="66">
    <w:name w:val="font15"/>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FF0000"/>
      <w:kern w:val="0"/>
      <w:sz w:val="22"/>
      <w:szCs w:val="22"/>
    </w:rPr>
  </w:style>
  <w:style w:type="paragraph" w:customStyle="1" w:styleId="67">
    <w:name w:val="font16"/>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68">
    <w:name w:val="font17"/>
    <w:basedOn w:val="1"/>
    <w:qFormat/>
    <w:uiPriority w:val="0"/>
    <w:pPr>
      <w:widowControl/>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69">
    <w:name w:val="font18"/>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2"/>
      <w:szCs w:val="22"/>
    </w:rPr>
  </w:style>
  <w:style w:type="paragraph" w:customStyle="1" w:styleId="70">
    <w:name w:val="font19"/>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0"/>
      <w:szCs w:val="20"/>
    </w:rPr>
  </w:style>
  <w:style w:type="paragraph" w:customStyle="1" w:styleId="71">
    <w:name w:val="font20"/>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kern w:val="0"/>
      <w:sz w:val="22"/>
      <w:szCs w:val="22"/>
    </w:rPr>
  </w:style>
  <w:style w:type="paragraph" w:customStyle="1" w:styleId="72">
    <w:name w:val="font21"/>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0"/>
      <w:szCs w:val="20"/>
    </w:rPr>
  </w:style>
  <w:style w:type="paragraph" w:customStyle="1" w:styleId="73">
    <w:name w:val="font22"/>
    <w:basedOn w:val="1"/>
    <w:qFormat/>
    <w:uiPriority w:val="0"/>
    <w:pPr>
      <w:widowControl/>
      <w:spacing w:before="100" w:beforeAutospacing="1" w:after="100" w:afterAutospacing="1" w:line="240" w:lineRule="auto"/>
      <w:ind w:firstLine="0" w:firstLineChars="0"/>
      <w:jc w:val="left"/>
    </w:pPr>
    <w:rPr>
      <w:rFonts w:eastAsia="宋体" w:cs="Times New Roman"/>
      <w:b/>
      <w:bCs/>
      <w:color w:val="0000CC"/>
      <w:kern w:val="0"/>
      <w:sz w:val="22"/>
      <w:szCs w:val="22"/>
    </w:rPr>
  </w:style>
  <w:style w:type="paragraph" w:customStyle="1" w:styleId="74">
    <w:name w:val="font23"/>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color w:val="0000CC"/>
      <w:kern w:val="0"/>
      <w:sz w:val="22"/>
      <w:szCs w:val="22"/>
    </w:rPr>
  </w:style>
  <w:style w:type="paragraph" w:customStyle="1" w:styleId="75">
    <w:name w:val="font24"/>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CC"/>
      <w:kern w:val="0"/>
      <w:sz w:val="21"/>
    </w:rPr>
  </w:style>
  <w:style w:type="paragraph" w:customStyle="1" w:styleId="76">
    <w:name w:val="font25"/>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CC"/>
      <w:kern w:val="0"/>
      <w:sz w:val="22"/>
      <w:szCs w:val="22"/>
    </w:rPr>
  </w:style>
  <w:style w:type="paragraph" w:customStyle="1" w:styleId="77">
    <w:name w:val="font26"/>
    <w:basedOn w:val="1"/>
    <w:qFormat/>
    <w:uiPriority w:val="0"/>
    <w:pPr>
      <w:widowControl/>
      <w:spacing w:before="100" w:beforeAutospacing="1" w:after="100" w:afterAutospacing="1" w:line="240" w:lineRule="auto"/>
      <w:ind w:firstLine="0" w:firstLineChars="0"/>
      <w:jc w:val="left"/>
    </w:pPr>
    <w:rPr>
      <w:rFonts w:ascii="等线" w:hAnsi="等线" w:eastAsia="等线" w:cs="宋体"/>
      <w:kern w:val="0"/>
      <w:sz w:val="21"/>
    </w:rPr>
  </w:style>
  <w:style w:type="paragraph" w:customStyle="1" w:styleId="78">
    <w:name w:val="xl65"/>
    <w:basedOn w:val="1"/>
    <w:qFormat/>
    <w:uiPriority w:val="0"/>
    <w:pPr>
      <w:widowControl/>
      <w:spacing w:before="100" w:beforeAutospacing="1" w:after="100" w:afterAutospacing="1" w:line="240" w:lineRule="auto"/>
      <w:ind w:firstLine="0" w:firstLineChars="0"/>
      <w:jc w:val="center"/>
    </w:pPr>
    <w:rPr>
      <w:rFonts w:eastAsia="宋体" w:cs="Times New Roman"/>
      <w:kern w:val="0"/>
      <w:sz w:val="21"/>
    </w:rPr>
  </w:style>
  <w:style w:type="paragraph" w:customStyle="1" w:styleId="7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8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8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8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83">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kern w:val="0"/>
      <w:sz w:val="21"/>
    </w:rPr>
  </w:style>
  <w:style w:type="paragraph" w:customStyle="1" w:styleId="84">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kern w:val="0"/>
      <w:sz w:val="21"/>
    </w:rPr>
  </w:style>
  <w:style w:type="paragraph" w:customStyle="1" w:styleId="8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86">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8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8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8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9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9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9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9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95">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00"/>
      <w:kern w:val="0"/>
      <w:sz w:val="24"/>
      <w:szCs w:val="24"/>
    </w:rPr>
  </w:style>
  <w:style w:type="paragraph" w:customStyle="1" w:styleId="9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kern w:val="0"/>
      <w:sz w:val="21"/>
    </w:rPr>
  </w:style>
  <w:style w:type="paragraph" w:customStyle="1" w:styleId="9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FF0000"/>
      <w:kern w:val="0"/>
      <w:sz w:val="24"/>
      <w:szCs w:val="24"/>
    </w:rPr>
  </w:style>
  <w:style w:type="paragraph" w:customStyle="1" w:styleId="98">
    <w:name w:val="xl85"/>
    <w:basedOn w:val="1"/>
    <w:qFormat/>
    <w:uiPriority w:val="0"/>
    <w:pPr>
      <w:widowControl/>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9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10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10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10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b/>
      <w:bCs/>
      <w:kern w:val="0"/>
      <w:sz w:val="24"/>
      <w:szCs w:val="24"/>
    </w:rPr>
  </w:style>
  <w:style w:type="paragraph" w:customStyle="1" w:styleId="10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pPr>
    <w:rPr>
      <w:rFonts w:eastAsia="宋体" w:cs="Times New Roman"/>
      <w:b/>
      <w:bCs/>
      <w:kern w:val="0"/>
      <w:sz w:val="24"/>
      <w:szCs w:val="24"/>
    </w:rPr>
  </w:style>
  <w:style w:type="paragraph" w:customStyle="1" w:styleId="104">
    <w:name w:val="xl91"/>
    <w:basedOn w:val="1"/>
    <w:qFormat/>
    <w:uiPriority w:val="0"/>
    <w:pPr>
      <w:widowControl/>
      <w:spacing w:before="100" w:beforeAutospacing="1" w:after="100" w:afterAutospacing="1" w:line="240" w:lineRule="auto"/>
      <w:ind w:firstLine="0" w:firstLineChars="0"/>
      <w:jc w:val="left"/>
    </w:pPr>
    <w:rPr>
      <w:rFonts w:eastAsia="宋体" w:cs="Times New Roman"/>
      <w:kern w:val="0"/>
      <w:sz w:val="24"/>
      <w:szCs w:val="24"/>
    </w:rPr>
  </w:style>
  <w:style w:type="paragraph" w:customStyle="1" w:styleId="105">
    <w:name w:val="xl92"/>
    <w:basedOn w:val="1"/>
    <w:qFormat/>
    <w:uiPriority w:val="0"/>
    <w:pPr>
      <w:widowControl/>
      <w:spacing w:before="100" w:beforeAutospacing="1" w:after="100" w:afterAutospacing="1" w:line="240" w:lineRule="auto"/>
      <w:ind w:firstLine="0" w:firstLineChars="0"/>
      <w:jc w:val="left"/>
    </w:pPr>
    <w:rPr>
      <w:rFonts w:eastAsia="宋体" w:cs="Times New Roman"/>
      <w:b/>
      <w:bCs/>
      <w:kern w:val="0"/>
      <w:sz w:val="24"/>
      <w:szCs w:val="24"/>
    </w:rPr>
  </w:style>
  <w:style w:type="paragraph" w:customStyle="1" w:styleId="106">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10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宋体" w:cs="Times New Roman"/>
      <w:kern w:val="0"/>
      <w:sz w:val="20"/>
      <w:szCs w:val="20"/>
    </w:rPr>
  </w:style>
  <w:style w:type="paragraph" w:customStyle="1" w:styleId="10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1"/>
    </w:rPr>
  </w:style>
  <w:style w:type="paragraph" w:customStyle="1" w:styleId="10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11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00"/>
      <w:kern w:val="0"/>
      <w:sz w:val="24"/>
      <w:szCs w:val="24"/>
    </w:rPr>
  </w:style>
  <w:style w:type="paragraph" w:customStyle="1" w:styleId="111">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00"/>
      <w:kern w:val="0"/>
      <w:sz w:val="20"/>
      <w:szCs w:val="20"/>
    </w:rPr>
  </w:style>
  <w:style w:type="paragraph" w:customStyle="1" w:styleId="112">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pPr>
    <w:rPr>
      <w:rFonts w:eastAsia="宋体" w:cs="Times New Roman"/>
      <w:b/>
      <w:bCs/>
      <w:color w:val="0000CC"/>
      <w:kern w:val="0"/>
      <w:sz w:val="24"/>
      <w:szCs w:val="24"/>
    </w:rPr>
  </w:style>
  <w:style w:type="paragraph" w:customStyle="1" w:styleId="113">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4">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6">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7">
    <w:name w:val="xl10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8">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19">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20">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4"/>
      <w:szCs w:val="24"/>
    </w:rPr>
  </w:style>
  <w:style w:type="paragraph" w:customStyle="1" w:styleId="121">
    <w:name w:val="xl108"/>
    <w:basedOn w:val="1"/>
    <w:qFormat/>
    <w:uiPriority w:val="0"/>
    <w:pPr>
      <w:widowControl/>
      <w:spacing w:before="100" w:beforeAutospacing="1" w:after="100" w:afterAutospacing="1" w:line="240" w:lineRule="auto"/>
      <w:ind w:firstLine="0" w:firstLineChars="0"/>
      <w:jc w:val="left"/>
    </w:pPr>
    <w:rPr>
      <w:rFonts w:eastAsia="宋体" w:cs="Times New Roman"/>
      <w:color w:val="0000CC"/>
      <w:kern w:val="0"/>
      <w:sz w:val="24"/>
      <w:szCs w:val="24"/>
    </w:rPr>
  </w:style>
  <w:style w:type="paragraph" w:customStyle="1" w:styleId="12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b/>
      <w:bCs/>
      <w:color w:val="0000CC"/>
      <w:kern w:val="0"/>
      <w:sz w:val="24"/>
      <w:szCs w:val="24"/>
    </w:rPr>
  </w:style>
  <w:style w:type="paragraph" w:customStyle="1" w:styleId="123">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24">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25">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26">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color w:val="0000CC"/>
      <w:kern w:val="0"/>
      <w:sz w:val="24"/>
      <w:szCs w:val="24"/>
    </w:rPr>
  </w:style>
  <w:style w:type="paragraph" w:customStyle="1" w:styleId="127">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2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29">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color w:val="0000CC"/>
      <w:kern w:val="0"/>
      <w:sz w:val="21"/>
    </w:rPr>
  </w:style>
  <w:style w:type="paragraph" w:customStyle="1" w:styleId="130">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CC"/>
      <w:kern w:val="0"/>
      <w:sz w:val="21"/>
    </w:rPr>
  </w:style>
  <w:style w:type="paragraph" w:customStyle="1" w:styleId="13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color w:val="0000CC"/>
      <w:kern w:val="0"/>
      <w:sz w:val="21"/>
    </w:rPr>
  </w:style>
  <w:style w:type="paragraph" w:customStyle="1" w:styleId="132">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CC"/>
      <w:kern w:val="0"/>
      <w:sz w:val="24"/>
      <w:szCs w:val="24"/>
    </w:rPr>
  </w:style>
  <w:style w:type="paragraph" w:customStyle="1" w:styleId="13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1"/>
    </w:rPr>
  </w:style>
  <w:style w:type="paragraph" w:customStyle="1" w:styleId="134">
    <w:name w:val="font27"/>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color w:val="0000CC"/>
      <w:kern w:val="0"/>
      <w:sz w:val="22"/>
      <w:szCs w:val="22"/>
    </w:rPr>
  </w:style>
  <w:style w:type="paragraph" w:customStyle="1" w:styleId="135">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pPr>
    <w:rPr>
      <w:rFonts w:eastAsia="宋体" w:cs="Times New Roman"/>
      <w:b/>
      <w:bCs/>
      <w:color w:val="0000CC"/>
      <w:kern w:val="0"/>
      <w:sz w:val="24"/>
      <w:szCs w:val="24"/>
    </w:rPr>
  </w:style>
  <w:style w:type="paragraph" w:customStyle="1" w:styleId="136">
    <w:name w:val="font28"/>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color w:val="0000CC"/>
      <w:kern w:val="0"/>
      <w:sz w:val="22"/>
      <w:szCs w:val="22"/>
    </w:rPr>
  </w:style>
  <w:style w:type="paragraph" w:customStyle="1" w:styleId="137">
    <w:name w:val="font29"/>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color w:val="000000"/>
      <w:kern w:val="0"/>
      <w:sz w:val="22"/>
      <w:szCs w:val="22"/>
    </w:rPr>
  </w:style>
  <w:style w:type="paragraph" w:customStyle="1" w:styleId="138">
    <w:name w:val="font30"/>
    <w:basedOn w:val="1"/>
    <w:qFormat/>
    <w:uiPriority w:val="0"/>
    <w:pPr>
      <w:widowControl/>
      <w:spacing w:before="100" w:beforeAutospacing="1" w:after="100" w:afterAutospacing="1" w:line="240" w:lineRule="auto"/>
      <w:ind w:firstLine="0" w:firstLineChars="0"/>
      <w:jc w:val="left"/>
    </w:pPr>
    <w:rPr>
      <w:rFonts w:ascii="等线" w:hAnsi="等线" w:eastAsia="等线" w:cs="宋体"/>
      <w:b/>
      <w:bCs/>
      <w:color w:val="000000"/>
      <w:kern w:val="0"/>
      <w:sz w:val="22"/>
      <w:szCs w:val="22"/>
    </w:rPr>
  </w:style>
  <w:style w:type="paragraph" w:customStyle="1" w:styleId="139">
    <w:name w:val="xl63"/>
    <w:basedOn w:val="1"/>
    <w:qFormat/>
    <w:uiPriority w:val="0"/>
    <w:pPr>
      <w:widowControl/>
      <w:spacing w:before="100" w:beforeAutospacing="1" w:after="100" w:afterAutospacing="1" w:line="240" w:lineRule="auto"/>
      <w:ind w:firstLine="0" w:firstLineChars="0"/>
      <w:jc w:val="center"/>
    </w:pPr>
    <w:rPr>
      <w:rFonts w:eastAsia="宋体" w:cs="Times New Roman"/>
      <w:kern w:val="0"/>
      <w:sz w:val="21"/>
    </w:rPr>
  </w:style>
  <w:style w:type="paragraph" w:customStyle="1" w:styleId="14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141">
    <w:name w:val="xl122"/>
    <w:basedOn w:val="1"/>
    <w:qFormat/>
    <w:uiPriority w:val="0"/>
    <w:pPr>
      <w:widowControl/>
      <w:spacing w:before="100" w:beforeAutospacing="1" w:after="100" w:afterAutospacing="1" w:line="240" w:lineRule="auto"/>
      <w:ind w:firstLine="0" w:firstLineChars="0"/>
      <w:jc w:val="center"/>
    </w:pPr>
    <w:rPr>
      <w:rFonts w:eastAsia="宋体" w:cs="Times New Roman"/>
      <w:kern w:val="0"/>
      <w:sz w:val="24"/>
      <w:szCs w:val="24"/>
    </w:rPr>
  </w:style>
  <w:style w:type="paragraph" w:customStyle="1" w:styleId="142">
    <w:name w:val="M表中字体"/>
    <w:qFormat/>
    <w:uiPriority w:val="0"/>
    <w:pPr>
      <w:adjustRightInd w:val="0"/>
      <w:snapToGrid w:val="0"/>
      <w:jc w:val="center"/>
    </w:pPr>
    <w:rPr>
      <w:rFonts w:ascii="Times New Roman" w:hAnsi="Times New Roman" w:eastAsia="仿宋_GB2312" w:cs="Times New Roman"/>
      <w:kern w:val="2"/>
      <w:sz w:val="24"/>
      <w:szCs w:val="21"/>
      <w:lang w:val="en-US" w:eastAsia="zh-CN" w:bidi="ar-SA"/>
    </w:rPr>
  </w:style>
  <w:style w:type="character" w:customStyle="1" w:styleId="143">
    <w:name w:val="font71"/>
    <w:basedOn w:val="23"/>
    <w:autoRedefine/>
    <w:qFormat/>
    <w:uiPriority w:val="0"/>
    <w:rPr>
      <w:rFonts w:hint="eastAsia" w:ascii="宋体" w:hAnsi="宋体" w:eastAsia="宋体" w:cs="宋体"/>
      <w:color w:val="000000"/>
      <w:sz w:val="24"/>
      <w:szCs w:val="24"/>
      <w:u w:val="none"/>
    </w:rPr>
  </w:style>
  <w:style w:type="character" w:customStyle="1" w:styleId="144">
    <w:name w:val="font51"/>
    <w:basedOn w:val="23"/>
    <w:qFormat/>
    <w:uiPriority w:val="0"/>
    <w:rPr>
      <w:rFonts w:hint="default" w:ascii="Times New Roman" w:hAnsi="Times New Roman" w:cs="Times New Roman"/>
      <w:b/>
      <w:bCs/>
      <w:color w:val="000000"/>
      <w:sz w:val="24"/>
      <w:szCs w:val="24"/>
      <w:u w:val="none"/>
      <w:vertAlign w:val="superscript"/>
    </w:rPr>
  </w:style>
  <w:style w:type="character" w:customStyle="1" w:styleId="145">
    <w:name w:val="font101"/>
    <w:basedOn w:val="23"/>
    <w:qFormat/>
    <w:uiPriority w:val="0"/>
    <w:rPr>
      <w:rFonts w:hint="eastAsia" w:ascii="方正小标宋_GBK" w:hAnsi="方正小标宋_GBK" w:eastAsia="方正小标宋_GBK" w:cs="方正小标宋_GBK"/>
      <w:color w:val="000000"/>
      <w:sz w:val="20"/>
      <w:szCs w:val="20"/>
      <w:u w:val="none"/>
    </w:rPr>
  </w:style>
  <w:style w:type="paragraph" w:customStyle="1" w:styleId="146">
    <w:name w:val="M表标题"/>
    <w:next w:val="1"/>
    <w:qFormat/>
    <w:uiPriority w:val="0"/>
    <w:pPr>
      <w:keepNext/>
      <w:spacing w:line="360" w:lineRule="auto"/>
      <w:jc w:val="center"/>
    </w:pPr>
    <w:rPr>
      <w:rFonts w:ascii="Times New Roman" w:hAnsi="Times New Roman" w:eastAsia="黑体" w:cs="Times New Roman"/>
      <w:b/>
      <w:bCs/>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3.xml"/><Relationship Id="rId50" Type="http://schemas.openxmlformats.org/officeDocument/2006/relationships/customXml" Target="../customXml/item2.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10.png"/><Relationship Id="rId46" Type="http://schemas.openxmlformats.org/officeDocument/2006/relationships/image" Target="media/image9.png"/><Relationship Id="rId45" Type="http://schemas.openxmlformats.org/officeDocument/2006/relationships/image" Target="media/image8.jpeg"/><Relationship Id="rId44" Type="http://schemas.openxmlformats.org/officeDocument/2006/relationships/image" Target="media/image7.png"/><Relationship Id="rId43" Type="http://schemas.openxmlformats.org/officeDocument/2006/relationships/image" Target="media/image6.jpeg"/><Relationship Id="rId42" Type="http://schemas.openxmlformats.org/officeDocument/2006/relationships/image" Target="media/image5.wmf"/><Relationship Id="rId41" Type="http://schemas.openxmlformats.org/officeDocument/2006/relationships/image" Target="media/image4.png"/><Relationship Id="rId40" Type="http://schemas.openxmlformats.org/officeDocument/2006/relationships/image" Target="media/image3.jpeg"/><Relationship Id="rId4" Type="http://schemas.openxmlformats.org/officeDocument/2006/relationships/endnotes" Target="endnotes.xml"/><Relationship Id="rId39" Type="http://schemas.openxmlformats.org/officeDocument/2006/relationships/image" Target="media/image2.png"/><Relationship Id="rId38" Type="http://schemas.openxmlformats.org/officeDocument/2006/relationships/chart" Target="charts/chart7.xml"/><Relationship Id="rId37" Type="http://schemas.openxmlformats.org/officeDocument/2006/relationships/chart" Target="charts/chart6.xml"/><Relationship Id="rId36" Type="http://schemas.openxmlformats.org/officeDocument/2006/relationships/chart" Target="charts/chart5.xml"/><Relationship Id="rId35" Type="http://schemas.openxmlformats.org/officeDocument/2006/relationships/chart" Target="charts/chart4.xml"/><Relationship Id="rId34" Type="http://schemas.openxmlformats.org/officeDocument/2006/relationships/chart" Target="charts/chart3.xml"/><Relationship Id="rId33" Type="http://schemas.openxmlformats.org/officeDocument/2006/relationships/chart" Target="charts/chart2.xml"/><Relationship Id="rId32" Type="http://schemas.openxmlformats.org/officeDocument/2006/relationships/chart" Target="charts/chart1.xml"/><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SO2</a:t>
            </a:r>
            <a:r>
              <a:rPr altLang="en-US"/>
              <a:t>变化趋势</a:t>
            </a:r>
            <a:endParaRPr lang="en-US" altLang="zh-CN"/>
          </a:p>
        </c:rich>
      </c:tx>
      <c:layout>
        <c:manualLayout>
          <c:xMode val="edge"/>
          <c:yMode val="edge"/>
          <c:x val="0.430478376419425"/>
          <c:y val="0.0284742881427965"/>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SO2(μg/m³)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11</c:v>
                </c:pt>
                <c:pt idx="1">
                  <c:v>10</c:v>
                </c:pt>
                <c:pt idx="2">
                  <c:v>9</c:v>
                </c:pt>
                <c:pt idx="3">
                  <c:v>8</c:v>
                </c:pt>
                <c:pt idx="4">
                  <c:v>8</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60</c:v>
                </c:pt>
                <c:pt idx="1">
                  <c:v>60</c:v>
                </c:pt>
                <c:pt idx="2">
                  <c:v>60</c:v>
                </c:pt>
                <c:pt idx="3">
                  <c:v>60</c:v>
                </c:pt>
                <c:pt idx="4">
                  <c:v>60</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NO2</a:t>
            </a:r>
            <a:r>
              <a:rPr altLang="en-US"/>
              <a:t>变化趋势</a:t>
            </a:r>
            <a:endParaRPr lang="en-US" altLang="zh-CN"/>
          </a:p>
        </c:rich>
      </c:tx>
      <c:layout>
        <c:manualLayout>
          <c:xMode val="edge"/>
          <c:yMode val="edge"/>
          <c:x val="0.430478376419425"/>
          <c:y val="0.0284742881427965"/>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NO2(μg/m³)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19</c:v>
                </c:pt>
                <c:pt idx="1">
                  <c:v>17</c:v>
                </c:pt>
                <c:pt idx="2">
                  <c:v>14</c:v>
                </c:pt>
                <c:pt idx="3">
                  <c:v>17</c:v>
                </c:pt>
                <c:pt idx="4">
                  <c:v>15</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40</c:v>
                </c:pt>
                <c:pt idx="1">
                  <c:v>40</c:v>
                </c:pt>
                <c:pt idx="2">
                  <c:v>40</c:v>
                </c:pt>
                <c:pt idx="3">
                  <c:v>40</c:v>
                </c:pt>
                <c:pt idx="4">
                  <c:v>40</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PM10</a:t>
            </a:r>
            <a:r>
              <a:rPr altLang="en-US"/>
              <a:t>变化趋势</a:t>
            </a:r>
            <a:endParaRPr lang="en-US" altLang="zh-CN"/>
          </a:p>
        </c:rich>
      </c:tx>
      <c:layout>
        <c:manualLayout>
          <c:xMode val="edge"/>
          <c:yMode val="edge"/>
          <c:x val="0.430478376419425"/>
          <c:y val="0.0284742881427965"/>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PM10(μg/m³)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36</c:v>
                </c:pt>
                <c:pt idx="1">
                  <c:v>35</c:v>
                </c:pt>
                <c:pt idx="2">
                  <c:v>30</c:v>
                </c:pt>
                <c:pt idx="3">
                  <c:v>35</c:v>
                </c:pt>
                <c:pt idx="4">
                  <c:v>29</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70</c:v>
                </c:pt>
                <c:pt idx="1">
                  <c:v>70</c:v>
                </c:pt>
                <c:pt idx="2">
                  <c:v>70</c:v>
                </c:pt>
                <c:pt idx="3">
                  <c:v>70</c:v>
                </c:pt>
                <c:pt idx="4">
                  <c:v>70</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CO</a:t>
            </a:r>
            <a:r>
              <a:rPr altLang="en-US"/>
              <a:t>变化趋势</a:t>
            </a:r>
            <a:endParaRPr lang="en-US" altLang="zh-CN"/>
          </a:p>
        </c:rich>
      </c:tx>
      <c:layout>
        <c:manualLayout>
          <c:xMode val="edge"/>
          <c:yMode val="edge"/>
          <c:x val="0.430478376419425"/>
          <c:y val="0.0284742881427965"/>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CO-95per(mg/m³)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1.2</c:v>
                </c:pt>
                <c:pt idx="1">
                  <c:v>1.1</c:v>
                </c:pt>
                <c:pt idx="2">
                  <c:v>1</c:v>
                </c:pt>
                <c:pt idx="3">
                  <c:v>0.9</c:v>
                </c:pt>
                <c:pt idx="4">
                  <c:v>0.9</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4</c:v>
                </c:pt>
                <c:pt idx="1">
                  <c:v>4</c:v>
                </c:pt>
                <c:pt idx="2">
                  <c:v>4</c:v>
                </c:pt>
                <c:pt idx="3">
                  <c:v>4</c:v>
                </c:pt>
                <c:pt idx="4">
                  <c:v>4</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O3</a:t>
            </a:r>
            <a:r>
              <a:rPr altLang="en-US"/>
              <a:t>变化趋势</a:t>
            </a:r>
            <a:endParaRPr lang="en-US" altLang="zh-CN"/>
          </a:p>
        </c:rich>
      </c:tx>
      <c:layout>
        <c:manualLayout>
          <c:xMode val="edge"/>
          <c:yMode val="edge"/>
          <c:x val="0.432169606185069"/>
          <c:y val="0.0254993625159372"/>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O3-8H-90per(μg/m³)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126</c:v>
                </c:pt>
                <c:pt idx="1">
                  <c:v>122</c:v>
                </c:pt>
                <c:pt idx="2">
                  <c:v>130</c:v>
                </c:pt>
                <c:pt idx="3">
                  <c:v>121</c:v>
                </c:pt>
                <c:pt idx="4">
                  <c:v>126</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160</c:v>
                </c:pt>
                <c:pt idx="1">
                  <c:v>160</c:v>
                </c:pt>
                <c:pt idx="2">
                  <c:v>160</c:v>
                </c:pt>
                <c:pt idx="3">
                  <c:v>160</c:v>
                </c:pt>
                <c:pt idx="4">
                  <c:v>160</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P</a:t>
            </a:r>
            <a:r>
              <a:rPr lang="en-US" altLang="zh-CN"/>
              <a:t>M2.5</a:t>
            </a:r>
            <a:r>
              <a:rPr altLang="en-US"/>
              <a:t>变化趋势</a:t>
            </a:r>
            <a:endParaRPr lang="en-US" altLang="zh-CN"/>
          </a:p>
        </c:rich>
      </c:tx>
      <c:layout>
        <c:manualLayout>
          <c:xMode val="edge"/>
          <c:yMode val="edge"/>
          <c:x val="0.435431263590239"/>
          <c:y val="0.0254993625159372"/>
        </c:manualLayout>
      </c:layout>
      <c:overlay val="0"/>
      <c:spPr>
        <a:noFill/>
        <a:ln>
          <a:noFill/>
        </a:ln>
        <a:effectLst/>
      </c:spPr>
    </c:title>
    <c:autoTitleDeleted val="0"/>
    <c:plotArea>
      <c:layout>
        <c:manualLayout>
          <c:layoutTarget val="inner"/>
          <c:xMode val="edge"/>
          <c:yMode val="edge"/>
          <c:x val="0.0566078762986229"/>
          <c:y val="0.156396090097747"/>
          <c:w val="0.918386083595071"/>
          <c:h val="0.639481512962176"/>
        </c:manualLayout>
      </c:layout>
      <c:lineChart>
        <c:grouping val="standard"/>
        <c:varyColors val="0"/>
        <c:ser>
          <c:idx val="1"/>
          <c:order val="1"/>
          <c:tx>
            <c:strRef>
              <c:f>Sheet1!$B$2</c:f>
              <c:strCache>
                <c:ptCount val="1"/>
                <c:pt idx="0">
                  <c:v>PM2.5(μg/m³)</c:v>
                </c:pt>
              </c:strCache>
            </c:strRef>
          </c:tx>
          <c:spPr>
            <a:ln w="28575" cap="rnd">
              <a:solidFill>
                <a:schemeClr val="accent2"/>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Sheet1!$B$3:$B$7</c:f>
              <c:numCache>
                <c:formatCode>General</c:formatCode>
                <c:ptCount val="5"/>
                <c:pt idx="0">
                  <c:v>24</c:v>
                </c:pt>
                <c:pt idx="1">
                  <c:v>20</c:v>
                </c:pt>
                <c:pt idx="2">
                  <c:v>19</c:v>
                </c:pt>
                <c:pt idx="3">
                  <c:v>20</c:v>
                </c:pt>
                <c:pt idx="4">
                  <c:v>19</c:v>
                </c:pt>
              </c:numCache>
            </c:numRef>
          </c:val>
          <c:smooth val="0"/>
        </c:ser>
        <c:ser>
          <c:idx val="2"/>
          <c:order val="2"/>
          <c:tx>
            <c:strRef>
              <c:f>Sheet1!$C$2</c:f>
              <c:strCache>
                <c:ptCount val="1"/>
                <c:pt idx="0">
                  <c:v>标准限值</c:v>
                </c:pt>
              </c:strCache>
            </c:strRef>
          </c:tx>
          <c:spPr>
            <a:ln w="28575" cap="rnd">
              <a:solidFill>
                <a:schemeClr val="accent3"/>
              </a:solidFill>
              <a:round/>
            </a:ln>
            <a:effectLst/>
          </c:spPr>
          <c:marker>
            <c:symbol val="none"/>
          </c:marker>
          <c:dLbls>
            <c:delete val="1"/>
          </c:dLbls>
          <c:cat>
            <c:numRef>
              <c:f>Sheet1!$A$3:$A$7</c:f>
              <c:numCache>
                <c:formatCode>General</c:formatCode>
                <c:ptCount val="5"/>
                <c:pt idx="0">
                  <c:v>2020</c:v>
                </c:pt>
                <c:pt idx="1">
                  <c:v>2021</c:v>
                </c:pt>
                <c:pt idx="2">
                  <c:v>2022</c:v>
                </c:pt>
                <c:pt idx="3">
                  <c:v>2023</c:v>
                </c:pt>
                <c:pt idx="4">
                  <c:v>2024</c:v>
                </c:pt>
              </c:numCache>
            </c:numRef>
          </c:cat>
          <c:val>
            <c:numRef>
              <c:f>Sheet1!$C$3:$C$7</c:f>
              <c:numCache>
                <c:formatCode>General</c:formatCode>
                <c:ptCount val="5"/>
                <c:pt idx="0">
                  <c:v>35</c:v>
                </c:pt>
                <c:pt idx="1">
                  <c:v>35</c:v>
                </c:pt>
                <c:pt idx="2">
                  <c:v>35</c:v>
                </c:pt>
                <c:pt idx="3">
                  <c:v>35</c:v>
                </c:pt>
                <c:pt idx="4">
                  <c:v>35</c:v>
                </c:pt>
              </c:numCache>
            </c:numRef>
          </c:val>
          <c:smooth val="0"/>
        </c:ser>
        <c:dLbls>
          <c:showLegendKey val="0"/>
          <c:showVal val="0"/>
          <c:showCatName val="0"/>
          <c:showSerName val="0"/>
          <c:showPercent val="0"/>
          <c:showBubbleSize val="0"/>
        </c:dLbls>
        <c:marker val="0"/>
        <c:smooth val="0"/>
        <c:axId val="745729818"/>
        <c:axId val="513782911"/>
        <c:extLst>
          <c:ext xmlns:c15="http://schemas.microsoft.com/office/drawing/2012/chart" uri="{02D57815-91ED-43cb-92C2-25804820EDAC}">
            <c15:filteredLineSeries>
              <c15:ser>
                <c:idx val="0"/>
                <c:order val="0"/>
                <c:tx>
                  <c:strRef>
                    <c:extLst>
                      <c:ext uri="{02D57815-91ED-43cb-92C2-25804820EDAC}">
                        <c15:formulaRef>
                          <c15:sqref>Sheet1!$A$2</c15:sqref>
                        </c15:formulaRef>
                      </c:ext>
                    </c:extLst>
                    <c:strCache>
                      <c:ptCount val="1"/>
                      <c:pt idx="0">
                        <c:v/>
                      </c:pt>
                    </c:strCache>
                  </c:strRef>
                </c:tx>
                <c:spPr>
                  <a:ln w="28575" cap="rnd">
                    <a:solidFill>
                      <a:schemeClr val="accent1"/>
                    </a:solidFill>
                    <a:round/>
                  </a:ln>
                  <a:effectLst/>
                </c:spPr>
                <c:marker>
                  <c:symbol val="none"/>
                </c:marker>
                <c:dLbls>
                  <c:delete val="1"/>
                </c:dLbls>
                <c:cat>
                  <c:numRef>
                    <c:extLst>
                      <c:ext uri="{02D57815-91ED-43cb-92C2-25804820EDAC}">
                        <c15:fullRef>
                          <c15:sqref/>
                        </c15:fullRef>
                        <c15:formulaRef>
                          <c15:sqref>Sheet1!$A$3:$A$7</c15:sqref>
                        </c15:formulaRef>
                      </c:ext>
                    </c:extLst>
                    <c:numCache>
                      <c:formatCode>General</c:formatCode>
                      <c:ptCount val="5"/>
                      <c:pt idx="0">
                        <c:v>2020</c:v>
                      </c:pt>
                      <c:pt idx="1">
                        <c:v>2021</c:v>
                      </c:pt>
                      <c:pt idx="2">
                        <c:v>2022</c:v>
                      </c:pt>
                      <c:pt idx="3">
                        <c:v>2023</c:v>
                      </c:pt>
                      <c:pt idx="4">
                        <c:v>2024</c:v>
                      </c:pt>
                    </c:numCache>
                  </c:numRef>
                </c:cat>
                <c:val>
                  <c:numRef>
                    <c:extLst>
                      <c:ext uri="{02D57815-91ED-43cb-92C2-25804820EDAC}">
                        <c15:formulaRef>
                          <c15:sqref>Sheet1!$A$3:$A$7</c15:sqref>
                        </c15:formulaRef>
                      </c:ext>
                    </c:extLst>
                    <c:numCache>
                      <c:formatCode>General</c:formatCode>
                      <c:ptCount val="5"/>
                      <c:pt idx="0">
                        <c:v>2020</c:v>
                      </c:pt>
                      <c:pt idx="1">
                        <c:v>2021</c:v>
                      </c:pt>
                      <c:pt idx="2">
                        <c:v>2022</c:v>
                      </c:pt>
                      <c:pt idx="3">
                        <c:v>2023</c:v>
                      </c:pt>
                      <c:pt idx="4">
                        <c:v>2024</c:v>
                      </c:pt>
                    </c:numCache>
                  </c:numRef>
                </c:val>
                <c:smooth val="0"/>
              </c15:ser>
            </c15:filteredLineSeries>
          </c:ext>
        </c:extLst>
      </c:lineChart>
      <c:catAx>
        <c:axId val="7457298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782911"/>
        <c:crosses val="autoZero"/>
        <c:auto val="1"/>
        <c:lblAlgn val="ctr"/>
        <c:lblOffset val="100"/>
        <c:noMultiLvlLbl val="0"/>
      </c:catAx>
      <c:valAx>
        <c:axId val="5137829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29818"/>
        <c:crosses val="autoZero"/>
        <c:crossBetween val="between"/>
      </c:valAx>
      <c:spPr>
        <a:noFill/>
        <a:ln>
          <a:noFill/>
        </a:ln>
        <a:effectLst/>
      </c:spPr>
    </c:plotArea>
    <c:legend>
      <c:legendPos val="b"/>
      <c:layout>
        <c:manualLayout>
          <c:xMode val="edge"/>
          <c:yMode val="edge"/>
          <c:x val="0.338245953128775"/>
          <c:y val="0.9037399065023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1aabe2-5cb8-44ea-bb5d-30d9e09470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单位：亿元</a:t>
            </a:r>
          </a:p>
        </c:rich>
      </c:tx>
      <c:layout>
        <c:manualLayout>
          <c:xMode val="edge"/>
          <c:yMode val="edge"/>
          <c:x val="0.017274704034791"/>
          <c:y val="0.033999150021249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农林牧渔业总产值</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2020年</c:v>
                </c:pt>
                <c:pt idx="1">
                  <c:v>2021年</c:v>
                </c:pt>
                <c:pt idx="2">
                  <c:v>2022年</c:v>
                </c:pt>
                <c:pt idx="3">
                  <c:v>2023年</c:v>
                </c:pt>
              </c:strCache>
            </c:strRef>
          </c:cat>
          <c:val>
            <c:numRef>
              <c:f>Sheet1!$B$2:$B$5</c:f>
              <c:numCache>
                <c:formatCode>General</c:formatCode>
                <c:ptCount val="4"/>
                <c:pt idx="0">
                  <c:v>54.31</c:v>
                </c:pt>
                <c:pt idx="1">
                  <c:v>57.12</c:v>
                </c:pt>
                <c:pt idx="2">
                  <c:v>55.29</c:v>
                </c:pt>
                <c:pt idx="3">
                  <c:v>57.23</c:v>
                </c:pt>
              </c:numCache>
            </c:numRef>
          </c:val>
        </c:ser>
        <c:ser>
          <c:idx val="1"/>
          <c:order val="1"/>
          <c:tx>
            <c:strRef>
              <c:f>Sheet1!$C$1</c:f>
              <c:strCache>
                <c:ptCount val="1"/>
                <c:pt idx="0">
                  <c:v>畜牧业总产值</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2020年</c:v>
                </c:pt>
                <c:pt idx="1">
                  <c:v>2021年</c:v>
                </c:pt>
                <c:pt idx="2">
                  <c:v>2022年</c:v>
                </c:pt>
                <c:pt idx="3">
                  <c:v>2023年</c:v>
                </c:pt>
              </c:strCache>
            </c:strRef>
          </c:cat>
          <c:val>
            <c:numRef>
              <c:f>Sheet1!$C$2:$C$5</c:f>
              <c:numCache>
                <c:formatCode>General</c:formatCode>
                <c:ptCount val="4"/>
                <c:pt idx="0">
                  <c:v>19.67</c:v>
                </c:pt>
                <c:pt idx="1">
                  <c:v>20.59</c:v>
                </c:pt>
                <c:pt idx="2">
                  <c:v>19.88</c:v>
                </c:pt>
                <c:pt idx="3">
                  <c:v>20.32</c:v>
                </c:pt>
              </c:numCache>
            </c:numRef>
          </c:val>
        </c:ser>
        <c:dLbls>
          <c:showLegendKey val="0"/>
          <c:showVal val="0"/>
          <c:showCatName val="0"/>
          <c:showSerName val="0"/>
          <c:showPercent val="0"/>
          <c:showBubbleSize val="0"/>
        </c:dLbls>
        <c:gapWidth val="246"/>
        <c:overlap val="-28"/>
        <c:axId val="138954461"/>
        <c:axId val="909932896"/>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Sheet1!$A$2:$A$5</c15:sqref>
                        </c15:formulaRef>
                      </c:ext>
                    </c:extLst>
                    <c:strCache>
                      <c:ptCount val="4"/>
                      <c:pt idx="0">
                        <c:v>2020年</c:v>
                      </c:pt>
                      <c:pt idx="1">
                        <c:v>2021年</c:v>
                      </c:pt>
                      <c:pt idx="2">
                        <c:v>2022年</c:v>
                      </c:pt>
                      <c:pt idx="3">
                        <c:v>2023年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389544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9932896"/>
        <c:crosses val="autoZero"/>
        <c:auto val="1"/>
        <c:lblAlgn val="ctr"/>
        <c:lblOffset val="100"/>
        <c:noMultiLvlLbl val="0"/>
      </c:catAx>
      <c:valAx>
        <c:axId val="9099328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954461"/>
        <c:crosses val="autoZero"/>
        <c:crossBetween val="between"/>
      </c:valAx>
      <c:spPr>
        <a:noFill/>
        <a:ln>
          <a:noFill/>
        </a:ln>
        <a:effectLst/>
      </c:spPr>
    </c:plotArea>
    <c:legend>
      <c:legendPos val="b"/>
      <c:layout>
        <c:manualLayout>
          <c:xMode val="edge"/>
          <c:yMode val="edge"/>
          <c:x val="0.336796327615366"/>
          <c:y val="0.9228644283892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9451cb-d8f9-4546-afd4-1324006663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2ad813c1-2ff9-4941-b5d9-c22fbb7c0d9b</errorID>
      <errorWord>－</errorWord>
      <group>L1_Punc</group>
      <groupName>标点问题</groupName>
      <ability>L2_Punc_CN</ability>
      <abilityName>标点符号问题</abilityName>
      <candidateList>
        <item>—</item>
      </candidateList>
      <explain/>
      <paraID>633A18BF</paraID>
      <start>167</start>
      <end>168</end>
      <status>modified</status>
      <modifiedWord>—</modifiedWord>
      <trackRevisions>false</trackRevisions>
    </reviewItem>
    <reviewItem>
      <errorID>17160114-f640-45d6-b7de-bed5763e9d03</errorID>
      <errorWord>农业部</errorWord>
      <group>L1_Knowledge</group>
      <groupName>知识性问题</groupName>
      <ability>L2_Knowledge</ability>
      <abilityName>其他知识</abilityName>
      <candidateList>
        <item>农业农村部</item>
      </candidateList>
      <explain/>
      <paraID>50A46750</paraID>
      <start>1</start>
      <end>4</end>
      <status>ignored</status>
      <modifiedWord/>
      <trackRevisions>false</trackRevisions>
    </reviewItem>
    <reviewItem>
      <errorID>ee38ffa2-c959-4e2b-b36f-12c46fff8ab5</errorID>
      <errorWord>东至</errorWord>
      <group>L1_Word</group>
      <groupName>字词问题</groupName>
      <ability>L2_Typo</ability>
      <abilityName>字词错误</abilityName>
      <candidateList>
        <item>东与</item>
      </candidateList>
      <explain/>
      <paraID>2E0EE869</paraID>
      <start>25</start>
      <end>27</end>
      <status>ignored</status>
      <modifiedWord/>
      <trackRevisions>false</trackRevisions>
    </reviewItem>
    <reviewItem>
      <errorID>78a03cb1-c4e1-4084-b6f8-8384da27457a</errorID>
      <errorWord>开平市</errorWord>
      <group>L1_Word</group>
      <groupName>字词问题</groupName>
      <ability>L2_Typo</ability>
      <abilityName>字词错误</abilityName>
      <candidateList>
        <item>的开平市</item>
      </candidateList>
      <explain/>
      <paraID>2E0EE869</paraID>
      <start>32</start>
      <end>35</end>
      <status>ignored</status>
      <modifiedWord/>
      <trackRevisions>false</trackRevisions>
    </reviewItem>
    <reviewItem>
      <errorID>1937f703-bb14-48cc-a842-f505f4c6bff4</errorID>
      <errorWord>，</errorWord>
      <group>L1_Grammar</group>
      <groupName>语法问题</groupName>
      <ability>L2_Grammar</ability>
      <abilityName>语法错误</abilityName>
      <candidateList>
        <item>接壤，</item>
      </candidateList>
      <explain/>
      <paraID>2E0EE869</paraID>
      <start>39</start>
      <end>42</end>
      <status>modified</status>
      <modifiedWord>接壤，</modifiedWord>
      <trackRevisions>false</trackRevisions>
    </reviewItem>
    <reviewItem>
      <errorID>c4f3b6d4-32b9-4239-bbbd-9e4802eaba25</errorID>
      <errorWord>阳春市</errorWord>
      <group>L1_Word</group>
      <groupName>字词问题</groupName>
      <ability>L2_Typo</ability>
      <abilityName>字词错误</abilityName>
      <candidateList>
        <item>的阳春市</item>
      </candidateList>
      <explain/>
      <paraID>2E0EE869</paraID>
      <start>55</start>
      <end>58</end>
      <status>ignored</status>
      <modifiedWord/>
      <trackRevisions>false</trackRevisions>
    </reviewItem>
    <reviewItem>
      <errorID>30283d73-a6d9-45ab-88a9-626fbf3a2c86</errorID>
      <errorWord>新兴县</errorWord>
      <group>L1_Word</group>
      <groupName>字词问题</groupName>
      <ability>L2_Typo</ability>
      <abilityName>字词错误</abilityName>
      <candidateList>
        <item>的新兴县</item>
      </candidateList>
      <explain/>
      <paraID>2E0EE869</paraID>
      <start>66</start>
      <end>69</end>
      <status>ignored</status>
      <modifiedWord/>
      <trackRevisions>false</trackRevisions>
    </reviewItem>
    <reviewItem>
      <errorID>99738a11-8444-45ef-98d0-80cb8f9767ee</errorID>
      <errorWord> </errorWord>
      <group>L1_Word</group>
      <groupName>字词问题</groupName>
      <ability>L2_Typo</ability>
      <abilityName>字词错误</abilityName>
      <candidateList>
        <item>°</item>
      </candidateList>
      <explain/>
      <paraID>661F7BA6</paraID>
      <start>27</start>
      <end>28</end>
      <status>modified</status>
      <modifiedWord> </modifiedWord>
      <trackRevisions>false</trackRevisions>
    </reviewItem>
    <reviewItem>
      <errorID>0d10f15d-52d4-482e-9402-6f2fb7f49fec</errorID>
      <errorWord> </errorWord>
      <group>L1_Word</group>
      <groupName>字词问题</groupName>
      <ability>L2_Typo</ability>
      <abilityName>字词错误</abilityName>
      <candidateList>
        <item>°</item>
      </candidateList>
      <explain/>
      <paraID>661F7BA6</paraID>
      <start>38</start>
      <end>39</end>
      <status>modified</status>
      <modifiedWord> </modifiedWord>
      <trackRevisions>false</trackRevisions>
    </reviewItem>
    <reviewItem>
      <errorID>c24d07e8-9f76-4081-9f18-e96a4d18c4ad</errorID>
      <errorWord> </errorWord>
      <group>L1_Word</group>
      <groupName>字词问题</groupName>
      <ability>L2_Typo</ability>
      <abilityName>字词错误</abilityName>
      <candidateList>
        <item>°</item>
      </candidateList>
      <explain/>
      <paraID>661F7BA6</paraID>
      <start>50</start>
      <end>51</end>
      <status>modified</status>
      <modifiedWord> </modifiedWord>
      <trackRevisions>false</trackRevisions>
    </reviewItem>
    <reviewItem>
      <errorID>6acdb657-1c28-4f8f-8f34-1dbbe023b907</errorID>
      <errorWord> </errorWord>
      <group>L1_Word</group>
      <groupName>字词问题</groupName>
      <ability>L2_Typo</ability>
      <abilityName>字词错误</abilityName>
      <candidateList>
        <item>°</item>
      </candidateList>
      <explain/>
      <paraID>661F7BA6</paraID>
      <start>60</start>
      <end>61</end>
      <status>modified</status>
      <modifiedWord> </modifiedWord>
      <trackRevisions>false</trackRevisions>
    </reviewItem>
    <reviewItem>
      <errorID>d3c6477e-2ff2-448b-8d25-b4cae66ed816</errorID>
      <errorWord>全市森林覆盖率54.07%</errorWord>
      <group>L1_Other</group>
      <groupName>其他问题</groupName>
      <ability>L2_Consistency</ability>
      <abilityName>一致性检查</abilityName>
      <candidateList>
        <item>森林覆盖率50.03%</item>
      </candidateList>
      <explain>数字一致性错误，前文区域概况记载森林覆盖率54.07%，后文资源与环境部分记载森林覆盖率50.03%，前后数字不一致</explain>
      <paraID>59C2C7BC</paraID>
      <start>127</start>
      <end>140</end>
      <status>ignored</status>
      <modifiedWord/>
      <trackRevisions>false</trackRevisions>
    </reviewItem>
    <reviewItem>
      <errorID>0fb286d3-3488-41a8-9231-cba1e55de448</errorID>
      <errorWord>东南季候风</errorWord>
      <group>L1_Word</group>
      <groupName>字词问题</groupName>
      <ability>L2_Typo</ability>
      <abilityName>字词错误</abilityName>
      <candidateList>
        <item>东南季风</item>
      </candidateList>
      <explain/>
      <paraID>468F9E81</paraID>
      <start>83</start>
      <end>88</end>
      <status>ignored</status>
      <modifiedWord/>
      <trackRevisions>false</trackRevisions>
    </reviewItem>
    <reviewItem>
      <errorID>5f795af9-42b8-4729-b9f6-63f1aaf63da8</errorID>
      <errorWord>哥</errorWord>
      <group>L1_Word</group>
      <groupName>字词问题</groupName>
      <ability>L2_Typo</ability>
      <abilityName>字词错误</abilityName>
      <candidateList>
        <item>琊</item>
      </candidateList>
      <explain/>
      <paraID>44702BFD</paraID>
      <start>1</start>
      <end>2</end>
      <status>ignored</status>
      <modifiedWord/>
      <trackRevisions>false</trackRevisions>
    </reviewItem>
    <reviewItem>
      <errorID>3e6d0781-0a49-48b9-bd20-66db17dc5085</errorID>
      <errorWord>6419m3</errorWord>
      <group>L1_Word</group>
      <groupName>字词问题</groupName>
      <ability>L2_Typo</ability>
      <abilityName>字词错误</abilityName>
      <candidateList>
        <item>6419m³</item>
      </candidateList>
      <explain/>
      <paraID>63F12ECD</paraID>
      <start>57</start>
      <end>63</end>
      <status>modified</status>
      <modifiedWord>6419m³</modifiedWord>
      <trackRevisions>false</trackRevisions>
    </reviewItem>
    <reviewItem>
      <errorID>d9359523-fe4b-42d5-898e-3ee8cbc195a4</errorID>
      <errorWord>2700m3</errorWord>
      <group>L1_Word</group>
      <groupName>字词问题</groupName>
      <ability>L2_Typo</ability>
      <abilityName>字词错误</abilityName>
      <candidateList>
        <item>2700m³</item>
      </candidateList>
      <explain/>
      <paraID>63F12ECD</paraID>
      <start>69</start>
      <end>75</end>
      <status>modified</status>
      <modifiedWord>2700m³</modifiedWord>
      <trackRevisions>false</trackRevisions>
    </reviewItem>
    <reviewItem>
      <errorID>bfcf8c78-548b-41e7-833b-483df5e0c50b</errorID>
      <errorWord>3520m3</errorWord>
      <group>L1_Word</group>
      <groupName>字词问题</groupName>
      <ability>L2_Typo</ability>
      <abilityName>字词错误</abilityName>
      <candidateList>
        <item>3520m³</item>
      </candidateList>
      <explain/>
      <paraID>63F12ECD</paraID>
      <start>85</start>
      <end>91</end>
      <status>modified</status>
      <modifiedWord>3520m³</modifiedWord>
      <trackRevisions>false</trackRevisions>
    </reviewItem>
    <reviewItem>
      <errorID>9a1dbfd7-80bf-446b-9baf-386f99b26b40</errorID>
      <errorWord>增加值达</errorWord>
      <group>L1_Word</group>
      <groupName>字词问题</groupName>
      <ability>L2_Typo</ability>
      <abilityName>字词错误</abilityName>
      <candidateList>
        <item>增加值</item>
      </candidateList>
      <explain/>
      <paraID>4E3D158B</paraID>
      <start>43</start>
      <end>46</end>
      <status>modified</status>
      <modifiedWord>增加值</modifiedWord>
      <trackRevisions>false</trackRevisions>
    </reviewItem>
    <reviewItem>
      <errorID>02aafffb-0891-41e4-8522-d2e5ce3b757c</errorID>
      <errorWord>恩平市</errorWord>
      <group>L1_Word</group>
      <groupName>字词问题</groupName>
      <ability>L2_Typo</ability>
      <abilityName>字词错误</abilityName>
      <candidateList>
        <item> 恩平市</item>
      </candidateList>
      <explain/>
      <paraID>1555C2B4</paraID>
      <start>2</start>
      <end>6</end>
      <status>modified</status>
      <modifiedWord> 恩平市</modifiedWord>
      <trackRevisions>false</trackRevisions>
    </reviewItem>
    <reviewItem>
      <errorID>f31f81e8-d267-414e-ac6b-ac04613d090f</errorID>
      <errorWord>哥</errorWord>
      <group>L1_Word</group>
      <groupName>字词问题</groupName>
      <ability>L2_Typo</ability>
      <abilityName>字词错误</abilityName>
      <candidateList>
        <item>琊</item>
      </candidateList>
      <explain/>
      <paraID>2FA9079F</paraID>
      <start>1</start>
      <end>2</end>
      <status>ignored</status>
      <modifiedWord/>
      <trackRevisions>false</trackRevisions>
    </reviewItem>
    <reviewItem>
      <errorID>05a4b65b-96ab-4622-9df7-9f748bb1b592</errorID>
      <errorWord> </errorWord>
      <group>L1_Punc</group>
      <groupName>标点问题</groupName>
      <ability>L2_Punc_CN</ability>
      <abilityName>标点符号问题</abilityName>
      <candidateList>
        <item/>
      </candidateList>
      <explain>此处空格冗余，建议删除。</explain>
      <paraID> 9FDED3F</paraID>
      <start>2</start>
      <end>2</end>
      <status>modified</status>
      <modifiedWord/>
      <trackRevisions>false</trackRevisions>
    </reviewItem>
    <reviewItem>
      <errorID>05685ea8-1b17-4080-9860-9b3ec9506c84</errorID>
      <errorWord>哥</errorWord>
      <group>L1_Word</group>
      <groupName>字词问题</groupName>
      <ability>L2_Typo</ability>
      <abilityName>字词错误</abilityName>
      <candidateList>
        <item>琊</item>
      </candidateList>
      <explain/>
      <paraID>408AF880</paraID>
      <start>1</start>
      <end>2</end>
      <status>ignored</status>
      <modifiedWord/>
      <trackRevisions>false</trackRevisions>
    </reviewItem>
    <reviewItem>
      <errorID>9b2f3f0f-f708-4d90-88d2-e8c9554c2a54</errorID>
      <errorWord>一定范围内</errorWord>
      <group>L1_Grammar</group>
      <groupName>语法问题</groupName>
      <ability>L2_Grammar</ability>
      <abilityName>语法错误</abilityName>
      <candidateList>
        <item>周围</item>
      </candidateList>
      <explain/>
      <paraID>33EB7F03</paraID>
      <start>60</start>
      <end>65</end>
      <status>ignored</status>
      <modifiedWord/>
      <trackRevisions>false</trackRevisions>
    </reviewItem>
    <reviewItem>
      <errorID>bc937ee3-9f69-48ff-b942-0e4baadbf963</errorID>
      <errorWord>规模化</errorWord>
      <group>L1_Punc</group>
      <groupName>标点问题</groupName>
      <ability>L2_Punc_CN</ability>
      <abilityName>标点符号问题</abilityName>
      <candidateList>
        <item>，规模化</item>
      </candidateList>
      <explain/>
      <paraID>45B7F0C7</paraID>
      <start>24</start>
      <end>28</end>
      <status>modified</status>
      <modifiedWord>，规模化</modifiedWord>
      <trackRevisions>false</trackRevisions>
    </reviewItem>
    <reviewItem>
      <errorID>22f8abf1-f0b4-4cca-b081-f86badd0cb08</errorID>
      <errorWord>建成区范围</errorWord>
      <group>L1_Grammar</group>
      <groupName>语法问题</groupName>
      <ability>L2_Grammar</ability>
      <abilityName>语法错误</abilityName>
      <candidateList>
        <item>建成区</item>
      </candidateList>
      <explain/>
      <paraID>31C1B862</paraID>
      <start>76</start>
      <end>81</end>
      <status>ignored</status>
      <modifiedWord/>
      <trackRevisions>false</trackRevisions>
    </reviewItem>
    <reviewItem>
      <errorID>0d73f851-1532-4532-b708-7f52ff96c8f3</errorID>
      <errorWord>一级水源</errorWord>
      <group>L1_Grammar</group>
      <groupName>语法问题</groupName>
      <ability>L2_Grammar</ability>
      <abilityName>语法错误</abilityName>
      <candidateList>
        <item>一级</item>
      </candidateList>
      <explain/>
      <paraID>680B2073</paraID>
      <start>6</start>
      <end>10</end>
      <status>ignored</status>
      <modifiedWord/>
      <trackRevisions>false</trackRevisions>
    </reviewItem>
    <reviewItem>
      <errorID>d4c48129-37ea-47fe-b27a-f291b7972dcd</errorID>
      <errorWord>范</errorWord>
      <group>L1_Word</group>
      <groupName>字词问题</groupName>
      <ability>L2_Typo</ability>
      <abilityName>字词错误</abilityName>
      <candidateList>
        <item>范围</item>
      </candidateList>
      <explain/>
      <paraID> 78E3216</paraID>
      <start>8</start>
      <end>9</end>
      <status>ignored</status>
      <modifiedWord/>
      <trackRevisions>false</trackRevisions>
    </reviewItem>
    <reviewItem>
      <errorID>d618d1b4-0825-4d12-b20d-cc766d2dca0c</errorID>
      <errorWord>²</errorWord>
      <group>L1_Word</group>
      <groupName>字词问题</groupName>
      <ability>L2_Typo</ability>
      <abilityName>字词错误</abilityName>
      <candidateList>
        <item>³</item>
      </candidateList>
      <explain/>
      <paraID>3EA20F9A</paraID>
      <start>3</start>
      <end>4</end>
      <status>ignored</status>
      <modifiedWord/>
      <trackRevisions>false</trackRevisions>
    </reviewItem>
    <reviewItem>
      <errorID>a69d2acd-18e6-4598-84d9-6cb83e42dcb6</errorID>
      <errorWord>）范围</errorWord>
      <group>L1_Grammar</group>
      <groupName>语法问题</groupName>
      <ability>L2_Grammar</ability>
      <abilityName>语法错误</abilityName>
      <candidateList>
        <item>）</item>
      </candidateList>
      <explain/>
      <paraID>72B8F2C4</paraID>
      <start>201</start>
      <end>204</end>
      <status>ignored</status>
      <modifiedWord/>
      <trackRevisions>false</trackRevisions>
    </reviewItem>
    <reviewItem>
      <errorID>374e33ce-9199-4c19-9e4d-a0ff6a0dcd7f</errorID>
      <errorWord>五马巡</errorWord>
      <group>L1_Word</group>
      <groupName>字词问题</groupName>
      <ability>L2_Typo</ability>
      <abilityName>字词错误</abilityName>
      <candidateList>
        <item>五马</item>
      </candidateList>
      <explain/>
      <paraID>2D4C7E2A</paraID>
      <start>8</start>
      <end>11</end>
      <status>ignored</status>
      <modifiedWord/>
      <trackRevisions>false</trackRevisions>
    </reviewItem>
    <reviewItem>
      <errorID>f5d8c4b2-0f8a-411b-841b-394b4e096e96</errorID>
      <errorWord>（</errorWord>
      <group>L1_Punc</group>
      <groupName>标点问题</groupName>
      <ability>L2_Punc_CN</ability>
      <abilityName>标点符号问题</abilityName>
      <candidateList/>
      <explain>同一形式括号套用。</explain>
      <paraID>41BDC212</paraID>
      <start>41</start>
      <end>42</end>
      <status>ignored</status>
      <modifiedWord/>
      <trackRevisions>false</trackRevisions>
    </reviewItem>
    <reviewItem>
      <errorID>2555d845-b7a7-4557-a57b-e7b3e413b18b</errorID>
      <errorWord>）</errorWord>
      <group>L1_Punc</group>
      <groupName>标点问题</groupName>
      <ability>L2_Punc_CN</ability>
      <abilityName>标点符号问题</abilityName>
      <candidateList/>
      <explain>同一形式括号套用。</explain>
      <paraID>41BDC212</paraID>
      <start>43</start>
      <end>44</end>
      <status>ignored</status>
      <modifiedWord/>
      <trackRevisions>false</trackRevisions>
    </reviewItem>
    <reviewItem>
      <errorID>782d6f55-8f5f-4031-8037-82ed347524c1</errorID>
      <errorWord>大田</errorWord>
      <group>L1_Grammar</group>
      <groupName>语法问题</groupName>
      <ability>L2_Grammar</ability>
      <abilityName>语法错误</abilityName>
      <candidateList>
        <item>流经大田</item>
      </candidateList>
      <explain/>
      <paraID>69C0C368</paraID>
      <start>17</start>
      <end>19</end>
      <status>ignored</status>
      <modifiedWord/>
      <trackRevisions>false</trackRevisions>
    </reviewItem>
    <reviewItem>
      <errorID>8d87f92e-50d6-4d84-bb7d-eed09c43d127</errorID>
      <errorWord>起源于</errorWord>
      <group>L1_Word</group>
      <groupName>字词问题</groupName>
      <ability>L2_Typo</ability>
      <abilityName>字词错误</abilityName>
      <candidateList>
        <item>发源于</item>
      </candidateList>
      <explain/>
      <paraID>17C470E7</paraID>
      <start>26</start>
      <end>29</end>
      <status>ignored</status>
      <modifiedWord/>
      <trackRevisions>false</trackRevisions>
    </reviewItem>
    <reviewItem>
      <errorID>5441bde2-9d67-4e1e-9d80-316d549129a0</errorID>
      <errorWord>哥</errorWord>
      <group>L1_Word</group>
      <groupName>字词问题</groupName>
      <ability>L2_Typo</ability>
      <abilityName>字词错误</abilityName>
      <candidateList>
        <item>琊</item>
      </candidateList>
      <explain/>
      <paraID>7297E0A0</paraID>
      <start>1</start>
      <end>2</end>
      <status>ignored</status>
      <modifiedWord/>
      <trackRevisions>false</trackRevisions>
    </reviewItem>
    <reviewItem>
      <errorID>165be5f9-9acf-4433-89a0-3cb22318bdef</errorID>
      <errorWord>、</errorWord>
      <group>L1_Word</group>
      <groupName>字词问题</groupName>
      <ability>L2_Typo</ability>
      <abilityName>字词错误</abilityName>
      <candidateList>
        <item>，于</item>
      </candidateList>
      <explain/>
      <paraID>48993E16</paraID>
      <start>16</start>
      <end>17</end>
      <status>ignored</status>
      <modifiedWord/>
      <trackRevisions>false</trackRevisions>
    </reviewItem>
    <reviewItem>
      <errorID>97aa0354-ec5c-4a50-941d-d947351749e9</errorID>
      <errorWord>禽畜</errorWord>
      <group>L1_Word</group>
      <groupName>字词问题</groupName>
      <ability>L2_Typo</ability>
      <abilityName>字词错误</abilityName>
      <candidateList>
        <item>畜禽</item>
      </candidateList>
      <explain/>
      <paraID>1643F0C5</paraID>
      <start>0</start>
      <end>2</end>
      <status>modified</status>
      <modifiedWord>畜禽</modifiedWord>
      <trackRevisions>false</trackRevisions>
    </reviewItem>
    <reviewItem>
      <errorID>bc14468a-cf63-4729-ae9b-9382b1f50f53</errorID>
      <errorWord>至</errorWord>
      <group>L1_Word</group>
      <groupName>字词问题</groupName>
      <ability>L2_Typo</ability>
      <abilityName>字词错误</abilityName>
      <candidateList>
        <item>到</item>
      </candidateList>
      <explain/>
      <paraID>63D2C442</paraID>
      <start>31</start>
      <end>32</end>
      <status>ignored</status>
      <modifiedWord/>
      <trackRevisions>false</trackRevisions>
    </reviewItem>
    <reviewItem>
      <errorID>f46f56b5-35af-46c9-bd0f-5d1731c31085</errorID>
      <errorWord>也</errorWord>
      <group>L1_Grammar</group>
      <groupName>语法问题</groupName>
      <ability>L2_Grammar</ability>
      <abilityName>语法错误</abilityName>
      <candidateList>
        <item>该规划也</item>
      </candidateList>
      <explain/>
      <paraID>3812A6B2</paraID>
      <start>75</start>
      <end>76</end>
      <status>ignored</status>
      <modifiedWord/>
      <trackRevisions>false</trackRevisions>
    </reviewItem>
    <reviewItem>
      <errorID>1de682e9-2362-4dba-b4b8-1af040d3494d</errorID>
      <errorWord>86km2</errorWord>
      <group>L1_Word</group>
      <groupName>字词问题</groupName>
      <ability>L2_Typo</ability>
      <abilityName>字词错误</abilityName>
      <candidateList>
        <item>86 km²</item>
      </candidateList>
      <explain/>
      <paraID>5F6DA489</paraID>
      <start>244</start>
      <end>250</end>
      <status>modified</status>
      <modifiedWord>86 km²</modifiedWord>
      <trackRevisions>false</trackRevisions>
    </reviewItem>
    <reviewItem>
      <errorID>deb2a84b-2b0a-4b92-8409-5eb970e0eff5</errorID>
      <errorWord>达到</errorWord>
      <group>L1_Grammar</group>
      <groupName>语法问题</groupName>
      <ability>L2_Grammar</ability>
      <abilityName>语法错误</abilityName>
      <candidateList>
        <item>占全市总存栏量的</item>
      </candidateList>
      <explain/>
      <paraID>7E600E97</paraID>
      <start>76</start>
      <end>84</end>
      <status>modified</status>
      <modifiedWord>占全市总存栏量的</modifiedWord>
      <trackRevisions>false</trackRevisions>
    </reviewItem>
    <reviewItem>
      <errorID>9857ef94-ea4d-41b8-b010-5864357e9ce6</errorID>
      <errorWord>达到</errorWord>
      <group>L1_Grammar</group>
      <groupName>语法问题</groupName>
      <ability>L2_Grammar</ability>
      <abilityName>语法错误</abilityName>
      <candidateList>
        <item>占全市总存栏量的</item>
      </candidateList>
      <explain/>
      <paraID>7E600E97</paraID>
      <start>126</start>
      <end>134</end>
      <status>modified</status>
      <modifiedWord>占全市总存栏量的</modifiedWord>
      <trackRevisions>false</trackRevisions>
    </reviewItem>
    <reviewItem>
      <errorID>f5a1b707-2c5d-4ff2-9916-372ad2c00303</errorID>
      <errorWord>设施</errorWord>
      <group>L1_Grammar</group>
      <groupName>语法问题</groupName>
      <ability>L2_Grammar</ability>
      <abilityName>语法错误</abilityName>
      <candidateList>
        <item>存在设施</item>
      </candidateList>
      <explain/>
      <paraID>22023374</paraID>
      <start>155</start>
      <end>159</end>
      <status>modified</status>
      <modifiedWord>存在设施</modifiedWord>
      <trackRevisions>false</trackRevisions>
    </reviewItem>
    <reviewItem>
      <errorID>ef6dad69-4d47-4260-8858-016e350c6cd3</errorID>
      <errorWord>，</errorWord>
      <group>L1_Punc</group>
      <groupName>标点问题</groupName>
      <ability>L2_Punc_CN</ability>
      <abilityName>标点符号问题</abilityName>
      <candidateList>
        <item>；</item>
      </candidateList>
      <explain/>
      <paraID>22023374</paraID>
      <start>164</start>
      <end>165</end>
      <status>modified</status>
      <modifiedWord>；</modifiedWord>
      <trackRevisions>false</trackRevisions>
    </reviewItem>
    <reviewItem>
      <errorID>8d3ca891-b4a6-4bda-8440-e6317d99a887</errorID>
      <errorWord>针对</errorWord>
      <group>L1_Word</group>
      <groupName>字词问题</groupName>
      <ability>L2_Typo</ability>
      <abilityName>字词错误</abilityName>
      <candidateList>
        <item>对</item>
      </candidateList>
      <explain/>
      <paraID> DB40EC8</paraID>
      <start>91</start>
      <end>92</end>
      <status>modified</status>
      <modifiedWord>对</modifiedWord>
      <trackRevisions>false</trackRevisions>
    </reviewItem>
    <reviewItem>
      <errorID>d371b631-80ed-413b-8421-ad83bc90c439</errorID>
      <errorWord>哥</errorWord>
      <group>L1_Word</group>
      <groupName>字词问题</groupName>
      <ability>L2_Typo</ability>
      <abilityName>字词错误</abilityName>
      <candidateList>
        <item>琊</item>
      </candidateList>
      <explain/>
      <paraID>3A7AE3B5</paraID>
      <start>1</start>
      <end>2</end>
      <status>ignored</status>
      <modifiedWord/>
      <trackRevisions>false</trackRevisions>
    </reviewItem>
    <reviewItem>
      <errorID>f0fe19a3-2029-49f8-8629-b41e095c7000</errorID>
      <errorWord>农业部</errorWord>
      <group>L1_Knowledge</group>
      <groupName>知识性问题</groupName>
      <ability>L2_Organization</ability>
      <abilityName>机构检查</abilityName>
      <candidateList>
        <item>农业农村部</item>
      </candidateList>
      <explain>机关单位全简称表述错误</explain>
      <paraID>72BFD2CD</paraID>
      <start>79</start>
      <end>82</end>
      <status>ignored</status>
      <modifiedWord/>
      <trackRevisions>false</trackRevisions>
    </reviewItem>
    <reviewItem>
      <errorID>ee7ebcbc-260a-4743-96f1-2f335a6c042e</errorID>
      <errorWord>桔</errorWord>
      <group>L1_Word</group>
      <groupName>字词问题</groupName>
      <ability>L2_Typo</ability>
      <abilityName>字词错误</abilityName>
      <candidateList>
        <item>橘</item>
      </candidateList>
      <explain>存在发音相同字词的误用。</explain>
      <paraID>1FE7B4C1</paraID>
      <start>2</start>
      <end>3</end>
      <status>ignored</status>
      <modifiedWord/>
      <trackRevisions>false</trackRevisions>
    </reviewItem>
    <reviewItem>
      <errorID>4f0d6b20-f74f-4ecb-8477-8a9211da0230</errorID>
      <errorWord>“三线一单”生态环境管控</errorWord>
      <group>L1_Political</group>
      <groupName>政治性问题</groupName>
      <ability>L2_Keyword</ability>
      <abilityName>固定表述</abilityName>
      <candidateList>
        <item>“三线一单”生态环境分区管控</item>
      </candidateList>
      <explain>词汇““三线一单”生态环境分区管控”在特定场景下为固定表述形式，请确认此处的““三线一单”生态环境管控”是否存在不当。</explain>
      <paraID>48715D07</paraID>
      <start>7</start>
      <end>21</end>
      <status>modified</status>
      <modifiedWord>“三线一单”生态环境分区管控</modifiedWord>
      <trackRevisions>false</trackRevisions>
    </reviewItem>
    <reviewItem>
      <errorID>3a5d5a1a-f97f-4f4e-a43e-f678fecc75c6</errorID>
      <errorWord>恩平市长</errorWord>
      <group>L1_Political</group>
      <groupName>政治性问题</groupName>
      <ability>L2_Unpolitical</ability>
      <abilityName>政治敏感错误</abilityName>
      <candidateList>
        <item>恩平市市长</item>
      </candidateList>
      <explain/>
      <paraID>74D9A27B</paraID>
      <start>0</start>
      <end>4</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6c7689-809a-467c-a08c-de5b0d9b98a3}">
  <ds:schemaRefs/>
</ds:datastoreItem>
</file>

<file path=customXml/itemProps3.xml><?xml version="1.0" encoding="utf-8"?>
<ds:datastoreItem xmlns:ds="http://schemas.openxmlformats.org/officeDocument/2006/customXml" ds:itemID="{FD35064F-D1CE-4497-BCF9-3B8A1F09F4B5}">
  <ds:schemaRefs/>
</ds:datastoreItem>
</file>

<file path=docProps/app.xml><?xml version="1.0" encoding="utf-8"?>
<Properties xmlns="http://schemas.openxmlformats.org/officeDocument/2006/extended-properties" xmlns:vt="http://schemas.openxmlformats.org/officeDocument/2006/docPropsVTypes">
  <Template>Normal</Template>
  <Pages>99</Pages>
  <Words>6447</Words>
  <Characters>7616</Characters>
  <Lines>538</Lines>
  <Paragraphs>151</Paragraphs>
  <TotalTime>9</TotalTime>
  <ScaleCrop>false</ScaleCrop>
  <LinksUpToDate>false</LinksUpToDate>
  <CharactersWithSpaces>7674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2023-02-03T06:46:00Z</dcterms:created>
  <dc:creator>xx</dc:creator>
  <cp:lastModifiedBy>十年之约</cp:lastModifiedBy>
  <cp:lastPrinted>2024-12-17T00:45:00Z</cp:lastPrinted>
  <dcterms:modified xsi:type="dcterms:W3CDTF">2026-08-20T08:36:01Z</dcterms:modified>
  <cp:revision>1229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eyJoZGlkIjoiOTEwNWViNzQwNjJkOTg5MTVlNTEyMWYxMWYxNWI4MWUiLCJ1c2VySWQiOiIzNzA0NDA1ODIifQ==</vt:lpwstr>
  </property>
  <property fmtid="{D5CDD505-2E9C-101B-9397-08002B2CF9AE}" pid="3" name="KSOProductBuildVer">
    <vt:lpwstr>2052-12.1.0.28043</vt:lpwstr>
  </property>
  <property fmtid="{D5CDD505-2E9C-101B-9397-08002B2CF9AE}" pid="4" name="ICV">
    <vt:lpwstr>FB86110B79CF4CFA8F5D4CD8CE4C4A87_13</vt:lpwstr>
  </property>
</Properties>
</file>