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CB7E3">
      <w:pPr>
        <w:keepNext w:val="0"/>
        <w:keepLines w:val="0"/>
        <w:pageBreakBefore w:val="0"/>
        <w:kinsoku/>
        <w:wordWrap/>
        <w:overflowPunct/>
        <w:topLinePunct w:val="0"/>
        <w:autoSpaceDE/>
        <w:autoSpaceDN/>
        <w:bidi w:val="0"/>
        <w:spacing w:line="520" w:lineRule="exact"/>
        <w:jc w:val="both"/>
        <w:textAlignment w:val="auto"/>
        <w:rPr>
          <w:rFonts w:hint="eastAsia" w:ascii="方正黑体_GBK" w:hAnsi="方正黑体_GBK" w:eastAsia="方正黑体_GBK" w:cs="方正黑体_GBK"/>
          <w:b w:val="0"/>
          <w:bCs/>
          <w:sz w:val="30"/>
          <w:szCs w:val="30"/>
          <w:lang w:val="en-US" w:eastAsia="zh-CN"/>
        </w:rPr>
      </w:pPr>
      <w:r>
        <w:rPr>
          <w:rFonts w:hint="eastAsia" w:ascii="方正黑体_GBK" w:hAnsi="方正黑体_GBK" w:eastAsia="方正黑体_GBK" w:cs="方正黑体_GBK"/>
          <w:b w:val="0"/>
          <w:bCs/>
          <w:sz w:val="30"/>
          <w:szCs w:val="30"/>
          <w:lang w:eastAsia="zh-CN"/>
        </w:rPr>
        <w:t>附件</w:t>
      </w:r>
      <w:r>
        <w:rPr>
          <w:rFonts w:hint="eastAsia" w:ascii="方正黑体_GBK" w:hAnsi="方正黑体_GBK" w:eastAsia="方正黑体_GBK" w:cs="方正黑体_GBK"/>
          <w:b w:val="0"/>
          <w:bCs/>
          <w:sz w:val="30"/>
          <w:szCs w:val="30"/>
          <w:lang w:val="en-US" w:eastAsia="zh-CN"/>
        </w:rPr>
        <w:t>3</w:t>
      </w:r>
    </w:p>
    <w:p w14:paraId="621A2C05">
      <w:pPr>
        <w:keepNext w:val="0"/>
        <w:keepLines w:val="0"/>
        <w:pageBreakBefore w:val="0"/>
        <w:kinsoku/>
        <w:wordWrap/>
        <w:overflowPunct/>
        <w:topLinePunct w:val="0"/>
        <w:autoSpaceDE/>
        <w:autoSpaceDN/>
        <w:bidi w:val="0"/>
        <w:spacing w:line="520" w:lineRule="exact"/>
        <w:jc w:val="both"/>
        <w:textAlignment w:val="auto"/>
        <w:rPr>
          <w:rFonts w:hint="eastAsia" w:ascii="方正黑体_GBK" w:hAnsi="方正黑体_GBK" w:eastAsia="方正黑体_GBK" w:cs="方正黑体_GBK"/>
          <w:b w:val="0"/>
          <w:bCs/>
          <w:sz w:val="32"/>
          <w:szCs w:val="32"/>
          <w:lang w:val="en-US" w:eastAsia="zh-CN"/>
        </w:rPr>
      </w:pPr>
    </w:p>
    <w:p w14:paraId="5F7AA91A">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方正小标宋简体" w:cs="Times New Roman"/>
          <w:b w:val="0"/>
          <w:bCs/>
          <w:sz w:val="36"/>
          <w:szCs w:val="36"/>
          <w:lang w:val="en-US"/>
        </w:rPr>
      </w:pPr>
      <w:r>
        <w:rPr>
          <w:rFonts w:hint="default" w:ascii="Times New Roman" w:hAnsi="Times New Roman" w:eastAsia="方正小标宋简体" w:cs="Times New Roman"/>
          <w:b w:val="0"/>
          <w:bCs/>
          <w:sz w:val="36"/>
          <w:szCs w:val="36"/>
        </w:rPr>
        <w:t>江门市关于开展“百万英才汇南粤”暨2026年“十城百校”秋季招聘活动项目</w:t>
      </w:r>
      <w:r>
        <w:rPr>
          <w:rFonts w:hint="eastAsia" w:ascii="Times New Roman" w:hAnsi="Times New Roman" w:eastAsia="方正小标宋简体" w:cs="Times New Roman"/>
          <w:b w:val="0"/>
          <w:bCs/>
          <w:sz w:val="36"/>
          <w:szCs w:val="36"/>
          <w:lang w:val="en-US" w:eastAsia="zh-CN"/>
        </w:rPr>
        <w:t>考核验收标准</w:t>
      </w:r>
    </w:p>
    <w:p w14:paraId="63705DCC">
      <w:pPr>
        <w:spacing w:line="520" w:lineRule="exact"/>
        <w:rPr>
          <w:sz w:val="36"/>
          <w:szCs w:val="36"/>
        </w:rPr>
      </w:pPr>
      <w:bookmarkStart w:id="0" w:name="_GoBack"/>
      <w:bookmarkEnd w:id="0"/>
    </w:p>
    <w:tbl>
      <w:tblPr>
        <w:tblStyle w:val="5"/>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181"/>
        <w:gridCol w:w="5154"/>
        <w:gridCol w:w="875"/>
        <w:gridCol w:w="733"/>
        <w:gridCol w:w="708"/>
      </w:tblGrid>
      <w:tr w14:paraId="3E5C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507" w:type="dxa"/>
            <w:tcMar>
              <w:top w:w="0" w:type="dxa"/>
              <w:left w:w="105" w:type="dxa"/>
              <w:bottom w:w="0" w:type="dxa"/>
              <w:right w:w="105" w:type="dxa"/>
            </w:tcMar>
            <w:vAlign w:val="center"/>
          </w:tcPr>
          <w:p w14:paraId="2B326B0E">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黑体_GBK" w:cs="方正黑体_GBK"/>
                <w:b w:val="0"/>
                <w:bCs/>
                <w:sz w:val="24"/>
                <w:szCs w:val="24"/>
              </w:rPr>
            </w:pPr>
            <w:r>
              <w:rPr>
                <w:rFonts w:hint="eastAsia" w:ascii="Times New Roman" w:hAnsi="Times New Roman" w:eastAsia="方正黑体_GBK" w:cs="方正黑体_GBK"/>
                <w:b w:val="0"/>
                <w:bCs/>
                <w:sz w:val="24"/>
                <w:szCs w:val="24"/>
              </w:rPr>
              <w:t>序号</w:t>
            </w:r>
          </w:p>
        </w:tc>
        <w:tc>
          <w:tcPr>
            <w:tcW w:w="1181" w:type="dxa"/>
            <w:tcMar>
              <w:top w:w="0" w:type="dxa"/>
              <w:left w:w="105" w:type="dxa"/>
              <w:bottom w:w="0" w:type="dxa"/>
              <w:right w:w="105" w:type="dxa"/>
            </w:tcMar>
            <w:vAlign w:val="center"/>
          </w:tcPr>
          <w:p w14:paraId="49DC2286">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黑体_GBK" w:cs="方正黑体_GBK"/>
                <w:b w:val="0"/>
                <w:bCs/>
                <w:sz w:val="24"/>
                <w:szCs w:val="24"/>
              </w:rPr>
            </w:pPr>
            <w:r>
              <w:rPr>
                <w:rFonts w:hint="eastAsia" w:ascii="Times New Roman" w:hAnsi="Times New Roman" w:eastAsia="方正黑体_GBK" w:cs="方正黑体_GBK"/>
                <w:b w:val="0"/>
                <w:bCs/>
                <w:sz w:val="24"/>
                <w:szCs w:val="24"/>
              </w:rPr>
              <w:t>项目</w:t>
            </w:r>
          </w:p>
        </w:tc>
        <w:tc>
          <w:tcPr>
            <w:tcW w:w="5154" w:type="dxa"/>
            <w:tcMar>
              <w:top w:w="0" w:type="dxa"/>
              <w:left w:w="105" w:type="dxa"/>
              <w:bottom w:w="0" w:type="dxa"/>
              <w:right w:w="105" w:type="dxa"/>
            </w:tcMar>
            <w:vAlign w:val="center"/>
          </w:tcPr>
          <w:p w14:paraId="294C26B8">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center"/>
              <w:textAlignment w:val="auto"/>
              <w:rPr>
                <w:rFonts w:hint="eastAsia" w:ascii="Times New Roman" w:hAnsi="Times New Roman" w:eastAsia="方正黑体_GBK" w:cs="方正黑体_GBK"/>
                <w:b w:val="0"/>
                <w:bCs/>
                <w:sz w:val="24"/>
                <w:szCs w:val="24"/>
              </w:rPr>
            </w:pPr>
            <w:r>
              <w:rPr>
                <w:rFonts w:hint="eastAsia" w:ascii="Times New Roman" w:hAnsi="Times New Roman" w:eastAsia="方正黑体_GBK" w:cs="方正黑体_GBK"/>
                <w:b w:val="0"/>
                <w:bCs/>
                <w:sz w:val="24"/>
                <w:szCs w:val="24"/>
              </w:rPr>
              <w:t>评分要素</w:t>
            </w:r>
          </w:p>
        </w:tc>
        <w:tc>
          <w:tcPr>
            <w:tcW w:w="875" w:type="dxa"/>
            <w:tcMar>
              <w:top w:w="0" w:type="dxa"/>
              <w:left w:w="105" w:type="dxa"/>
              <w:bottom w:w="0" w:type="dxa"/>
              <w:right w:w="105" w:type="dxa"/>
            </w:tcMar>
            <w:vAlign w:val="center"/>
          </w:tcPr>
          <w:p w14:paraId="407BD3AB">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黑体_GBK" w:cs="方正黑体_GBK"/>
                <w:b w:val="0"/>
                <w:bCs/>
                <w:sz w:val="24"/>
                <w:szCs w:val="24"/>
              </w:rPr>
            </w:pPr>
            <w:r>
              <w:rPr>
                <w:rFonts w:hint="eastAsia" w:ascii="Times New Roman" w:hAnsi="Times New Roman" w:eastAsia="方正黑体_GBK" w:cs="方正黑体_GBK"/>
                <w:b w:val="0"/>
                <w:bCs/>
                <w:sz w:val="24"/>
                <w:szCs w:val="24"/>
              </w:rPr>
              <w:t>分值</w:t>
            </w:r>
          </w:p>
        </w:tc>
        <w:tc>
          <w:tcPr>
            <w:tcW w:w="733" w:type="dxa"/>
            <w:tcMar>
              <w:top w:w="0" w:type="dxa"/>
              <w:left w:w="105" w:type="dxa"/>
              <w:bottom w:w="0" w:type="dxa"/>
              <w:right w:w="105" w:type="dxa"/>
            </w:tcMar>
            <w:vAlign w:val="center"/>
          </w:tcPr>
          <w:p w14:paraId="2806587C">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黑体_GBK" w:cs="方正黑体_GBK"/>
                <w:b w:val="0"/>
                <w:bCs/>
                <w:sz w:val="24"/>
                <w:szCs w:val="24"/>
              </w:rPr>
            </w:pPr>
            <w:r>
              <w:rPr>
                <w:rFonts w:hint="eastAsia" w:ascii="Times New Roman" w:hAnsi="Times New Roman" w:eastAsia="方正黑体_GBK" w:cs="方正黑体_GBK"/>
                <w:b w:val="0"/>
                <w:bCs/>
                <w:sz w:val="24"/>
                <w:szCs w:val="24"/>
              </w:rPr>
              <w:t>得分</w:t>
            </w:r>
          </w:p>
        </w:tc>
        <w:tc>
          <w:tcPr>
            <w:tcW w:w="708" w:type="dxa"/>
            <w:tcMar>
              <w:top w:w="0" w:type="dxa"/>
              <w:left w:w="105" w:type="dxa"/>
              <w:bottom w:w="0" w:type="dxa"/>
              <w:right w:w="105" w:type="dxa"/>
            </w:tcMar>
            <w:vAlign w:val="center"/>
          </w:tcPr>
          <w:p w14:paraId="3EE1346E">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黑体_GBK" w:cs="方正黑体_GBK"/>
                <w:b w:val="0"/>
                <w:bCs/>
                <w:sz w:val="24"/>
                <w:szCs w:val="24"/>
              </w:rPr>
            </w:pPr>
            <w:r>
              <w:rPr>
                <w:rFonts w:hint="eastAsia" w:ascii="Times New Roman" w:hAnsi="Times New Roman" w:eastAsia="方正黑体_GBK" w:cs="方正黑体_GBK"/>
                <w:b w:val="0"/>
                <w:bCs/>
                <w:sz w:val="24"/>
                <w:szCs w:val="24"/>
              </w:rPr>
              <w:t>备注</w:t>
            </w:r>
          </w:p>
        </w:tc>
      </w:tr>
      <w:tr w14:paraId="6704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tcMar>
              <w:top w:w="0" w:type="dxa"/>
              <w:left w:w="105" w:type="dxa"/>
              <w:bottom w:w="0" w:type="dxa"/>
              <w:right w:w="105" w:type="dxa"/>
            </w:tcMar>
            <w:vAlign w:val="center"/>
          </w:tcPr>
          <w:p w14:paraId="324ECA16">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c>
          <w:tcPr>
            <w:tcW w:w="1181" w:type="dxa"/>
            <w:tcMar>
              <w:top w:w="0" w:type="dxa"/>
              <w:left w:w="105" w:type="dxa"/>
              <w:bottom w:w="0" w:type="dxa"/>
              <w:right w:w="105" w:type="dxa"/>
            </w:tcMar>
            <w:vAlign w:val="center"/>
          </w:tcPr>
          <w:p w14:paraId="51C630DA">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策划方案</w:t>
            </w:r>
          </w:p>
        </w:tc>
        <w:tc>
          <w:tcPr>
            <w:tcW w:w="5154" w:type="dxa"/>
            <w:tcMar>
              <w:top w:w="0" w:type="dxa"/>
              <w:left w:w="105" w:type="dxa"/>
              <w:bottom w:w="0" w:type="dxa"/>
              <w:right w:w="105" w:type="dxa"/>
            </w:tcMar>
            <w:vAlign w:val="center"/>
          </w:tcPr>
          <w:p w14:paraId="7DB6190D">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制定详细的工作实施方案、人员分工列表和项目推进表。按照方案节点实施和及时报送材料。提供活动实施方案，并经采购人代表同意后方可按方案执行。用人单位招聘海报信息、排位图、会务资料等提前供采购人审核。</w:t>
            </w:r>
          </w:p>
          <w:p w14:paraId="041047BE">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若低于此项要求扣5分。</w:t>
            </w:r>
          </w:p>
        </w:tc>
        <w:tc>
          <w:tcPr>
            <w:tcW w:w="875" w:type="dxa"/>
            <w:tcMar>
              <w:top w:w="0" w:type="dxa"/>
              <w:left w:w="105" w:type="dxa"/>
              <w:bottom w:w="0" w:type="dxa"/>
              <w:right w:w="105" w:type="dxa"/>
            </w:tcMar>
            <w:vAlign w:val="center"/>
          </w:tcPr>
          <w:p w14:paraId="61752B04">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5分</w:t>
            </w:r>
          </w:p>
        </w:tc>
        <w:tc>
          <w:tcPr>
            <w:tcW w:w="733" w:type="dxa"/>
            <w:tcMar>
              <w:top w:w="0" w:type="dxa"/>
              <w:left w:w="105" w:type="dxa"/>
              <w:bottom w:w="0" w:type="dxa"/>
              <w:right w:w="105" w:type="dxa"/>
            </w:tcMar>
            <w:vAlign w:val="center"/>
          </w:tcPr>
          <w:p w14:paraId="0C0A19D9">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51FEA5F4">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6E05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tcMar>
              <w:top w:w="0" w:type="dxa"/>
              <w:left w:w="105" w:type="dxa"/>
              <w:bottom w:w="0" w:type="dxa"/>
              <w:right w:w="105" w:type="dxa"/>
            </w:tcMar>
            <w:vAlign w:val="center"/>
          </w:tcPr>
          <w:p w14:paraId="0E3E1727">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c>
          <w:tcPr>
            <w:tcW w:w="1181" w:type="dxa"/>
            <w:tcMar>
              <w:top w:w="0" w:type="dxa"/>
              <w:left w:w="105" w:type="dxa"/>
              <w:bottom w:w="0" w:type="dxa"/>
              <w:right w:w="105" w:type="dxa"/>
            </w:tcMar>
            <w:vAlign w:val="center"/>
          </w:tcPr>
          <w:p w14:paraId="0F8DD4BF">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应急预案</w:t>
            </w:r>
          </w:p>
        </w:tc>
        <w:tc>
          <w:tcPr>
            <w:tcW w:w="5154" w:type="dxa"/>
            <w:tcMar>
              <w:top w:w="0" w:type="dxa"/>
              <w:left w:w="105" w:type="dxa"/>
              <w:bottom w:w="0" w:type="dxa"/>
              <w:right w:w="105" w:type="dxa"/>
            </w:tcMar>
            <w:vAlign w:val="center"/>
          </w:tcPr>
          <w:p w14:paraId="2D878C3D">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应急预案完备，现场突发情况处置得当。</w:t>
            </w:r>
          </w:p>
          <w:p w14:paraId="4968DFC3">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若低于此项要求扣5分。</w:t>
            </w:r>
          </w:p>
        </w:tc>
        <w:tc>
          <w:tcPr>
            <w:tcW w:w="875" w:type="dxa"/>
            <w:tcMar>
              <w:top w:w="0" w:type="dxa"/>
              <w:left w:w="105" w:type="dxa"/>
              <w:bottom w:w="0" w:type="dxa"/>
              <w:right w:w="105" w:type="dxa"/>
            </w:tcMar>
            <w:vAlign w:val="center"/>
          </w:tcPr>
          <w:p w14:paraId="7CD8FDC0">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5分</w:t>
            </w:r>
          </w:p>
        </w:tc>
        <w:tc>
          <w:tcPr>
            <w:tcW w:w="733" w:type="dxa"/>
            <w:tcMar>
              <w:top w:w="0" w:type="dxa"/>
              <w:left w:w="105" w:type="dxa"/>
              <w:bottom w:w="0" w:type="dxa"/>
              <w:right w:w="105" w:type="dxa"/>
            </w:tcMar>
            <w:vAlign w:val="center"/>
          </w:tcPr>
          <w:p w14:paraId="3609A79B">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2E8E01EC">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3324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7" w:type="dxa"/>
            <w:tcMar>
              <w:top w:w="0" w:type="dxa"/>
              <w:left w:w="105" w:type="dxa"/>
              <w:bottom w:w="0" w:type="dxa"/>
              <w:right w:w="105" w:type="dxa"/>
            </w:tcMar>
            <w:vAlign w:val="center"/>
          </w:tcPr>
          <w:p w14:paraId="6D18ADD8">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p>
        </w:tc>
        <w:tc>
          <w:tcPr>
            <w:tcW w:w="1181" w:type="dxa"/>
            <w:tcMar>
              <w:top w:w="0" w:type="dxa"/>
              <w:left w:w="105" w:type="dxa"/>
              <w:bottom w:w="0" w:type="dxa"/>
              <w:right w:w="105" w:type="dxa"/>
            </w:tcMar>
            <w:vAlign w:val="center"/>
          </w:tcPr>
          <w:p w14:paraId="739C6D9A">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场地布置</w:t>
            </w:r>
          </w:p>
        </w:tc>
        <w:tc>
          <w:tcPr>
            <w:tcW w:w="5154" w:type="dxa"/>
            <w:tcMar>
              <w:top w:w="0" w:type="dxa"/>
              <w:left w:w="105" w:type="dxa"/>
              <w:bottom w:w="0" w:type="dxa"/>
              <w:right w:w="105" w:type="dxa"/>
            </w:tcMar>
            <w:vAlign w:val="center"/>
          </w:tcPr>
          <w:p w14:paraId="5D8DEC2A">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场所能按期提供使用，</w:t>
            </w:r>
            <w:r>
              <w:rPr>
                <w:rFonts w:hint="eastAsia" w:ascii="Times New Roman" w:hAnsi="Times New Roman" w:eastAsia="方正仿宋_GBK" w:cs="方正仿宋_GBK"/>
                <w:sz w:val="24"/>
                <w:szCs w:val="24"/>
                <w:lang w:val="en-US" w:eastAsia="zh-CN"/>
              </w:rPr>
              <w:t>合理划分场地功能区域，</w:t>
            </w:r>
            <w:r>
              <w:rPr>
                <w:rFonts w:hint="eastAsia" w:ascii="Times New Roman" w:hAnsi="Times New Roman" w:eastAsia="方正仿宋_GBK" w:cs="方正仿宋_GBK"/>
                <w:sz w:val="24"/>
                <w:szCs w:val="24"/>
              </w:rPr>
              <w:t>制定现场布展效果图，按照现场布展效果图范本布场。</w:t>
            </w:r>
            <w:r>
              <w:rPr>
                <w:rFonts w:hint="eastAsia" w:ascii="Times New Roman" w:hAnsi="Times New Roman" w:eastAsia="方正仿宋_GBK" w:cs="方正仿宋_GBK"/>
                <w:sz w:val="24"/>
                <w:szCs w:val="24"/>
                <w:lang w:val="en-US" w:eastAsia="zh-CN"/>
              </w:rPr>
              <w:t>招聘活动</w:t>
            </w:r>
            <w:r>
              <w:rPr>
                <w:rFonts w:hint="eastAsia" w:ascii="Times New Roman" w:hAnsi="Times New Roman" w:eastAsia="方正仿宋_GBK" w:cs="方正仿宋_GBK"/>
                <w:sz w:val="24"/>
                <w:szCs w:val="24"/>
              </w:rPr>
              <w:t>会场布置应提前10个小时通知采购人代表现场验收。</w:t>
            </w:r>
          </w:p>
          <w:p w14:paraId="3419D736">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eastAsia="zh-CN"/>
              </w:rPr>
              <w:t>若</w:t>
            </w:r>
            <w:r>
              <w:rPr>
                <w:rFonts w:hint="eastAsia" w:ascii="Times New Roman" w:hAnsi="Times New Roman" w:eastAsia="方正仿宋_GBK" w:cs="方正仿宋_GBK"/>
                <w:sz w:val="24"/>
                <w:szCs w:val="24"/>
              </w:rPr>
              <w:t>招聘会举办前3个小时未能验收通过的扣</w:t>
            </w:r>
            <w:r>
              <w:rPr>
                <w:rFonts w:hint="eastAsia" w:ascii="Times New Roman" w:hAnsi="Times New Roman" w:eastAsia="方正仿宋_GBK" w:cs="方正仿宋_GBK"/>
                <w:sz w:val="24"/>
                <w:szCs w:val="24"/>
                <w:lang w:val="en-US" w:eastAsia="zh-CN"/>
              </w:rPr>
              <w:t>5</w:t>
            </w:r>
            <w:r>
              <w:rPr>
                <w:rFonts w:hint="eastAsia" w:ascii="Times New Roman" w:hAnsi="Times New Roman" w:eastAsia="方正仿宋_GBK" w:cs="方正仿宋_GBK"/>
                <w:sz w:val="24"/>
                <w:szCs w:val="24"/>
              </w:rPr>
              <w:t>分。</w:t>
            </w:r>
          </w:p>
        </w:tc>
        <w:tc>
          <w:tcPr>
            <w:tcW w:w="875" w:type="dxa"/>
            <w:tcMar>
              <w:top w:w="0" w:type="dxa"/>
              <w:left w:w="105" w:type="dxa"/>
              <w:bottom w:w="0" w:type="dxa"/>
              <w:right w:w="105" w:type="dxa"/>
            </w:tcMar>
            <w:vAlign w:val="center"/>
          </w:tcPr>
          <w:p w14:paraId="11510454">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5</w:t>
            </w:r>
            <w:r>
              <w:rPr>
                <w:rFonts w:hint="eastAsia" w:ascii="Times New Roman" w:hAnsi="Times New Roman" w:eastAsia="方正仿宋_GBK" w:cs="方正仿宋_GBK"/>
                <w:sz w:val="24"/>
                <w:szCs w:val="24"/>
              </w:rPr>
              <w:t>分</w:t>
            </w:r>
          </w:p>
        </w:tc>
        <w:tc>
          <w:tcPr>
            <w:tcW w:w="733" w:type="dxa"/>
            <w:tcMar>
              <w:top w:w="0" w:type="dxa"/>
              <w:left w:w="105" w:type="dxa"/>
              <w:bottom w:w="0" w:type="dxa"/>
              <w:right w:w="105" w:type="dxa"/>
            </w:tcMar>
            <w:vAlign w:val="center"/>
          </w:tcPr>
          <w:p w14:paraId="6200FAE5">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446E9F28">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62D1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0" w:hRule="atLeast"/>
          <w:jc w:val="center"/>
        </w:trPr>
        <w:tc>
          <w:tcPr>
            <w:tcW w:w="507" w:type="dxa"/>
            <w:vMerge w:val="restart"/>
            <w:tcMar>
              <w:top w:w="0" w:type="dxa"/>
              <w:left w:w="105" w:type="dxa"/>
              <w:bottom w:w="0" w:type="dxa"/>
              <w:right w:w="105" w:type="dxa"/>
            </w:tcMar>
            <w:vAlign w:val="center"/>
          </w:tcPr>
          <w:p w14:paraId="11BC8B1A">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4</w:t>
            </w:r>
          </w:p>
        </w:tc>
        <w:tc>
          <w:tcPr>
            <w:tcW w:w="1181" w:type="dxa"/>
            <w:vMerge w:val="restart"/>
            <w:tcMar>
              <w:top w:w="0" w:type="dxa"/>
              <w:left w:w="105" w:type="dxa"/>
              <w:bottom w:w="0" w:type="dxa"/>
              <w:right w:w="105" w:type="dxa"/>
            </w:tcMar>
            <w:vAlign w:val="center"/>
          </w:tcPr>
          <w:p w14:paraId="0F844EBD">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组织用人单位、求职者参加招聘会，并做好跟踪反馈。</w:t>
            </w:r>
          </w:p>
        </w:tc>
        <w:tc>
          <w:tcPr>
            <w:tcW w:w="5154" w:type="dxa"/>
            <w:tcMar>
              <w:top w:w="0" w:type="dxa"/>
              <w:left w:w="105" w:type="dxa"/>
              <w:bottom w:w="0" w:type="dxa"/>
              <w:right w:w="105" w:type="dxa"/>
            </w:tcMar>
            <w:vAlign w:val="center"/>
          </w:tcPr>
          <w:p w14:paraId="59054388">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江西地区4场全省示范招聘活动</w:t>
            </w:r>
            <w:r>
              <w:rPr>
                <w:rFonts w:hint="eastAsia" w:ascii="Times New Roman" w:hAnsi="Times New Roman" w:eastAsia="方正仿宋_GBK" w:cs="方正仿宋_GBK"/>
                <w:sz w:val="24"/>
                <w:szCs w:val="24"/>
              </w:rPr>
              <w:t>每场招聘活动须通过线上线下相结合的方式，</w:t>
            </w:r>
            <w:r>
              <w:rPr>
                <w:rFonts w:hint="eastAsia" w:ascii="Times New Roman" w:hAnsi="Times New Roman" w:eastAsia="方正仿宋_GBK" w:cs="方正仿宋_GBK"/>
                <w:sz w:val="24"/>
                <w:szCs w:val="24"/>
                <w:lang w:val="en-US" w:eastAsia="zh-CN"/>
              </w:rPr>
              <w:t>每场活动</w:t>
            </w:r>
            <w:r>
              <w:rPr>
                <w:rFonts w:hint="eastAsia" w:ascii="Times New Roman" w:hAnsi="Times New Roman" w:eastAsia="方正仿宋_GBK" w:cs="方正仿宋_GBK"/>
                <w:sz w:val="24"/>
                <w:szCs w:val="24"/>
              </w:rPr>
              <w:t>确保邀请用人单位总数不少于100家，累计提供有效就业岗位不低于3000个</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其中</w:t>
            </w:r>
            <w:r>
              <w:rPr>
                <w:rFonts w:hint="eastAsia" w:ascii="Times New Roman" w:hAnsi="Times New Roman" w:eastAsia="方正仿宋_GBK" w:cs="方正仿宋_GBK"/>
                <w:b w:val="0"/>
                <w:bCs w:val="0"/>
                <w:sz w:val="24"/>
                <w:szCs w:val="24"/>
                <w:lang w:val="en-US" w:eastAsia="zh-CN"/>
              </w:rPr>
              <w:t>人工智能相关领域岗位数量占岗位总数的10%以上</w:t>
            </w:r>
            <w:r>
              <w:rPr>
                <w:rFonts w:hint="eastAsia" w:ascii="Times New Roman" w:hAnsi="Times New Roman" w:eastAsia="方正仿宋_GBK" w:cs="方正仿宋_GBK"/>
                <w:sz w:val="24"/>
                <w:szCs w:val="24"/>
              </w:rPr>
              <w:t>。</w:t>
            </w:r>
            <w:r>
              <w:rPr>
                <w:rFonts w:hint="eastAsia" w:ascii="Times New Roman" w:hAnsi="Times New Roman" w:eastAsia="方正仿宋_GBK" w:cs="方正仿宋_GBK"/>
                <w:sz w:val="24"/>
                <w:szCs w:val="24"/>
                <w:lang w:val="en-US" w:eastAsia="zh-CN"/>
              </w:rPr>
              <w:t>南昌大学专场</w:t>
            </w:r>
            <w:r>
              <w:rPr>
                <w:rFonts w:hint="eastAsia" w:ascii="Times New Roman" w:hAnsi="Times New Roman" w:eastAsia="方正仿宋_GBK" w:cs="方正仿宋_GBK"/>
                <w:sz w:val="24"/>
                <w:szCs w:val="24"/>
              </w:rPr>
              <w:t>活动现场参聘单位不少于</w:t>
            </w:r>
            <w:r>
              <w:rPr>
                <w:rFonts w:hint="eastAsia" w:ascii="Times New Roman" w:hAnsi="Times New Roman" w:eastAsia="方正仿宋_GBK" w:cs="方正仿宋_GBK"/>
                <w:sz w:val="24"/>
                <w:szCs w:val="24"/>
                <w:highlight w:val="none"/>
              </w:rPr>
              <w:t>50家，</w:t>
            </w:r>
            <w:r>
              <w:rPr>
                <w:rFonts w:hint="eastAsia" w:ascii="Times New Roman" w:hAnsi="Times New Roman" w:eastAsia="方正仿宋_GBK" w:cs="方正仿宋_GBK"/>
                <w:sz w:val="24"/>
                <w:szCs w:val="24"/>
                <w:highlight w:val="none"/>
                <w:lang w:val="en-US" w:eastAsia="zh-CN"/>
              </w:rPr>
              <w:t>江西财经大学专场、南昌航空大学专场、景德镇陶瓷大学专场</w:t>
            </w:r>
            <w:r>
              <w:rPr>
                <w:rFonts w:hint="eastAsia" w:ascii="Times New Roman" w:hAnsi="Times New Roman" w:eastAsia="方正仿宋_GBK" w:cs="方正仿宋_GBK"/>
                <w:sz w:val="24"/>
                <w:szCs w:val="24"/>
                <w:highlight w:val="none"/>
              </w:rPr>
              <w:t>活动现场参聘单位</w:t>
            </w:r>
            <w:r>
              <w:rPr>
                <w:rFonts w:hint="eastAsia" w:ascii="Times New Roman" w:hAnsi="Times New Roman" w:eastAsia="方正仿宋_GBK" w:cs="方正仿宋_GBK"/>
                <w:sz w:val="24"/>
                <w:szCs w:val="24"/>
                <w:highlight w:val="none"/>
                <w:lang w:val="en-US" w:eastAsia="zh-CN"/>
              </w:rPr>
              <w:t>分别</w:t>
            </w:r>
            <w:r>
              <w:rPr>
                <w:rFonts w:hint="eastAsia" w:ascii="Times New Roman" w:hAnsi="Times New Roman" w:eastAsia="方正仿宋_GBK" w:cs="方正仿宋_GBK"/>
                <w:sz w:val="24"/>
                <w:szCs w:val="24"/>
                <w:highlight w:val="none"/>
              </w:rPr>
              <w:t>不少于</w:t>
            </w:r>
            <w:r>
              <w:rPr>
                <w:rFonts w:hint="eastAsia" w:ascii="Times New Roman" w:hAnsi="Times New Roman" w:eastAsia="方正仿宋_GBK" w:cs="方正仿宋_GBK"/>
                <w:sz w:val="24"/>
                <w:szCs w:val="24"/>
                <w:highlight w:val="none"/>
                <w:lang w:val="en-US" w:eastAsia="zh-CN"/>
              </w:rPr>
              <w:t>3</w:t>
            </w:r>
            <w:r>
              <w:rPr>
                <w:rFonts w:hint="eastAsia" w:ascii="Times New Roman" w:hAnsi="Times New Roman" w:eastAsia="方正仿宋_GBK" w:cs="方正仿宋_GBK"/>
                <w:sz w:val="24"/>
                <w:szCs w:val="24"/>
                <w:highlight w:val="none"/>
              </w:rPr>
              <w:t>0家</w:t>
            </w:r>
            <w:r>
              <w:rPr>
                <w:rFonts w:hint="eastAsia" w:ascii="Times New Roman" w:hAnsi="Times New Roman" w:eastAsia="方正仿宋_GBK" w:cs="方正仿宋_GBK"/>
                <w:sz w:val="24"/>
                <w:szCs w:val="24"/>
                <w:highlight w:val="none"/>
                <w:lang w:eastAsia="zh-CN"/>
              </w:rPr>
              <w:t>，</w:t>
            </w:r>
            <w:r>
              <w:rPr>
                <w:rFonts w:hint="eastAsia" w:ascii="Times New Roman" w:hAnsi="Times New Roman" w:eastAsia="方正仿宋_GBK" w:cs="方正仿宋_GBK"/>
                <w:sz w:val="24"/>
                <w:szCs w:val="24"/>
                <w:highlight w:val="none"/>
                <w:lang w:val="en-US" w:eastAsia="zh-CN"/>
              </w:rPr>
              <w:t>江门市用人单位/江门市外广东省内用人单位≦1</w:t>
            </w:r>
            <w:r>
              <w:rPr>
                <w:rFonts w:hint="eastAsia" w:ascii="Times New Roman" w:hAnsi="Times New Roman" w:eastAsia="方正仿宋_GBK" w:cs="方正仿宋_GBK"/>
                <w:sz w:val="24"/>
                <w:szCs w:val="24"/>
              </w:rPr>
              <w:t>。</w:t>
            </w:r>
          </w:p>
          <w:p w14:paraId="4B52C392">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w:t>
            </w:r>
            <w:r>
              <w:rPr>
                <w:rFonts w:hint="eastAsia" w:ascii="Times New Roman" w:hAnsi="Times New Roman" w:eastAsia="方正仿宋_GBK" w:cs="方正仿宋_GBK"/>
                <w:b w:val="0"/>
                <w:bCs w:val="0"/>
                <w:sz w:val="24"/>
                <w:szCs w:val="24"/>
                <w:lang w:val="en-US" w:eastAsia="zh-CN"/>
              </w:rPr>
              <w:t>人工智能相关领域岗位数量占比低于此项要求，扣2分；</w:t>
            </w:r>
            <w:r>
              <w:rPr>
                <w:rFonts w:hint="eastAsia" w:ascii="Times New Roman" w:hAnsi="Times New Roman" w:eastAsia="方正仿宋_GBK" w:cs="方正仿宋_GBK"/>
                <w:sz w:val="24"/>
                <w:szCs w:val="24"/>
              </w:rPr>
              <w:t>若</w:t>
            </w:r>
            <w:r>
              <w:rPr>
                <w:rFonts w:hint="eastAsia" w:ascii="Times New Roman" w:hAnsi="Times New Roman" w:eastAsia="方正仿宋_GBK" w:cs="方正仿宋_GBK"/>
                <w:b w:val="0"/>
                <w:bCs w:val="0"/>
                <w:sz w:val="24"/>
                <w:szCs w:val="24"/>
                <w:lang w:val="en-US" w:eastAsia="zh-CN"/>
              </w:rPr>
              <w:t>市内、市外单位比例未达要求，扣2分；若用人单位数量</w:t>
            </w:r>
            <w:r>
              <w:rPr>
                <w:rFonts w:hint="eastAsia" w:ascii="Times New Roman" w:hAnsi="Times New Roman" w:eastAsia="方正仿宋_GBK" w:cs="方正仿宋_GBK"/>
                <w:sz w:val="24"/>
                <w:szCs w:val="24"/>
              </w:rPr>
              <w:t>低于此项要求</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rPr>
              <w:t>扣</w:t>
            </w:r>
            <w:r>
              <w:rPr>
                <w:rFonts w:hint="eastAsia" w:ascii="Times New Roman" w:hAnsi="Times New Roman" w:eastAsia="方正仿宋_GBK" w:cs="方正仿宋_GBK"/>
                <w:sz w:val="24"/>
                <w:szCs w:val="24"/>
                <w:lang w:val="en-US" w:eastAsia="zh-CN"/>
              </w:rPr>
              <w:t>10分。</w:t>
            </w:r>
          </w:p>
        </w:tc>
        <w:tc>
          <w:tcPr>
            <w:tcW w:w="875" w:type="dxa"/>
            <w:tcMar>
              <w:top w:w="0" w:type="dxa"/>
              <w:left w:w="105" w:type="dxa"/>
              <w:bottom w:w="0" w:type="dxa"/>
              <w:right w:w="105" w:type="dxa"/>
            </w:tcMar>
            <w:vAlign w:val="center"/>
          </w:tcPr>
          <w:p w14:paraId="4AE24707">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10分</w:t>
            </w:r>
          </w:p>
        </w:tc>
        <w:tc>
          <w:tcPr>
            <w:tcW w:w="733" w:type="dxa"/>
            <w:vMerge w:val="restart"/>
            <w:tcMar>
              <w:top w:w="0" w:type="dxa"/>
              <w:left w:w="105" w:type="dxa"/>
              <w:bottom w:w="0" w:type="dxa"/>
              <w:right w:w="105" w:type="dxa"/>
            </w:tcMar>
            <w:vAlign w:val="center"/>
          </w:tcPr>
          <w:p w14:paraId="26EEC443">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vMerge w:val="restart"/>
            <w:tcMar>
              <w:top w:w="0" w:type="dxa"/>
              <w:left w:w="105" w:type="dxa"/>
              <w:bottom w:w="0" w:type="dxa"/>
              <w:right w:w="105" w:type="dxa"/>
            </w:tcMar>
            <w:vAlign w:val="center"/>
          </w:tcPr>
          <w:p w14:paraId="0684B1B7">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2080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507" w:type="dxa"/>
            <w:vMerge w:val="continue"/>
            <w:tcMar>
              <w:top w:w="0" w:type="dxa"/>
              <w:left w:w="105" w:type="dxa"/>
              <w:bottom w:w="0" w:type="dxa"/>
              <w:right w:w="105" w:type="dxa"/>
            </w:tcMar>
            <w:vAlign w:val="center"/>
          </w:tcPr>
          <w:p w14:paraId="356B550C">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sz w:val="24"/>
                <w:szCs w:val="24"/>
              </w:rPr>
            </w:pPr>
          </w:p>
        </w:tc>
        <w:tc>
          <w:tcPr>
            <w:tcW w:w="1181" w:type="dxa"/>
            <w:vMerge w:val="continue"/>
            <w:tcMar>
              <w:top w:w="0" w:type="dxa"/>
              <w:left w:w="105" w:type="dxa"/>
              <w:bottom w:w="0" w:type="dxa"/>
              <w:right w:w="105" w:type="dxa"/>
            </w:tcMar>
            <w:vAlign w:val="center"/>
          </w:tcPr>
          <w:p w14:paraId="74726773">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sz w:val="24"/>
                <w:szCs w:val="24"/>
              </w:rPr>
            </w:pPr>
          </w:p>
        </w:tc>
        <w:tc>
          <w:tcPr>
            <w:tcW w:w="5154" w:type="dxa"/>
            <w:tcMar>
              <w:top w:w="0" w:type="dxa"/>
              <w:left w:w="105" w:type="dxa"/>
              <w:bottom w:w="0" w:type="dxa"/>
              <w:right w:w="105" w:type="dxa"/>
            </w:tcMar>
            <w:vAlign w:val="center"/>
          </w:tcPr>
          <w:p w14:paraId="78BB3867">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江西地区全省示范招聘活动</w:t>
            </w:r>
            <w:r>
              <w:rPr>
                <w:rFonts w:hint="eastAsia" w:ascii="Times New Roman" w:hAnsi="Times New Roman" w:eastAsia="方正仿宋_GBK" w:cs="方正仿宋_GBK"/>
                <w:sz w:val="24"/>
                <w:szCs w:val="24"/>
              </w:rPr>
              <w:t>每场</w:t>
            </w:r>
            <w:r>
              <w:rPr>
                <w:rFonts w:hint="eastAsia" w:ascii="Times New Roman" w:hAnsi="Times New Roman" w:eastAsia="方正仿宋_GBK" w:cs="方正仿宋_GBK"/>
                <w:sz w:val="24"/>
                <w:szCs w:val="24"/>
                <w:lang w:eastAsia="zh-CN"/>
              </w:rPr>
              <w:t>需</w:t>
            </w:r>
            <w:r>
              <w:rPr>
                <w:rFonts w:hint="eastAsia" w:ascii="Times New Roman" w:hAnsi="Times New Roman" w:eastAsia="方正仿宋_GBK" w:cs="方正仿宋_GBK"/>
                <w:sz w:val="24"/>
                <w:szCs w:val="24"/>
              </w:rPr>
              <w:t>发动不少于1家人力资源机构携岗位参加现场招聘。</w:t>
            </w:r>
          </w:p>
          <w:p w14:paraId="262A83F8">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视情况最高</w:t>
            </w:r>
            <w:r>
              <w:rPr>
                <w:rFonts w:hint="eastAsia" w:ascii="Times New Roman" w:hAnsi="Times New Roman" w:eastAsia="方正仿宋_GBK" w:cs="方正仿宋_GBK"/>
                <w:sz w:val="24"/>
                <w:szCs w:val="24"/>
              </w:rPr>
              <w:t>扣</w:t>
            </w:r>
            <w:r>
              <w:rPr>
                <w:rFonts w:hint="eastAsia" w:ascii="Times New Roman" w:hAnsi="Times New Roman" w:eastAsia="方正仿宋_GBK" w:cs="方正仿宋_GBK"/>
                <w:sz w:val="24"/>
                <w:szCs w:val="24"/>
                <w:lang w:val="en-US" w:eastAsia="zh-CN"/>
              </w:rPr>
              <w:t>2</w:t>
            </w:r>
            <w:r>
              <w:rPr>
                <w:rFonts w:hint="eastAsia" w:ascii="Times New Roman" w:hAnsi="Times New Roman" w:eastAsia="方正仿宋_GBK" w:cs="方正仿宋_GBK"/>
                <w:sz w:val="24"/>
                <w:szCs w:val="24"/>
              </w:rPr>
              <w:t>分</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单场活动低于要求的，扣0.5分/场）</w:t>
            </w:r>
            <w:r>
              <w:rPr>
                <w:rFonts w:hint="eastAsia" w:ascii="Times New Roman" w:hAnsi="Times New Roman" w:eastAsia="方正仿宋_GBK" w:cs="方正仿宋_GBK"/>
                <w:sz w:val="24"/>
                <w:szCs w:val="24"/>
              </w:rPr>
              <w:t>。</w:t>
            </w:r>
          </w:p>
        </w:tc>
        <w:tc>
          <w:tcPr>
            <w:tcW w:w="875" w:type="dxa"/>
            <w:tcMar>
              <w:top w:w="0" w:type="dxa"/>
              <w:left w:w="105" w:type="dxa"/>
              <w:bottom w:w="0" w:type="dxa"/>
              <w:right w:w="105" w:type="dxa"/>
            </w:tcMar>
            <w:vAlign w:val="center"/>
          </w:tcPr>
          <w:p w14:paraId="665360D2">
            <w:pPr>
              <w:pStyle w:val="7"/>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2分</w:t>
            </w:r>
          </w:p>
        </w:tc>
        <w:tc>
          <w:tcPr>
            <w:tcW w:w="733" w:type="dxa"/>
            <w:vMerge w:val="continue"/>
            <w:tcMar>
              <w:top w:w="0" w:type="dxa"/>
              <w:left w:w="105" w:type="dxa"/>
              <w:bottom w:w="0" w:type="dxa"/>
              <w:right w:w="105" w:type="dxa"/>
            </w:tcMar>
            <w:vAlign w:val="center"/>
          </w:tcPr>
          <w:p w14:paraId="2AE7ACF1">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p>
        </w:tc>
        <w:tc>
          <w:tcPr>
            <w:tcW w:w="708" w:type="dxa"/>
            <w:vMerge w:val="continue"/>
            <w:tcMar>
              <w:top w:w="0" w:type="dxa"/>
              <w:left w:w="105" w:type="dxa"/>
              <w:bottom w:w="0" w:type="dxa"/>
              <w:right w:w="105" w:type="dxa"/>
            </w:tcMar>
            <w:vAlign w:val="center"/>
          </w:tcPr>
          <w:p w14:paraId="1E08D3A0">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p>
        </w:tc>
      </w:tr>
      <w:tr w14:paraId="044A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0" w:hRule="atLeast"/>
          <w:jc w:val="center"/>
        </w:trPr>
        <w:tc>
          <w:tcPr>
            <w:tcW w:w="507" w:type="dxa"/>
            <w:vMerge w:val="continue"/>
            <w:vAlign w:val="center"/>
          </w:tcPr>
          <w:p w14:paraId="26ED0C25">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1181" w:type="dxa"/>
            <w:vMerge w:val="continue"/>
            <w:vAlign w:val="center"/>
          </w:tcPr>
          <w:p w14:paraId="12B3004D">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5154" w:type="dxa"/>
            <w:tcMar>
              <w:top w:w="0" w:type="dxa"/>
              <w:left w:w="105" w:type="dxa"/>
              <w:bottom w:w="0" w:type="dxa"/>
              <w:right w:w="105" w:type="dxa"/>
            </w:tcMar>
            <w:vAlign w:val="center"/>
          </w:tcPr>
          <w:p w14:paraId="5A778AE0">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每场地方特色招聘活动现场参聘单位不少于10家，且先进制造、新能源、新材料、信息技术、生物医药、食品、金属制品等紧缺专业岗位占比不低于70%；每场政校企对接活动现场参加用人单位不少于3家。</w:t>
            </w:r>
          </w:p>
          <w:p w14:paraId="681C5860">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rPr>
              <w:t>若低于此项要求</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视情况最高</w:t>
            </w:r>
            <w:r>
              <w:rPr>
                <w:rFonts w:hint="eastAsia" w:ascii="Times New Roman" w:hAnsi="Times New Roman" w:eastAsia="方正仿宋_GBK" w:cs="方正仿宋_GBK"/>
                <w:sz w:val="24"/>
                <w:szCs w:val="24"/>
              </w:rPr>
              <w:t>扣</w:t>
            </w:r>
            <w:r>
              <w:rPr>
                <w:rFonts w:hint="eastAsia" w:ascii="Times New Roman" w:hAnsi="Times New Roman" w:eastAsia="方正仿宋_GBK" w:cs="方正仿宋_GBK"/>
                <w:sz w:val="24"/>
                <w:szCs w:val="24"/>
                <w:lang w:val="en-US" w:eastAsia="zh-CN"/>
              </w:rPr>
              <w:t>5</w:t>
            </w:r>
            <w:r>
              <w:rPr>
                <w:rFonts w:hint="eastAsia" w:ascii="Times New Roman" w:hAnsi="Times New Roman" w:eastAsia="方正仿宋_GBK" w:cs="方正仿宋_GBK"/>
                <w:sz w:val="24"/>
                <w:szCs w:val="24"/>
              </w:rPr>
              <w:t>分</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单场活动低于要求的，扣0.5分/场）</w:t>
            </w:r>
            <w:r>
              <w:rPr>
                <w:rFonts w:hint="eastAsia" w:ascii="Times New Roman" w:hAnsi="Times New Roman" w:eastAsia="方正仿宋_GBK" w:cs="方正仿宋_GBK"/>
                <w:sz w:val="24"/>
                <w:szCs w:val="24"/>
              </w:rPr>
              <w:t>。</w:t>
            </w:r>
          </w:p>
        </w:tc>
        <w:tc>
          <w:tcPr>
            <w:tcW w:w="875" w:type="dxa"/>
            <w:tcMar>
              <w:top w:w="0" w:type="dxa"/>
              <w:left w:w="105" w:type="dxa"/>
              <w:bottom w:w="0" w:type="dxa"/>
              <w:right w:w="105" w:type="dxa"/>
            </w:tcMar>
            <w:vAlign w:val="center"/>
          </w:tcPr>
          <w:p w14:paraId="070B9C95">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5分</w:t>
            </w:r>
          </w:p>
        </w:tc>
        <w:tc>
          <w:tcPr>
            <w:tcW w:w="733" w:type="dxa"/>
            <w:vMerge w:val="restart"/>
            <w:tcMar>
              <w:top w:w="0" w:type="dxa"/>
              <w:left w:w="105" w:type="dxa"/>
              <w:bottom w:w="0" w:type="dxa"/>
              <w:right w:w="105" w:type="dxa"/>
            </w:tcMar>
            <w:vAlign w:val="center"/>
          </w:tcPr>
          <w:p w14:paraId="5E4BDDCD">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vMerge w:val="restart"/>
            <w:tcMar>
              <w:top w:w="0" w:type="dxa"/>
              <w:left w:w="105" w:type="dxa"/>
              <w:bottom w:w="0" w:type="dxa"/>
              <w:right w:w="105" w:type="dxa"/>
            </w:tcMar>
            <w:vAlign w:val="center"/>
          </w:tcPr>
          <w:p w14:paraId="1831156A">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7CA0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0" w:hRule="atLeast"/>
          <w:jc w:val="center"/>
        </w:trPr>
        <w:tc>
          <w:tcPr>
            <w:tcW w:w="507" w:type="dxa"/>
            <w:vMerge w:val="continue"/>
            <w:vAlign w:val="center"/>
          </w:tcPr>
          <w:p w14:paraId="3571A633">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sz w:val="24"/>
                <w:szCs w:val="24"/>
              </w:rPr>
            </w:pPr>
          </w:p>
        </w:tc>
        <w:tc>
          <w:tcPr>
            <w:tcW w:w="1181" w:type="dxa"/>
            <w:vMerge w:val="continue"/>
            <w:vAlign w:val="center"/>
          </w:tcPr>
          <w:p w14:paraId="5A4ECE46">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sz w:val="24"/>
                <w:szCs w:val="24"/>
              </w:rPr>
            </w:pPr>
          </w:p>
        </w:tc>
        <w:tc>
          <w:tcPr>
            <w:tcW w:w="5154" w:type="dxa"/>
            <w:tcMar>
              <w:top w:w="0" w:type="dxa"/>
              <w:left w:w="105" w:type="dxa"/>
              <w:bottom w:w="0" w:type="dxa"/>
              <w:right w:w="105" w:type="dxa"/>
            </w:tcMar>
            <w:vAlign w:val="center"/>
          </w:tcPr>
          <w:p w14:paraId="7A33E857">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江西以外9个地区的全省示范招聘活动，确保每个地区均有不少于3家江门市用人单位报名现场招聘活动。</w:t>
            </w:r>
          </w:p>
          <w:p w14:paraId="01FCAFAE">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视情况最高</w:t>
            </w:r>
            <w:r>
              <w:rPr>
                <w:rFonts w:hint="eastAsia" w:ascii="Times New Roman" w:hAnsi="Times New Roman" w:eastAsia="方正仿宋_GBK" w:cs="方正仿宋_GBK"/>
                <w:sz w:val="24"/>
                <w:szCs w:val="24"/>
              </w:rPr>
              <w:t>扣</w:t>
            </w:r>
            <w:r>
              <w:rPr>
                <w:rFonts w:hint="eastAsia" w:ascii="Times New Roman" w:hAnsi="Times New Roman" w:eastAsia="方正仿宋_GBK" w:cs="方正仿宋_GBK"/>
                <w:sz w:val="24"/>
                <w:szCs w:val="24"/>
                <w:lang w:val="en-US" w:eastAsia="zh-CN"/>
              </w:rPr>
              <w:t>4</w:t>
            </w:r>
            <w:r>
              <w:rPr>
                <w:rFonts w:hint="eastAsia" w:ascii="Times New Roman" w:hAnsi="Times New Roman" w:eastAsia="方正仿宋_GBK" w:cs="方正仿宋_GBK"/>
                <w:sz w:val="24"/>
                <w:szCs w:val="24"/>
              </w:rPr>
              <w:t>分</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单场活动低于要求的，扣0.5分/场）</w:t>
            </w:r>
            <w:r>
              <w:rPr>
                <w:rFonts w:hint="eastAsia" w:ascii="Times New Roman" w:hAnsi="Times New Roman" w:eastAsia="方正仿宋_GBK" w:cs="方正仿宋_GBK"/>
                <w:sz w:val="24"/>
                <w:szCs w:val="24"/>
              </w:rPr>
              <w:t>。</w:t>
            </w:r>
          </w:p>
        </w:tc>
        <w:tc>
          <w:tcPr>
            <w:tcW w:w="875" w:type="dxa"/>
            <w:tcMar>
              <w:top w:w="0" w:type="dxa"/>
              <w:left w:w="105" w:type="dxa"/>
              <w:bottom w:w="0" w:type="dxa"/>
              <w:right w:w="105" w:type="dxa"/>
            </w:tcMar>
            <w:vAlign w:val="center"/>
          </w:tcPr>
          <w:p w14:paraId="7A625563">
            <w:pPr>
              <w:pStyle w:val="7"/>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4分</w:t>
            </w:r>
          </w:p>
        </w:tc>
        <w:tc>
          <w:tcPr>
            <w:tcW w:w="733" w:type="dxa"/>
            <w:vMerge w:val="continue"/>
            <w:tcMar>
              <w:top w:w="0" w:type="dxa"/>
              <w:left w:w="105" w:type="dxa"/>
              <w:bottom w:w="0" w:type="dxa"/>
              <w:right w:w="105" w:type="dxa"/>
            </w:tcMar>
            <w:vAlign w:val="center"/>
          </w:tcPr>
          <w:p w14:paraId="4711B90C">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p>
        </w:tc>
        <w:tc>
          <w:tcPr>
            <w:tcW w:w="708" w:type="dxa"/>
            <w:vMerge w:val="continue"/>
            <w:tcMar>
              <w:top w:w="0" w:type="dxa"/>
              <w:left w:w="105" w:type="dxa"/>
              <w:bottom w:w="0" w:type="dxa"/>
              <w:right w:w="105" w:type="dxa"/>
            </w:tcMar>
            <w:vAlign w:val="center"/>
          </w:tcPr>
          <w:p w14:paraId="25868F92">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p>
        </w:tc>
      </w:tr>
      <w:tr w14:paraId="2B39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vMerge w:val="continue"/>
            <w:vAlign w:val="center"/>
          </w:tcPr>
          <w:p w14:paraId="099DD2F0">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1181" w:type="dxa"/>
            <w:vMerge w:val="continue"/>
            <w:vAlign w:val="center"/>
          </w:tcPr>
          <w:p w14:paraId="64196AA4">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5154" w:type="dxa"/>
            <w:tcMar>
              <w:top w:w="0" w:type="dxa"/>
              <w:left w:w="105" w:type="dxa"/>
              <w:bottom w:w="0" w:type="dxa"/>
              <w:right w:w="105" w:type="dxa"/>
            </w:tcMar>
            <w:vAlign w:val="center"/>
          </w:tcPr>
          <w:p w14:paraId="68A00BF6">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做好用人单位参聘组织。包括但不限于建立招聘专项工作小组、对接联系参聘单位、指导发布招聘需求，负责报名用人单位资质与招聘岗位初审，确保信息真实、完整有效、薪酬符合主办方要求，指导用人单位规范招聘信息，避免出现就业岐视内容，协助更新或补正信息，整理最终参会招聘信息、校核拟输出的招聘海报等。</w:t>
            </w:r>
            <w:r>
              <w:rPr>
                <w:rFonts w:hint="eastAsia" w:ascii="Times New Roman" w:hAnsi="Times New Roman" w:eastAsia="方正仿宋_GBK" w:cs="方正仿宋_GBK"/>
                <w:sz w:val="24"/>
                <w:szCs w:val="24"/>
                <w:lang w:eastAsia="zh-CN"/>
              </w:rPr>
              <w:t>招聘会结束后，</w:t>
            </w:r>
            <w:r>
              <w:rPr>
                <w:rFonts w:hint="eastAsia" w:ascii="Times New Roman" w:hAnsi="Times New Roman" w:eastAsia="方正仿宋_GBK" w:cs="方正仿宋_GBK"/>
                <w:sz w:val="24"/>
                <w:szCs w:val="24"/>
              </w:rPr>
              <w:t>负责收回参会单位招聘活动反馈表</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rPr>
              <w:t>跟踪供需对接成效</w:t>
            </w:r>
            <w:r>
              <w:rPr>
                <w:rFonts w:hint="eastAsia" w:ascii="Times New Roman" w:hAnsi="Times New Roman" w:eastAsia="方正仿宋_GBK" w:cs="方正仿宋_GBK"/>
                <w:sz w:val="24"/>
                <w:szCs w:val="24"/>
                <w:lang w:eastAsia="zh-CN"/>
              </w:rPr>
              <w:t>（需按采购人要求跟踪一段时期）</w:t>
            </w:r>
            <w:r>
              <w:rPr>
                <w:rFonts w:hint="eastAsia" w:ascii="Times New Roman" w:hAnsi="Times New Roman" w:eastAsia="方正仿宋_GBK" w:cs="方正仿宋_GBK"/>
                <w:sz w:val="24"/>
                <w:szCs w:val="24"/>
              </w:rPr>
              <w:t>，并做好统计分析、台账管理工作。</w:t>
            </w:r>
          </w:p>
          <w:p w14:paraId="1FD4E0F3">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w:t>
            </w:r>
            <w:r>
              <w:rPr>
                <w:rFonts w:hint="eastAsia" w:ascii="Times New Roman" w:hAnsi="Times New Roman" w:eastAsia="方正仿宋_GBK" w:cs="方正仿宋_GBK"/>
                <w:sz w:val="24"/>
                <w:szCs w:val="24"/>
                <w:lang w:eastAsia="zh-CN"/>
              </w:rPr>
              <w:t>视情况</w:t>
            </w:r>
            <w:r>
              <w:rPr>
                <w:rFonts w:hint="eastAsia" w:ascii="Times New Roman" w:hAnsi="Times New Roman" w:eastAsia="方正仿宋_GBK" w:cs="方正仿宋_GBK"/>
                <w:sz w:val="24"/>
                <w:szCs w:val="24"/>
              </w:rPr>
              <w:t>扣</w:t>
            </w:r>
            <w:r>
              <w:rPr>
                <w:rFonts w:hint="eastAsia" w:ascii="Times New Roman" w:hAnsi="Times New Roman" w:eastAsia="方正仿宋_GBK" w:cs="方正仿宋_GBK"/>
                <w:sz w:val="24"/>
                <w:szCs w:val="24"/>
                <w:lang w:val="en-US" w:eastAsia="zh-CN"/>
              </w:rPr>
              <w:t>1-5</w:t>
            </w:r>
            <w:r>
              <w:rPr>
                <w:rFonts w:hint="eastAsia" w:ascii="Times New Roman" w:hAnsi="Times New Roman" w:eastAsia="方正仿宋_GBK" w:cs="方正仿宋_GBK"/>
                <w:sz w:val="24"/>
                <w:szCs w:val="24"/>
              </w:rPr>
              <w:t>分；若收到相关单位有效投诉每条扣</w:t>
            </w:r>
            <w:r>
              <w:rPr>
                <w:rFonts w:hint="eastAsia" w:ascii="Times New Roman" w:hAnsi="Times New Roman" w:eastAsia="方正仿宋_GBK" w:cs="方正仿宋_GBK"/>
                <w:sz w:val="24"/>
                <w:szCs w:val="24"/>
                <w:lang w:val="en-US" w:eastAsia="zh-CN"/>
              </w:rPr>
              <w:t>1</w:t>
            </w:r>
            <w:r>
              <w:rPr>
                <w:rFonts w:hint="eastAsia" w:ascii="Times New Roman" w:hAnsi="Times New Roman" w:eastAsia="方正仿宋_GBK" w:cs="方正仿宋_GBK"/>
                <w:sz w:val="24"/>
                <w:szCs w:val="24"/>
              </w:rPr>
              <w:t>分，扣完</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8分）</w:t>
            </w:r>
            <w:r>
              <w:rPr>
                <w:rFonts w:hint="eastAsia" w:ascii="Times New Roman" w:hAnsi="Times New Roman" w:eastAsia="方正仿宋_GBK" w:cs="方正仿宋_GBK"/>
                <w:sz w:val="24"/>
                <w:szCs w:val="24"/>
              </w:rPr>
              <w:t>为止。</w:t>
            </w:r>
          </w:p>
        </w:tc>
        <w:tc>
          <w:tcPr>
            <w:tcW w:w="875" w:type="dxa"/>
            <w:tcMar>
              <w:top w:w="0" w:type="dxa"/>
              <w:left w:w="105" w:type="dxa"/>
              <w:bottom w:w="0" w:type="dxa"/>
              <w:right w:w="105" w:type="dxa"/>
            </w:tcMar>
            <w:vAlign w:val="center"/>
          </w:tcPr>
          <w:p w14:paraId="1F4E34A0">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8</w:t>
            </w:r>
            <w:r>
              <w:rPr>
                <w:rFonts w:hint="eastAsia" w:ascii="Times New Roman" w:hAnsi="Times New Roman" w:eastAsia="方正仿宋_GBK" w:cs="方正仿宋_GBK"/>
                <w:sz w:val="24"/>
                <w:szCs w:val="24"/>
              </w:rPr>
              <w:t>分</w:t>
            </w:r>
          </w:p>
        </w:tc>
        <w:tc>
          <w:tcPr>
            <w:tcW w:w="733" w:type="dxa"/>
            <w:tcMar>
              <w:top w:w="0" w:type="dxa"/>
              <w:left w:w="105" w:type="dxa"/>
              <w:bottom w:w="0" w:type="dxa"/>
              <w:right w:w="105" w:type="dxa"/>
            </w:tcMar>
            <w:vAlign w:val="center"/>
          </w:tcPr>
          <w:p w14:paraId="3C40A9AF">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5D613FD2">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31D8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jc w:val="center"/>
        </w:trPr>
        <w:tc>
          <w:tcPr>
            <w:tcW w:w="507" w:type="dxa"/>
            <w:vMerge w:val="restart"/>
            <w:tcMar>
              <w:top w:w="0" w:type="dxa"/>
              <w:left w:w="105" w:type="dxa"/>
              <w:bottom w:w="0" w:type="dxa"/>
              <w:right w:w="105" w:type="dxa"/>
            </w:tcMar>
            <w:vAlign w:val="center"/>
          </w:tcPr>
          <w:p w14:paraId="1BCE2723">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5</w:t>
            </w:r>
          </w:p>
        </w:tc>
        <w:tc>
          <w:tcPr>
            <w:tcW w:w="1181" w:type="dxa"/>
            <w:vMerge w:val="restart"/>
            <w:tcMar>
              <w:top w:w="0" w:type="dxa"/>
              <w:left w:w="105" w:type="dxa"/>
              <w:bottom w:w="0" w:type="dxa"/>
              <w:right w:w="105" w:type="dxa"/>
            </w:tcMar>
            <w:vAlign w:val="center"/>
          </w:tcPr>
          <w:p w14:paraId="5DE0DA1F">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合作对接</w:t>
            </w:r>
          </w:p>
        </w:tc>
        <w:tc>
          <w:tcPr>
            <w:tcW w:w="5154" w:type="dxa"/>
            <w:tcMar>
              <w:top w:w="0" w:type="dxa"/>
              <w:left w:w="105" w:type="dxa"/>
              <w:bottom w:w="0" w:type="dxa"/>
              <w:right w:w="105" w:type="dxa"/>
            </w:tcMar>
            <w:vAlign w:val="center"/>
          </w:tcPr>
          <w:p w14:paraId="0DD9C823">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项目整体落实不少于100名学子</w:t>
            </w:r>
            <w:r>
              <w:rPr>
                <w:rFonts w:hint="eastAsia" w:ascii="Times New Roman" w:hAnsi="Times New Roman" w:eastAsia="方正仿宋_GBK" w:cs="方正仿宋_GBK"/>
                <w:sz w:val="24"/>
                <w:szCs w:val="24"/>
                <w:lang w:val="en-US" w:eastAsia="zh-CN"/>
              </w:rPr>
              <w:t>与江门市用人单位现场签约</w:t>
            </w:r>
            <w:r>
              <w:rPr>
                <w:rFonts w:hint="eastAsia" w:ascii="Times New Roman" w:hAnsi="Times New Roman" w:eastAsia="方正仿宋_GBK" w:cs="方正仿宋_GBK"/>
                <w:sz w:val="24"/>
                <w:szCs w:val="24"/>
              </w:rPr>
              <w:t>。</w:t>
            </w:r>
          </w:p>
          <w:p w14:paraId="31161C96">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若签约</w:t>
            </w:r>
            <w:r>
              <w:rPr>
                <w:rFonts w:hint="eastAsia" w:ascii="Times New Roman" w:hAnsi="Times New Roman" w:eastAsia="方正仿宋_GBK" w:cs="方正仿宋_GBK"/>
                <w:sz w:val="24"/>
                <w:szCs w:val="24"/>
                <w:lang w:eastAsia="zh-CN"/>
              </w:rPr>
              <w:t>数</w:t>
            </w:r>
            <w:r>
              <w:rPr>
                <w:rFonts w:hint="eastAsia" w:ascii="Times New Roman" w:hAnsi="Times New Roman" w:eastAsia="方正仿宋_GBK" w:cs="方正仿宋_GBK"/>
                <w:sz w:val="24"/>
                <w:szCs w:val="24"/>
                <w:lang w:val="en-US" w:eastAsia="zh-CN"/>
              </w:rPr>
              <w:t>达不到要求的</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每少5人扣1分，最高扣10</w:t>
            </w:r>
            <w:r>
              <w:rPr>
                <w:rFonts w:hint="eastAsia" w:ascii="Times New Roman" w:hAnsi="Times New Roman" w:eastAsia="方正仿宋_GBK" w:cs="方正仿宋_GBK"/>
                <w:sz w:val="24"/>
                <w:szCs w:val="24"/>
              </w:rPr>
              <w:t>分</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如</w:t>
            </w:r>
            <w:r>
              <w:rPr>
                <w:rFonts w:hint="eastAsia" w:ascii="Times New Roman" w:hAnsi="Times New Roman" w:eastAsia="方正仿宋_GBK" w:cs="方正仿宋_GBK"/>
                <w:sz w:val="24"/>
                <w:szCs w:val="24"/>
              </w:rPr>
              <w:t>签约</w:t>
            </w:r>
            <w:r>
              <w:rPr>
                <w:rFonts w:hint="eastAsia" w:ascii="Times New Roman" w:hAnsi="Times New Roman" w:eastAsia="方正仿宋_GBK" w:cs="方正仿宋_GBK"/>
                <w:sz w:val="24"/>
                <w:szCs w:val="24"/>
                <w:lang w:eastAsia="zh-CN"/>
              </w:rPr>
              <w:t>数</w:t>
            </w:r>
            <w:r>
              <w:rPr>
                <w:rFonts w:hint="eastAsia" w:ascii="Times New Roman" w:hAnsi="Times New Roman" w:eastAsia="方正仿宋_GBK" w:cs="方正仿宋_GBK"/>
                <w:sz w:val="24"/>
                <w:szCs w:val="24"/>
                <w:lang w:val="en-US" w:eastAsia="zh-CN"/>
              </w:rPr>
              <w:t>低于50人的，扣10分）</w:t>
            </w:r>
            <w:r>
              <w:rPr>
                <w:rFonts w:hint="eastAsia" w:ascii="Times New Roman" w:hAnsi="Times New Roman" w:eastAsia="方正仿宋_GBK" w:cs="方正仿宋_GBK"/>
                <w:sz w:val="24"/>
                <w:szCs w:val="24"/>
                <w:lang w:eastAsia="zh-CN"/>
              </w:rPr>
              <w:t>。</w:t>
            </w:r>
          </w:p>
        </w:tc>
        <w:tc>
          <w:tcPr>
            <w:tcW w:w="875" w:type="dxa"/>
            <w:tcMar>
              <w:top w:w="0" w:type="dxa"/>
              <w:left w:w="105" w:type="dxa"/>
              <w:bottom w:w="0" w:type="dxa"/>
              <w:right w:w="105" w:type="dxa"/>
            </w:tcMar>
            <w:vAlign w:val="center"/>
          </w:tcPr>
          <w:p w14:paraId="143BFB1F">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r>
              <w:rPr>
                <w:rFonts w:hint="eastAsia" w:ascii="Times New Roman" w:hAnsi="Times New Roman" w:eastAsia="方正仿宋_GBK" w:cs="方正仿宋_GBK"/>
                <w:sz w:val="24"/>
                <w:szCs w:val="24"/>
                <w:lang w:val="en-US" w:eastAsia="zh-CN"/>
              </w:rPr>
              <w:t>0</w:t>
            </w:r>
            <w:r>
              <w:rPr>
                <w:rFonts w:hint="eastAsia" w:ascii="Times New Roman" w:hAnsi="Times New Roman" w:eastAsia="方正仿宋_GBK" w:cs="方正仿宋_GBK"/>
                <w:sz w:val="24"/>
                <w:szCs w:val="24"/>
              </w:rPr>
              <w:t>分</w:t>
            </w:r>
          </w:p>
        </w:tc>
        <w:tc>
          <w:tcPr>
            <w:tcW w:w="733" w:type="dxa"/>
            <w:vMerge w:val="restart"/>
            <w:tcMar>
              <w:top w:w="0" w:type="dxa"/>
              <w:left w:w="105" w:type="dxa"/>
              <w:bottom w:w="0" w:type="dxa"/>
              <w:right w:w="105" w:type="dxa"/>
            </w:tcMar>
            <w:vAlign w:val="center"/>
          </w:tcPr>
          <w:p w14:paraId="2D45D11E">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vMerge w:val="restart"/>
            <w:tcMar>
              <w:top w:w="0" w:type="dxa"/>
              <w:left w:w="105" w:type="dxa"/>
              <w:bottom w:w="0" w:type="dxa"/>
              <w:right w:w="105" w:type="dxa"/>
            </w:tcMar>
            <w:vAlign w:val="center"/>
          </w:tcPr>
          <w:p w14:paraId="36552711">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4F9E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jc w:val="center"/>
        </w:trPr>
        <w:tc>
          <w:tcPr>
            <w:tcW w:w="507" w:type="dxa"/>
            <w:vMerge w:val="continue"/>
            <w:tcMar>
              <w:top w:w="0" w:type="dxa"/>
              <w:left w:w="105" w:type="dxa"/>
              <w:bottom w:w="0" w:type="dxa"/>
              <w:right w:w="105" w:type="dxa"/>
            </w:tcMar>
            <w:vAlign w:val="center"/>
          </w:tcPr>
          <w:p w14:paraId="7815BEF0">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1181" w:type="dxa"/>
            <w:vMerge w:val="continue"/>
            <w:tcMar>
              <w:top w:w="0" w:type="dxa"/>
              <w:left w:w="105" w:type="dxa"/>
              <w:bottom w:w="0" w:type="dxa"/>
              <w:right w:w="105" w:type="dxa"/>
            </w:tcMar>
            <w:vAlign w:val="center"/>
          </w:tcPr>
          <w:p w14:paraId="4DD82E49">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5154" w:type="dxa"/>
            <w:tcMar>
              <w:top w:w="0" w:type="dxa"/>
              <w:left w:w="105" w:type="dxa"/>
              <w:bottom w:w="0" w:type="dxa"/>
              <w:right w:w="105" w:type="dxa"/>
            </w:tcMar>
            <w:vAlign w:val="center"/>
          </w:tcPr>
          <w:p w14:paraId="72D0F1C0">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活动期间推动不少于15项目校企（校地）合作签约。</w:t>
            </w:r>
          </w:p>
          <w:p w14:paraId="201A46F5">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eastAsia="zh-CN"/>
              </w:rPr>
              <w:t>若</w:t>
            </w:r>
            <w:r>
              <w:rPr>
                <w:rFonts w:hint="eastAsia" w:ascii="Times New Roman" w:hAnsi="Times New Roman" w:eastAsia="方正仿宋_GBK" w:cs="方正仿宋_GBK"/>
                <w:sz w:val="24"/>
                <w:szCs w:val="24"/>
                <w:lang w:val="en-US" w:eastAsia="zh-CN"/>
              </w:rPr>
              <w:t>校企（校地）</w:t>
            </w:r>
            <w:r>
              <w:rPr>
                <w:rFonts w:hint="eastAsia" w:ascii="Times New Roman" w:hAnsi="Times New Roman" w:eastAsia="方正仿宋_GBK" w:cs="方正仿宋_GBK"/>
                <w:sz w:val="24"/>
                <w:szCs w:val="24"/>
              </w:rPr>
              <w:t>合作签约</w:t>
            </w:r>
            <w:r>
              <w:rPr>
                <w:rFonts w:hint="eastAsia" w:ascii="Times New Roman" w:hAnsi="Times New Roman" w:eastAsia="方正仿宋_GBK" w:cs="方正仿宋_GBK"/>
                <w:sz w:val="24"/>
                <w:szCs w:val="24"/>
                <w:lang w:eastAsia="zh-CN"/>
              </w:rPr>
              <w:t>数</w:t>
            </w:r>
            <w:r>
              <w:rPr>
                <w:rFonts w:hint="eastAsia" w:ascii="Times New Roman" w:hAnsi="Times New Roman" w:eastAsia="方正仿宋_GBK" w:cs="方正仿宋_GBK"/>
                <w:sz w:val="24"/>
                <w:szCs w:val="24"/>
                <w:lang w:val="en-US" w:eastAsia="zh-CN"/>
              </w:rPr>
              <w:t>达不要求的，每少1项扣0.5分，最高扣5</w:t>
            </w:r>
            <w:r>
              <w:rPr>
                <w:rFonts w:hint="eastAsia" w:ascii="Times New Roman" w:hAnsi="Times New Roman" w:eastAsia="方正仿宋_GBK" w:cs="方正仿宋_GBK"/>
                <w:sz w:val="24"/>
                <w:szCs w:val="24"/>
              </w:rPr>
              <w:t>分</w:t>
            </w:r>
            <w:r>
              <w:rPr>
                <w:rFonts w:hint="eastAsia" w:ascii="Times New Roman" w:hAnsi="Times New Roman" w:eastAsia="方正仿宋_GBK" w:cs="方正仿宋_GBK"/>
                <w:sz w:val="24"/>
                <w:szCs w:val="24"/>
                <w:lang w:val="en-US" w:eastAsia="zh-CN"/>
              </w:rPr>
              <w:t>。</w:t>
            </w:r>
          </w:p>
        </w:tc>
        <w:tc>
          <w:tcPr>
            <w:tcW w:w="875" w:type="dxa"/>
            <w:tcMar>
              <w:top w:w="0" w:type="dxa"/>
              <w:left w:w="105" w:type="dxa"/>
              <w:bottom w:w="0" w:type="dxa"/>
              <w:right w:w="105" w:type="dxa"/>
            </w:tcMar>
            <w:vAlign w:val="center"/>
          </w:tcPr>
          <w:p w14:paraId="49BD522A">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5分</w:t>
            </w:r>
          </w:p>
        </w:tc>
        <w:tc>
          <w:tcPr>
            <w:tcW w:w="733" w:type="dxa"/>
            <w:vMerge w:val="continue"/>
            <w:tcMar>
              <w:top w:w="0" w:type="dxa"/>
              <w:left w:w="105" w:type="dxa"/>
              <w:bottom w:w="0" w:type="dxa"/>
              <w:right w:w="105" w:type="dxa"/>
            </w:tcMar>
            <w:vAlign w:val="center"/>
          </w:tcPr>
          <w:p w14:paraId="233CF785">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vMerge w:val="continue"/>
            <w:tcMar>
              <w:top w:w="0" w:type="dxa"/>
              <w:left w:w="105" w:type="dxa"/>
              <w:bottom w:w="0" w:type="dxa"/>
              <w:right w:w="105" w:type="dxa"/>
            </w:tcMar>
            <w:vAlign w:val="center"/>
          </w:tcPr>
          <w:p w14:paraId="7C8F5BF7">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62C1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jc w:val="center"/>
        </w:trPr>
        <w:tc>
          <w:tcPr>
            <w:tcW w:w="507" w:type="dxa"/>
            <w:vMerge w:val="continue"/>
            <w:tcMar>
              <w:top w:w="0" w:type="dxa"/>
              <w:left w:w="105" w:type="dxa"/>
              <w:bottom w:w="0" w:type="dxa"/>
              <w:right w:w="105" w:type="dxa"/>
            </w:tcMar>
            <w:vAlign w:val="center"/>
          </w:tcPr>
          <w:p w14:paraId="6FB6D656">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1181" w:type="dxa"/>
            <w:vMerge w:val="continue"/>
            <w:tcMar>
              <w:top w:w="0" w:type="dxa"/>
              <w:left w:w="105" w:type="dxa"/>
              <w:bottom w:w="0" w:type="dxa"/>
              <w:right w:w="105" w:type="dxa"/>
            </w:tcMar>
            <w:vAlign w:val="center"/>
          </w:tcPr>
          <w:p w14:paraId="45058750">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5154" w:type="dxa"/>
            <w:tcMar>
              <w:top w:w="0" w:type="dxa"/>
              <w:left w:w="105" w:type="dxa"/>
              <w:bottom w:w="0" w:type="dxa"/>
              <w:right w:w="105" w:type="dxa"/>
            </w:tcMar>
            <w:vAlign w:val="center"/>
          </w:tcPr>
          <w:p w14:paraId="5D51608E">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在11个活动地区分别举办1场学子座谈会，共举办11场活动。</w:t>
            </w:r>
          </w:p>
          <w:p w14:paraId="28A65C20">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eastAsia="zh-CN"/>
              </w:rPr>
            </w:pPr>
            <w:r>
              <w:rPr>
                <w:rFonts w:hint="eastAsia" w:ascii="Times New Roman" w:hAnsi="Times New Roman" w:eastAsia="方正仿宋_GBK" w:cs="方正仿宋_GBK"/>
                <w:sz w:val="24"/>
                <w:szCs w:val="24"/>
                <w:lang w:eastAsia="zh-CN"/>
              </w:rPr>
              <w:t>若</w:t>
            </w:r>
            <w:r>
              <w:rPr>
                <w:rFonts w:hint="eastAsia" w:ascii="Times New Roman" w:hAnsi="Times New Roman" w:eastAsia="方正仿宋_GBK" w:cs="方正仿宋_GBK"/>
                <w:sz w:val="24"/>
                <w:szCs w:val="24"/>
                <w:lang w:val="en-US" w:eastAsia="zh-CN"/>
              </w:rPr>
              <w:t>低于此项要求扣2分。</w:t>
            </w:r>
          </w:p>
        </w:tc>
        <w:tc>
          <w:tcPr>
            <w:tcW w:w="875" w:type="dxa"/>
            <w:tcMar>
              <w:top w:w="0" w:type="dxa"/>
              <w:left w:w="105" w:type="dxa"/>
              <w:bottom w:w="0" w:type="dxa"/>
              <w:right w:w="105" w:type="dxa"/>
            </w:tcMar>
            <w:vAlign w:val="center"/>
          </w:tcPr>
          <w:p w14:paraId="6281D8AB">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2分</w:t>
            </w:r>
          </w:p>
        </w:tc>
        <w:tc>
          <w:tcPr>
            <w:tcW w:w="733" w:type="dxa"/>
            <w:vMerge w:val="continue"/>
            <w:tcMar>
              <w:top w:w="0" w:type="dxa"/>
              <w:left w:w="105" w:type="dxa"/>
              <w:bottom w:w="0" w:type="dxa"/>
              <w:right w:w="105" w:type="dxa"/>
            </w:tcMar>
            <w:vAlign w:val="center"/>
          </w:tcPr>
          <w:p w14:paraId="09AA496B">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vMerge w:val="continue"/>
            <w:tcMar>
              <w:top w:w="0" w:type="dxa"/>
              <w:left w:w="105" w:type="dxa"/>
              <w:bottom w:w="0" w:type="dxa"/>
              <w:right w:w="105" w:type="dxa"/>
            </w:tcMar>
            <w:vAlign w:val="center"/>
          </w:tcPr>
          <w:p w14:paraId="089B9FA6">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7087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507" w:type="dxa"/>
            <w:vMerge w:val="continue"/>
            <w:tcMar>
              <w:top w:w="0" w:type="dxa"/>
              <w:left w:w="105" w:type="dxa"/>
              <w:bottom w:w="0" w:type="dxa"/>
              <w:right w:w="105" w:type="dxa"/>
            </w:tcMar>
            <w:vAlign w:val="center"/>
          </w:tcPr>
          <w:p w14:paraId="75E49E49">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sz w:val="24"/>
                <w:szCs w:val="24"/>
              </w:rPr>
            </w:pPr>
          </w:p>
        </w:tc>
        <w:tc>
          <w:tcPr>
            <w:tcW w:w="1181" w:type="dxa"/>
            <w:vMerge w:val="continue"/>
            <w:tcMar>
              <w:top w:w="0" w:type="dxa"/>
              <w:left w:w="105" w:type="dxa"/>
              <w:bottom w:w="0" w:type="dxa"/>
              <w:right w:w="105" w:type="dxa"/>
            </w:tcMar>
            <w:vAlign w:val="center"/>
          </w:tcPr>
          <w:p w14:paraId="7819B281">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sz w:val="24"/>
                <w:szCs w:val="24"/>
              </w:rPr>
            </w:pPr>
          </w:p>
        </w:tc>
        <w:tc>
          <w:tcPr>
            <w:tcW w:w="5154" w:type="dxa"/>
            <w:tcMar>
              <w:top w:w="0" w:type="dxa"/>
              <w:left w:w="105" w:type="dxa"/>
              <w:bottom w:w="0" w:type="dxa"/>
              <w:right w:w="105" w:type="dxa"/>
            </w:tcMar>
            <w:vAlign w:val="center"/>
          </w:tcPr>
          <w:p w14:paraId="57EA871C">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活动期间，邀约不少于50名学子担任“百万英才汇南粤”校园大使。</w:t>
            </w:r>
          </w:p>
          <w:p w14:paraId="1DDEA74B">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若校园大使人数低于此项要求，每少1人扣0.5分，最高扣5</w:t>
            </w:r>
            <w:r>
              <w:rPr>
                <w:rFonts w:hint="eastAsia" w:ascii="Times New Roman" w:hAnsi="Times New Roman" w:eastAsia="方正仿宋_GBK" w:cs="方正仿宋_GBK"/>
                <w:sz w:val="24"/>
                <w:szCs w:val="24"/>
              </w:rPr>
              <w:t>分</w:t>
            </w:r>
            <w:r>
              <w:rPr>
                <w:rFonts w:hint="eastAsia" w:ascii="Times New Roman" w:hAnsi="Times New Roman" w:eastAsia="方正仿宋_GBK" w:cs="方正仿宋_GBK"/>
                <w:sz w:val="24"/>
                <w:szCs w:val="24"/>
                <w:lang w:val="en-US" w:eastAsia="zh-CN"/>
              </w:rPr>
              <w:t>。</w:t>
            </w:r>
          </w:p>
        </w:tc>
        <w:tc>
          <w:tcPr>
            <w:tcW w:w="875" w:type="dxa"/>
            <w:tcMar>
              <w:top w:w="0" w:type="dxa"/>
              <w:left w:w="105" w:type="dxa"/>
              <w:bottom w:w="0" w:type="dxa"/>
              <w:right w:w="105" w:type="dxa"/>
            </w:tcMar>
            <w:vAlign w:val="center"/>
          </w:tcPr>
          <w:p w14:paraId="60C6CBDA">
            <w:pPr>
              <w:pStyle w:val="7"/>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5分</w:t>
            </w:r>
          </w:p>
        </w:tc>
        <w:tc>
          <w:tcPr>
            <w:tcW w:w="733" w:type="dxa"/>
            <w:vMerge w:val="continue"/>
            <w:tcMar>
              <w:top w:w="0" w:type="dxa"/>
              <w:left w:w="105" w:type="dxa"/>
              <w:bottom w:w="0" w:type="dxa"/>
              <w:right w:w="105" w:type="dxa"/>
            </w:tcMar>
            <w:vAlign w:val="center"/>
          </w:tcPr>
          <w:p w14:paraId="0F27F2A1">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p>
        </w:tc>
        <w:tc>
          <w:tcPr>
            <w:tcW w:w="708" w:type="dxa"/>
            <w:vMerge w:val="continue"/>
            <w:tcMar>
              <w:top w:w="0" w:type="dxa"/>
              <w:left w:w="105" w:type="dxa"/>
              <w:bottom w:w="0" w:type="dxa"/>
              <w:right w:w="105" w:type="dxa"/>
            </w:tcMar>
            <w:vAlign w:val="center"/>
          </w:tcPr>
          <w:p w14:paraId="59F38A6C">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p>
        </w:tc>
      </w:tr>
      <w:tr w14:paraId="3630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tcMar>
              <w:top w:w="0" w:type="dxa"/>
              <w:left w:w="105" w:type="dxa"/>
              <w:bottom w:w="0" w:type="dxa"/>
              <w:right w:w="105" w:type="dxa"/>
            </w:tcMar>
            <w:vAlign w:val="center"/>
          </w:tcPr>
          <w:p w14:paraId="6D0661FF">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6</w:t>
            </w:r>
          </w:p>
        </w:tc>
        <w:tc>
          <w:tcPr>
            <w:tcW w:w="1181" w:type="dxa"/>
            <w:tcMar>
              <w:top w:w="0" w:type="dxa"/>
              <w:left w:w="105" w:type="dxa"/>
              <w:bottom w:w="0" w:type="dxa"/>
              <w:right w:w="105" w:type="dxa"/>
            </w:tcMar>
            <w:vAlign w:val="center"/>
          </w:tcPr>
          <w:p w14:paraId="2C74F52A">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宣传推广</w:t>
            </w:r>
          </w:p>
        </w:tc>
        <w:tc>
          <w:tcPr>
            <w:tcW w:w="5154" w:type="dxa"/>
            <w:tcMar>
              <w:top w:w="0" w:type="dxa"/>
              <w:left w:w="105" w:type="dxa"/>
              <w:bottom w:w="0" w:type="dxa"/>
              <w:right w:w="105" w:type="dxa"/>
            </w:tcMar>
            <w:vAlign w:val="center"/>
          </w:tcPr>
          <w:p w14:paraId="77E708AA">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rPr>
              <w:t>按照项目指标和内容完成有关宣传推广工作</w:t>
            </w:r>
            <w:r>
              <w:rPr>
                <w:rFonts w:hint="eastAsia" w:ascii="Times New Roman" w:hAnsi="Times New Roman" w:eastAsia="方正仿宋_GBK" w:cs="方正仿宋_GBK"/>
                <w:sz w:val="24"/>
                <w:szCs w:val="24"/>
                <w:lang w:val="en-US" w:eastAsia="zh-CN"/>
              </w:rPr>
              <w:t>。</w:t>
            </w:r>
          </w:p>
          <w:p w14:paraId="7E9317EB">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w:t>
            </w:r>
            <w:r>
              <w:rPr>
                <w:rFonts w:hint="eastAsia" w:ascii="Times New Roman" w:hAnsi="Times New Roman" w:eastAsia="方正仿宋_GBK" w:cs="方正仿宋_GBK"/>
                <w:sz w:val="24"/>
                <w:szCs w:val="24"/>
                <w:lang w:eastAsia="zh-CN"/>
              </w:rPr>
              <w:t>要求</w:t>
            </w:r>
            <w:r>
              <w:rPr>
                <w:rFonts w:hint="eastAsia" w:ascii="Times New Roman" w:hAnsi="Times New Roman" w:eastAsia="方正仿宋_GBK" w:cs="方正仿宋_GBK"/>
                <w:sz w:val="24"/>
                <w:szCs w:val="24"/>
              </w:rPr>
              <w:t>，则视实际情况扣1-</w:t>
            </w:r>
            <w:r>
              <w:rPr>
                <w:rFonts w:hint="eastAsia" w:ascii="Times New Roman" w:hAnsi="Times New Roman" w:eastAsia="方正仿宋_GBK" w:cs="方正仿宋_GBK"/>
                <w:sz w:val="24"/>
                <w:szCs w:val="24"/>
                <w:lang w:val="en-US" w:eastAsia="zh-CN"/>
              </w:rPr>
              <w:t>5</w:t>
            </w:r>
            <w:r>
              <w:rPr>
                <w:rFonts w:hint="eastAsia" w:ascii="Times New Roman" w:hAnsi="Times New Roman" w:eastAsia="方正仿宋_GBK" w:cs="方正仿宋_GBK"/>
                <w:sz w:val="24"/>
                <w:szCs w:val="24"/>
              </w:rPr>
              <w:t>分。</w:t>
            </w:r>
          </w:p>
        </w:tc>
        <w:tc>
          <w:tcPr>
            <w:tcW w:w="875" w:type="dxa"/>
            <w:tcMar>
              <w:top w:w="0" w:type="dxa"/>
              <w:left w:w="105" w:type="dxa"/>
              <w:bottom w:w="0" w:type="dxa"/>
              <w:right w:w="105" w:type="dxa"/>
            </w:tcMar>
            <w:vAlign w:val="center"/>
          </w:tcPr>
          <w:p w14:paraId="2AB25C7E">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5</w:t>
            </w:r>
            <w:r>
              <w:rPr>
                <w:rFonts w:hint="eastAsia" w:ascii="Times New Roman" w:hAnsi="Times New Roman" w:eastAsia="方正仿宋_GBK" w:cs="方正仿宋_GBK"/>
                <w:sz w:val="24"/>
                <w:szCs w:val="24"/>
              </w:rPr>
              <w:t>分</w:t>
            </w:r>
          </w:p>
        </w:tc>
        <w:tc>
          <w:tcPr>
            <w:tcW w:w="733" w:type="dxa"/>
            <w:tcMar>
              <w:top w:w="0" w:type="dxa"/>
              <w:left w:w="105" w:type="dxa"/>
              <w:bottom w:w="0" w:type="dxa"/>
              <w:right w:w="105" w:type="dxa"/>
            </w:tcMar>
            <w:vAlign w:val="center"/>
          </w:tcPr>
          <w:p w14:paraId="5485801A">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2721F011">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0495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tcMar>
              <w:top w:w="0" w:type="dxa"/>
              <w:left w:w="105" w:type="dxa"/>
              <w:bottom w:w="0" w:type="dxa"/>
              <w:right w:w="105" w:type="dxa"/>
            </w:tcMar>
            <w:vAlign w:val="center"/>
          </w:tcPr>
          <w:p w14:paraId="5938BB65">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7</w:t>
            </w:r>
          </w:p>
        </w:tc>
        <w:tc>
          <w:tcPr>
            <w:tcW w:w="1181" w:type="dxa"/>
            <w:tcMar>
              <w:top w:w="0" w:type="dxa"/>
              <w:left w:w="105" w:type="dxa"/>
              <w:bottom w:w="0" w:type="dxa"/>
              <w:right w:w="105" w:type="dxa"/>
            </w:tcMar>
            <w:vAlign w:val="center"/>
          </w:tcPr>
          <w:p w14:paraId="3178E247">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开展直播带岗、职业指导活动</w:t>
            </w:r>
          </w:p>
        </w:tc>
        <w:tc>
          <w:tcPr>
            <w:tcW w:w="5154" w:type="dxa"/>
            <w:tcMar>
              <w:top w:w="0" w:type="dxa"/>
              <w:left w:w="105" w:type="dxa"/>
              <w:bottom w:w="0" w:type="dxa"/>
              <w:right w:w="105" w:type="dxa"/>
            </w:tcMar>
            <w:vAlign w:val="center"/>
          </w:tcPr>
          <w:p w14:paraId="48897864">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南昌大学专场活动</w:t>
            </w:r>
            <w:r>
              <w:rPr>
                <w:rFonts w:hint="eastAsia" w:ascii="Times New Roman" w:hAnsi="Times New Roman" w:eastAsia="方正仿宋_GBK" w:cs="方正仿宋_GBK"/>
                <w:sz w:val="24"/>
                <w:szCs w:val="24"/>
              </w:rPr>
              <w:t>现场开展直播带岗活动；同步开展职业指导服务活动。</w:t>
            </w:r>
          </w:p>
          <w:p w14:paraId="7A3270A8">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若低于此项要求扣</w:t>
            </w:r>
            <w:r>
              <w:rPr>
                <w:rFonts w:hint="eastAsia" w:ascii="Times New Roman" w:hAnsi="Times New Roman" w:eastAsia="方正仿宋_GBK" w:cs="方正仿宋_GBK"/>
                <w:sz w:val="24"/>
                <w:szCs w:val="24"/>
                <w:lang w:val="en-US" w:eastAsia="zh-CN"/>
              </w:rPr>
              <w:t>2</w:t>
            </w:r>
            <w:r>
              <w:rPr>
                <w:rFonts w:hint="eastAsia" w:ascii="Times New Roman" w:hAnsi="Times New Roman" w:eastAsia="方正仿宋_GBK" w:cs="方正仿宋_GBK"/>
                <w:sz w:val="24"/>
                <w:szCs w:val="24"/>
              </w:rPr>
              <w:t>分。</w:t>
            </w:r>
          </w:p>
        </w:tc>
        <w:tc>
          <w:tcPr>
            <w:tcW w:w="875" w:type="dxa"/>
            <w:tcMar>
              <w:top w:w="0" w:type="dxa"/>
              <w:left w:w="105" w:type="dxa"/>
              <w:bottom w:w="0" w:type="dxa"/>
              <w:right w:w="105" w:type="dxa"/>
            </w:tcMar>
            <w:vAlign w:val="center"/>
          </w:tcPr>
          <w:p w14:paraId="0D6D50F8">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2</w:t>
            </w:r>
            <w:r>
              <w:rPr>
                <w:rFonts w:hint="eastAsia" w:ascii="Times New Roman" w:hAnsi="Times New Roman" w:eastAsia="方正仿宋_GBK" w:cs="方正仿宋_GBK"/>
                <w:sz w:val="24"/>
                <w:szCs w:val="24"/>
              </w:rPr>
              <w:t>分</w:t>
            </w:r>
          </w:p>
        </w:tc>
        <w:tc>
          <w:tcPr>
            <w:tcW w:w="733" w:type="dxa"/>
            <w:tcMar>
              <w:top w:w="0" w:type="dxa"/>
              <w:left w:w="105" w:type="dxa"/>
              <w:bottom w:w="0" w:type="dxa"/>
              <w:right w:w="105" w:type="dxa"/>
            </w:tcMar>
            <w:vAlign w:val="center"/>
          </w:tcPr>
          <w:p w14:paraId="6E04F0F9">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3AF20F2D">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14CE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vMerge w:val="restart"/>
            <w:tcMar>
              <w:top w:w="0" w:type="dxa"/>
              <w:left w:w="105" w:type="dxa"/>
              <w:bottom w:w="0" w:type="dxa"/>
              <w:right w:w="105" w:type="dxa"/>
            </w:tcMar>
            <w:vAlign w:val="center"/>
          </w:tcPr>
          <w:p w14:paraId="2E31C11A">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8</w:t>
            </w:r>
          </w:p>
        </w:tc>
        <w:tc>
          <w:tcPr>
            <w:tcW w:w="1181" w:type="dxa"/>
            <w:vMerge w:val="restart"/>
            <w:tcMar>
              <w:top w:w="0" w:type="dxa"/>
              <w:left w:w="105" w:type="dxa"/>
              <w:bottom w:w="0" w:type="dxa"/>
              <w:right w:w="105" w:type="dxa"/>
            </w:tcMar>
            <w:vAlign w:val="center"/>
          </w:tcPr>
          <w:p w14:paraId="643141E4">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现场组织</w:t>
            </w:r>
          </w:p>
          <w:p w14:paraId="6C962903">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实施</w:t>
            </w:r>
          </w:p>
        </w:tc>
        <w:tc>
          <w:tcPr>
            <w:tcW w:w="5154" w:type="dxa"/>
            <w:tcMar>
              <w:top w:w="0" w:type="dxa"/>
              <w:left w:w="105" w:type="dxa"/>
              <w:bottom w:w="0" w:type="dxa"/>
              <w:right w:w="105" w:type="dxa"/>
            </w:tcMar>
            <w:vAlign w:val="center"/>
          </w:tcPr>
          <w:p w14:paraId="4C032C31">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南昌大学专场活动</w:t>
            </w:r>
            <w:r>
              <w:rPr>
                <w:rFonts w:hint="eastAsia" w:ascii="Times New Roman" w:hAnsi="Times New Roman" w:eastAsia="方正仿宋_GBK" w:cs="方正仿宋_GBK"/>
                <w:sz w:val="24"/>
                <w:szCs w:val="24"/>
              </w:rPr>
              <w:t>现场执行工作人员数量不少于20人</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江西财经大学专场活动、南昌航空大学专场活动、景德镇陶瓷大学</w:t>
            </w:r>
            <w:r>
              <w:rPr>
                <w:rFonts w:hint="eastAsia" w:ascii="Times New Roman" w:hAnsi="Times New Roman" w:eastAsia="方正仿宋_GBK" w:cs="方正仿宋_GBK"/>
                <w:sz w:val="24"/>
                <w:szCs w:val="24"/>
              </w:rPr>
              <w:t>现场执行工作人员数量</w:t>
            </w:r>
            <w:r>
              <w:rPr>
                <w:rFonts w:hint="eastAsia" w:ascii="Times New Roman" w:hAnsi="Times New Roman" w:eastAsia="方正仿宋_GBK" w:cs="方正仿宋_GBK"/>
                <w:sz w:val="24"/>
                <w:szCs w:val="24"/>
                <w:lang w:val="en-US" w:eastAsia="zh-CN"/>
              </w:rPr>
              <w:t>分别不少于10人</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地方特色招聘活动每场安排工作人员不少于4人；政校企对接活动每场安排工作人员不少于1人。</w:t>
            </w:r>
          </w:p>
          <w:p w14:paraId="752B7EEA">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若低于此项要求扣5分。</w:t>
            </w:r>
          </w:p>
        </w:tc>
        <w:tc>
          <w:tcPr>
            <w:tcW w:w="875" w:type="dxa"/>
            <w:tcMar>
              <w:top w:w="0" w:type="dxa"/>
              <w:left w:w="105" w:type="dxa"/>
              <w:bottom w:w="0" w:type="dxa"/>
              <w:right w:w="105" w:type="dxa"/>
            </w:tcMar>
            <w:vAlign w:val="center"/>
          </w:tcPr>
          <w:p w14:paraId="6454F901">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5</w:t>
            </w:r>
            <w:r>
              <w:rPr>
                <w:rFonts w:hint="eastAsia" w:ascii="Times New Roman" w:hAnsi="Times New Roman" w:eastAsia="方正仿宋_GBK" w:cs="方正仿宋_GBK"/>
                <w:sz w:val="24"/>
                <w:szCs w:val="24"/>
              </w:rPr>
              <w:t>分</w:t>
            </w:r>
          </w:p>
        </w:tc>
        <w:tc>
          <w:tcPr>
            <w:tcW w:w="733" w:type="dxa"/>
            <w:tcMar>
              <w:top w:w="0" w:type="dxa"/>
              <w:left w:w="105" w:type="dxa"/>
              <w:bottom w:w="0" w:type="dxa"/>
              <w:right w:w="105" w:type="dxa"/>
            </w:tcMar>
            <w:vAlign w:val="center"/>
          </w:tcPr>
          <w:p w14:paraId="02705514">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72628E13">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1EBC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vMerge w:val="continue"/>
            <w:vAlign w:val="center"/>
          </w:tcPr>
          <w:p w14:paraId="2843C464">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1181" w:type="dxa"/>
            <w:vMerge w:val="continue"/>
            <w:vAlign w:val="center"/>
          </w:tcPr>
          <w:p w14:paraId="2D92AA26">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5154" w:type="dxa"/>
            <w:tcMar>
              <w:top w:w="0" w:type="dxa"/>
              <w:left w:w="105" w:type="dxa"/>
              <w:bottom w:w="0" w:type="dxa"/>
              <w:right w:w="105" w:type="dxa"/>
            </w:tcMar>
            <w:vAlign w:val="center"/>
          </w:tcPr>
          <w:p w14:paraId="5E01CE4D">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江西4场全省示范招聘活动，根据需要</w:t>
            </w:r>
            <w:r>
              <w:rPr>
                <w:rFonts w:hint="eastAsia" w:ascii="Times New Roman" w:hAnsi="Times New Roman" w:eastAsia="方正仿宋_GBK" w:cs="方正仿宋_GBK"/>
                <w:sz w:val="24"/>
                <w:szCs w:val="24"/>
              </w:rPr>
              <w:t>安排大巴往返高校接驳学生到现场参加招聘活动。</w:t>
            </w:r>
          </w:p>
          <w:p w14:paraId="667A7453">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若低于此项要求扣</w:t>
            </w:r>
            <w:r>
              <w:rPr>
                <w:rFonts w:hint="eastAsia" w:ascii="Times New Roman" w:hAnsi="Times New Roman" w:eastAsia="方正仿宋_GBK" w:cs="方正仿宋_GBK"/>
                <w:sz w:val="24"/>
                <w:szCs w:val="24"/>
                <w:lang w:val="en-US" w:eastAsia="zh-CN"/>
              </w:rPr>
              <w:t>2</w:t>
            </w:r>
            <w:r>
              <w:rPr>
                <w:rFonts w:hint="eastAsia" w:ascii="Times New Roman" w:hAnsi="Times New Roman" w:eastAsia="方正仿宋_GBK" w:cs="方正仿宋_GBK"/>
                <w:sz w:val="24"/>
                <w:szCs w:val="24"/>
              </w:rPr>
              <w:t>分。</w:t>
            </w:r>
          </w:p>
        </w:tc>
        <w:tc>
          <w:tcPr>
            <w:tcW w:w="875" w:type="dxa"/>
            <w:tcMar>
              <w:top w:w="0" w:type="dxa"/>
              <w:left w:w="105" w:type="dxa"/>
              <w:bottom w:w="0" w:type="dxa"/>
              <w:right w:w="105" w:type="dxa"/>
            </w:tcMar>
            <w:vAlign w:val="center"/>
          </w:tcPr>
          <w:p w14:paraId="5B47ECE6">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2</w:t>
            </w:r>
            <w:r>
              <w:rPr>
                <w:rFonts w:hint="eastAsia" w:ascii="Times New Roman" w:hAnsi="Times New Roman" w:eastAsia="方正仿宋_GBK" w:cs="方正仿宋_GBK"/>
                <w:sz w:val="24"/>
                <w:szCs w:val="24"/>
              </w:rPr>
              <w:t>分</w:t>
            </w:r>
          </w:p>
        </w:tc>
        <w:tc>
          <w:tcPr>
            <w:tcW w:w="733" w:type="dxa"/>
            <w:tcMar>
              <w:top w:w="0" w:type="dxa"/>
              <w:left w:w="105" w:type="dxa"/>
              <w:bottom w:w="0" w:type="dxa"/>
              <w:right w:w="105" w:type="dxa"/>
            </w:tcMar>
            <w:vAlign w:val="center"/>
          </w:tcPr>
          <w:p w14:paraId="251DCFCA">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2A84FA49">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1C6B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vMerge w:val="continue"/>
            <w:vAlign w:val="center"/>
          </w:tcPr>
          <w:p w14:paraId="6ADB6432">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1181" w:type="dxa"/>
            <w:vMerge w:val="continue"/>
            <w:vAlign w:val="center"/>
          </w:tcPr>
          <w:p w14:paraId="3C556A11">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5154" w:type="dxa"/>
            <w:tcMar>
              <w:top w:w="0" w:type="dxa"/>
              <w:left w:w="105" w:type="dxa"/>
              <w:bottom w:w="0" w:type="dxa"/>
              <w:right w:w="105" w:type="dxa"/>
            </w:tcMar>
            <w:vAlign w:val="center"/>
          </w:tcPr>
          <w:p w14:paraId="72CD27A1">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做好合理的出行安排，做好食宿交通安排，向采购人代表提供合理的交通、食宿安排等后勤保障方案。</w:t>
            </w:r>
          </w:p>
          <w:p w14:paraId="63EEFCC1">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若低于此项要求扣</w:t>
            </w:r>
            <w:r>
              <w:rPr>
                <w:rFonts w:hint="eastAsia" w:ascii="Times New Roman" w:hAnsi="Times New Roman" w:eastAsia="方正仿宋_GBK" w:cs="方正仿宋_GBK"/>
                <w:sz w:val="24"/>
                <w:szCs w:val="24"/>
                <w:lang w:val="en-US" w:eastAsia="zh-CN"/>
              </w:rPr>
              <w:t>3</w:t>
            </w:r>
            <w:r>
              <w:rPr>
                <w:rFonts w:hint="eastAsia" w:ascii="Times New Roman" w:hAnsi="Times New Roman" w:eastAsia="方正仿宋_GBK" w:cs="方正仿宋_GBK"/>
                <w:sz w:val="24"/>
                <w:szCs w:val="24"/>
              </w:rPr>
              <w:t>分。</w:t>
            </w:r>
          </w:p>
        </w:tc>
        <w:tc>
          <w:tcPr>
            <w:tcW w:w="875" w:type="dxa"/>
            <w:tcMar>
              <w:top w:w="0" w:type="dxa"/>
              <w:left w:w="105" w:type="dxa"/>
              <w:bottom w:w="0" w:type="dxa"/>
              <w:right w:w="105" w:type="dxa"/>
            </w:tcMar>
            <w:vAlign w:val="center"/>
          </w:tcPr>
          <w:p w14:paraId="3D091546">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3</w:t>
            </w:r>
            <w:r>
              <w:rPr>
                <w:rFonts w:hint="eastAsia" w:ascii="Times New Roman" w:hAnsi="Times New Roman" w:eastAsia="方正仿宋_GBK" w:cs="方正仿宋_GBK"/>
                <w:sz w:val="24"/>
                <w:szCs w:val="24"/>
              </w:rPr>
              <w:t>分</w:t>
            </w:r>
          </w:p>
        </w:tc>
        <w:tc>
          <w:tcPr>
            <w:tcW w:w="733" w:type="dxa"/>
            <w:tcMar>
              <w:top w:w="0" w:type="dxa"/>
              <w:left w:w="105" w:type="dxa"/>
              <w:bottom w:w="0" w:type="dxa"/>
              <w:right w:w="105" w:type="dxa"/>
            </w:tcMar>
            <w:vAlign w:val="center"/>
          </w:tcPr>
          <w:p w14:paraId="475B1840">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23CC8C84">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3D14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tcMar>
              <w:top w:w="0" w:type="dxa"/>
              <w:left w:w="105" w:type="dxa"/>
              <w:bottom w:w="0" w:type="dxa"/>
              <w:right w:w="105" w:type="dxa"/>
            </w:tcMar>
            <w:vAlign w:val="center"/>
          </w:tcPr>
          <w:p w14:paraId="09E068E3">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9</w:t>
            </w:r>
          </w:p>
        </w:tc>
        <w:tc>
          <w:tcPr>
            <w:tcW w:w="1181" w:type="dxa"/>
            <w:tcMar>
              <w:top w:w="0" w:type="dxa"/>
              <w:left w:w="105" w:type="dxa"/>
              <w:bottom w:w="0" w:type="dxa"/>
              <w:right w:w="105" w:type="dxa"/>
            </w:tcMar>
            <w:vAlign w:val="center"/>
          </w:tcPr>
          <w:p w14:paraId="6DC858F1">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总结汇报</w:t>
            </w:r>
          </w:p>
        </w:tc>
        <w:tc>
          <w:tcPr>
            <w:tcW w:w="5154" w:type="dxa"/>
            <w:tcMar>
              <w:top w:w="0" w:type="dxa"/>
              <w:left w:w="105" w:type="dxa"/>
              <w:bottom w:w="0" w:type="dxa"/>
              <w:right w:w="105" w:type="dxa"/>
            </w:tcMar>
            <w:vAlign w:val="center"/>
          </w:tcPr>
          <w:p w14:paraId="61E0F052">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招聘会结束后，将相关统计数据、信息简报、照片等，装订成册（一式二份）交采购人归档</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rPr>
              <w:t>报采购人备案。</w:t>
            </w:r>
          </w:p>
          <w:p w14:paraId="1419D82A">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若低于此项要求扣</w:t>
            </w:r>
            <w:r>
              <w:rPr>
                <w:rFonts w:hint="eastAsia" w:ascii="Times New Roman" w:hAnsi="Times New Roman" w:eastAsia="方正仿宋_GBK" w:cs="方正仿宋_GBK"/>
                <w:sz w:val="24"/>
                <w:szCs w:val="24"/>
                <w:lang w:val="en-US" w:eastAsia="zh-CN"/>
              </w:rPr>
              <w:t>7</w:t>
            </w:r>
            <w:r>
              <w:rPr>
                <w:rFonts w:hint="eastAsia" w:ascii="Times New Roman" w:hAnsi="Times New Roman" w:eastAsia="方正仿宋_GBK" w:cs="方正仿宋_GBK"/>
                <w:sz w:val="24"/>
                <w:szCs w:val="24"/>
              </w:rPr>
              <w:t>分。</w:t>
            </w:r>
          </w:p>
        </w:tc>
        <w:tc>
          <w:tcPr>
            <w:tcW w:w="875" w:type="dxa"/>
            <w:tcMar>
              <w:top w:w="0" w:type="dxa"/>
              <w:left w:w="105" w:type="dxa"/>
              <w:bottom w:w="0" w:type="dxa"/>
              <w:right w:w="105" w:type="dxa"/>
            </w:tcMar>
            <w:vAlign w:val="center"/>
          </w:tcPr>
          <w:p w14:paraId="0AAE93CD">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7</w:t>
            </w:r>
            <w:r>
              <w:rPr>
                <w:rFonts w:hint="eastAsia" w:ascii="Times New Roman" w:hAnsi="Times New Roman" w:eastAsia="方正仿宋_GBK" w:cs="方正仿宋_GBK"/>
                <w:sz w:val="24"/>
                <w:szCs w:val="24"/>
              </w:rPr>
              <w:t>分</w:t>
            </w:r>
          </w:p>
        </w:tc>
        <w:tc>
          <w:tcPr>
            <w:tcW w:w="733" w:type="dxa"/>
            <w:tcMar>
              <w:top w:w="0" w:type="dxa"/>
              <w:left w:w="105" w:type="dxa"/>
              <w:bottom w:w="0" w:type="dxa"/>
              <w:right w:w="105" w:type="dxa"/>
            </w:tcMar>
            <w:vAlign w:val="center"/>
          </w:tcPr>
          <w:p w14:paraId="5FA94D16">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22FD68B2">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551F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7" w:type="dxa"/>
            <w:tcMar>
              <w:top w:w="0" w:type="dxa"/>
              <w:left w:w="105" w:type="dxa"/>
              <w:bottom w:w="0" w:type="dxa"/>
              <w:right w:w="105" w:type="dxa"/>
            </w:tcMar>
            <w:vAlign w:val="center"/>
          </w:tcPr>
          <w:p w14:paraId="6C8704D8">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10</w:t>
            </w:r>
          </w:p>
        </w:tc>
        <w:tc>
          <w:tcPr>
            <w:tcW w:w="1181" w:type="dxa"/>
            <w:tcMar>
              <w:top w:w="0" w:type="dxa"/>
              <w:left w:w="105" w:type="dxa"/>
              <w:bottom w:w="0" w:type="dxa"/>
              <w:right w:w="105" w:type="dxa"/>
            </w:tcMar>
            <w:vAlign w:val="center"/>
          </w:tcPr>
          <w:p w14:paraId="0C9BB073">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成效跟踪</w:t>
            </w:r>
          </w:p>
        </w:tc>
        <w:tc>
          <w:tcPr>
            <w:tcW w:w="5154" w:type="dxa"/>
            <w:tcMar>
              <w:top w:w="0" w:type="dxa"/>
              <w:left w:w="105" w:type="dxa"/>
              <w:bottom w:w="0" w:type="dxa"/>
              <w:right w:w="105" w:type="dxa"/>
            </w:tcMar>
            <w:vAlign w:val="center"/>
          </w:tcPr>
          <w:p w14:paraId="51FCFACD">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每场招聘活动对江门市用人单位现场收到的简历进行扫描并转化为电子文档，根据采购人需求提取关键字段，建立电子台账，提供给采购方用于后期跟踪服务。</w:t>
            </w:r>
          </w:p>
          <w:p w14:paraId="15292EDA">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每场招聘活动结束后，要按照采购人需求统计招聘成效，出具有深度的招聘分析报告。</w:t>
            </w:r>
          </w:p>
          <w:p w14:paraId="1451348B">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rPr>
              <w:t>若低于此项要求</w:t>
            </w:r>
            <w:r>
              <w:rPr>
                <w:rFonts w:hint="eastAsia" w:ascii="Times New Roman" w:hAnsi="Times New Roman" w:eastAsia="方正仿宋_GBK" w:cs="方正仿宋_GBK"/>
                <w:sz w:val="24"/>
                <w:szCs w:val="24"/>
                <w:lang w:eastAsia="zh-CN"/>
              </w:rPr>
              <w:t>，</w:t>
            </w:r>
            <w:r>
              <w:rPr>
                <w:rFonts w:hint="eastAsia" w:ascii="Times New Roman" w:hAnsi="Times New Roman" w:eastAsia="方正仿宋_GBK" w:cs="方正仿宋_GBK"/>
                <w:sz w:val="24"/>
                <w:szCs w:val="24"/>
                <w:lang w:val="en-US" w:eastAsia="zh-CN"/>
              </w:rPr>
              <w:t>视情况最高</w:t>
            </w:r>
            <w:r>
              <w:rPr>
                <w:rFonts w:hint="eastAsia" w:ascii="Times New Roman" w:hAnsi="Times New Roman" w:eastAsia="方正仿宋_GBK" w:cs="方正仿宋_GBK"/>
                <w:sz w:val="24"/>
                <w:szCs w:val="24"/>
              </w:rPr>
              <w:t>扣</w:t>
            </w:r>
            <w:r>
              <w:rPr>
                <w:rFonts w:hint="eastAsia" w:ascii="Times New Roman" w:hAnsi="Times New Roman" w:eastAsia="方正仿宋_GBK" w:cs="方正仿宋_GBK"/>
                <w:sz w:val="24"/>
                <w:szCs w:val="24"/>
                <w:lang w:val="en-US" w:eastAsia="zh-CN"/>
              </w:rPr>
              <w:t>10</w:t>
            </w:r>
            <w:r>
              <w:rPr>
                <w:rFonts w:hint="eastAsia" w:ascii="Times New Roman" w:hAnsi="Times New Roman" w:eastAsia="方正仿宋_GBK" w:cs="方正仿宋_GBK"/>
                <w:sz w:val="24"/>
                <w:szCs w:val="24"/>
              </w:rPr>
              <w:t>分</w:t>
            </w:r>
            <w:r>
              <w:rPr>
                <w:rFonts w:hint="eastAsia" w:ascii="Times New Roman" w:hAnsi="Times New Roman" w:eastAsia="方正仿宋_GBK" w:cs="方正仿宋_GBK"/>
                <w:sz w:val="24"/>
                <w:szCs w:val="24"/>
                <w:lang w:eastAsia="zh-CN"/>
              </w:rPr>
              <w:t>。</w:t>
            </w:r>
          </w:p>
        </w:tc>
        <w:tc>
          <w:tcPr>
            <w:tcW w:w="875" w:type="dxa"/>
            <w:tcMar>
              <w:top w:w="0" w:type="dxa"/>
              <w:left w:w="105" w:type="dxa"/>
              <w:bottom w:w="0" w:type="dxa"/>
              <w:right w:w="105" w:type="dxa"/>
            </w:tcMar>
            <w:vAlign w:val="center"/>
          </w:tcPr>
          <w:p w14:paraId="45D6D66B">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10分</w:t>
            </w:r>
          </w:p>
        </w:tc>
        <w:tc>
          <w:tcPr>
            <w:tcW w:w="733" w:type="dxa"/>
            <w:tcMar>
              <w:top w:w="0" w:type="dxa"/>
              <w:left w:w="105" w:type="dxa"/>
              <w:bottom w:w="0" w:type="dxa"/>
              <w:right w:w="105" w:type="dxa"/>
            </w:tcMar>
            <w:vAlign w:val="center"/>
          </w:tcPr>
          <w:p w14:paraId="33C2D06B">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1F7BBBF2">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190D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42" w:type="dxa"/>
            <w:gridSpan w:val="3"/>
            <w:tcMar>
              <w:top w:w="0" w:type="dxa"/>
              <w:left w:w="105" w:type="dxa"/>
              <w:bottom w:w="0" w:type="dxa"/>
              <w:right w:w="105" w:type="dxa"/>
            </w:tcMar>
            <w:vAlign w:val="center"/>
          </w:tcPr>
          <w:p w14:paraId="329F7344">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小计</w:t>
            </w:r>
          </w:p>
        </w:tc>
        <w:tc>
          <w:tcPr>
            <w:tcW w:w="875" w:type="dxa"/>
            <w:tcMar>
              <w:top w:w="0" w:type="dxa"/>
              <w:left w:w="105" w:type="dxa"/>
              <w:bottom w:w="0" w:type="dxa"/>
              <w:right w:w="105" w:type="dxa"/>
            </w:tcMar>
            <w:vAlign w:val="center"/>
          </w:tcPr>
          <w:p w14:paraId="52DC1814">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100分</w:t>
            </w:r>
          </w:p>
        </w:tc>
        <w:tc>
          <w:tcPr>
            <w:tcW w:w="733" w:type="dxa"/>
            <w:tcMar>
              <w:top w:w="0" w:type="dxa"/>
              <w:left w:w="105" w:type="dxa"/>
              <w:bottom w:w="0" w:type="dxa"/>
              <w:right w:w="105" w:type="dxa"/>
            </w:tcMar>
            <w:vAlign w:val="center"/>
          </w:tcPr>
          <w:p w14:paraId="635E8EED">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198DF1A6">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7DF5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8" w:type="dxa"/>
            <w:gridSpan w:val="2"/>
            <w:vMerge w:val="restart"/>
            <w:tcMar>
              <w:top w:w="0" w:type="dxa"/>
              <w:left w:w="105" w:type="dxa"/>
              <w:bottom w:w="0" w:type="dxa"/>
              <w:right w:w="105" w:type="dxa"/>
            </w:tcMar>
            <w:vAlign w:val="center"/>
          </w:tcPr>
          <w:p w14:paraId="56D28389">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加分项目</w:t>
            </w:r>
          </w:p>
        </w:tc>
        <w:tc>
          <w:tcPr>
            <w:tcW w:w="5154" w:type="dxa"/>
            <w:tcMar>
              <w:top w:w="0" w:type="dxa"/>
              <w:left w:w="105" w:type="dxa"/>
              <w:bottom w:w="0" w:type="dxa"/>
              <w:right w:w="105" w:type="dxa"/>
            </w:tcMar>
            <w:vAlign w:val="center"/>
          </w:tcPr>
          <w:p w14:paraId="236461C7">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总分未满100情况下加分，在完成项目需求的前提下，每增加1</w:t>
            </w:r>
            <w:r>
              <w:rPr>
                <w:rFonts w:hint="eastAsia" w:ascii="Times New Roman" w:hAnsi="Times New Roman" w:eastAsia="方正仿宋_GBK" w:cs="方正仿宋_GBK"/>
                <w:sz w:val="24"/>
                <w:szCs w:val="24"/>
                <w:lang w:eastAsia="zh-CN"/>
              </w:rPr>
              <w:t>项</w:t>
            </w:r>
            <w:r>
              <w:rPr>
                <w:rFonts w:hint="eastAsia" w:ascii="Times New Roman" w:hAnsi="Times New Roman" w:eastAsia="方正仿宋_GBK" w:cs="方正仿宋_GBK"/>
                <w:sz w:val="24"/>
                <w:szCs w:val="24"/>
                <w:lang w:val="en-US" w:eastAsia="zh-CN"/>
              </w:rPr>
              <w:t>校企（校地）合作</w:t>
            </w:r>
            <w:r>
              <w:rPr>
                <w:rFonts w:hint="eastAsia" w:ascii="Times New Roman" w:hAnsi="Times New Roman" w:eastAsia="方正仿宋_GBK" w:cs="方正仿宋_GBK"/>
                <w:sz w:val="24"/>
                <w:szCs w:val="24"/>
              </w:rPr>
              <w:t>签约</w:t>
            </w:r>
            <w:r>
              <w:rPr>
                <w:rFonts w:hint="eastAsia" w:ascii="Times New Roman" w:hAnsi="Times New Roman" w:eastAsia="方正仿宋_GBK" w:cs="方正仿宋_GBK"/>
                <w:sz w:val="24"/>
                <w:szCs w:val="24"/>
                <w:lang w:eastAsia="zh-CN"/>
              </w:rPr>
              <w:t>的</w:t>
            </w:r>
            <w:r>
              <w:rPr>
                <w:rFonts w:hint="eastAsia" w:ascii="Times New Roman" w:hAnsi="Times New Roman" w:eastAsia="方正仿宋_GBK" w:cs="方正仿宋_GBK"/>
                <w:sz w:val="24"/>
                <w:szCs w:val="24"/>
              </w:rPr>
              <w:t>加</w:t>
            </w:r>
            <w:r>
              <w:rPr>
                <w:rFonts w:hint="eastAsia" w:ascii="Times New Roman" w:hAnsi="Times New Roman" w:eastAsia="方正仿宋_GBK" w:cs="方正仿宋_GBK"/>
                <w:sz w:val="24"/>
                <w:szCs w:val="24"/>
                <w:lang w:val="en-US" w:eastAsia="zh-CN"/>
              </w:rPr>
              <w:t>1</w:t>
            </w:r>
            <w:r>
              <w:rPr>
                <w:rFonts w:hint="eastAsia" w:ascii="Times New Roman" w:hAnsi="Times New Roman" w:eastAsia="方正仿宋_GBK" w:cs="方正仿宋_GBK"/>
                <w:sz w:val="24"/>
                <w:szCs w:val="24"/>
              </w:rPr>
              <w:t>分。</w:t>
            </w:r>
          </w:p>
        </w:tc>
        <w:tc>
          <w:tcPr>
            <w:tcW w:w="875" w:type="dxa"/>
            <w:tcMar>
              <w:top w:w="0" w:type="dxa"/>
              <w:left w:w="105" w:type="dxa"/>
              <w:bottom w:w="0" w:type="dxa"/>
              <w:right w:w="105" w:type="dxa"/>
            </w:tcMar>
            <w:vAlign w:val="center"/>
          </w:tcPr>
          <w:p w14:paraId="056ADA55">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5分</w:t>
            </w:r>
          </w:p>
        </w:tc>
        <w:tc>
          <w:tcPr>
            <w:tcW w:w="733" w:type="dxa"/>
            <w:tcMar>
              <w:top w:w="0" w:type="dxa"/>
              <w:left w:w="105" w:type="dxa"/>
              <w:bottom w:w="0" w:type="dxa"/>
              <w:right w:w="105" w:type="dxa"/>
            </w:tcMar>
            <w:vAlign w:val="center"/>
          </w:tcPr>
          <w:p w14:paraId="42ED08FE">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1E2CF686">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0434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8" w:type="dxa"/>
            <w:gridSpan w:val="2"/>
            <w:vMerge w:val="continue"/>
            <w:vAlign w:val="center"/>
          </w:tcPr>
          <w:p w14:paraId="2906794B">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p>
        </w:tc>
        <w:tc>
          <w:tcPr>
            <w:tcW w:w="5154" w:type="dxa"/>
            <w:tcMar>
              <w:top w:w="0" w:type="dxa"/>
              <w:left w:w="105" w:type="dxa"/>
              <w:bottom w:w="0" w:type="dxa"/>
              <w:right w:w="105" w:type="dxa"/>
            </w:tcMar>
            <w:vAlign w:val="center"/>
          </w:tcPr>
          <w:p w14:paraId="58A1955A">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left"/>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总分未满100情况下加分，在完成项目需求的前提下，每增加1对求职者与</w:t>
            </w:r>
            <w:r>
              <w:rPr>
                <w:rFonts w:hint="eastAsia" w:ascii="Times New Roman" w:hAnsi="Times New Roman" w:eastAsia="方正仿宋_GBK" w:cs="方正仿宋_GBK"/>
                <w:sz w:val="24"/>
                <w:szCs w:val="24"/>
                <w:lang w:eastAsia="zh-CN"/>
              </w:rPr>
              <w:t>江门市</w:t>
            </w:r>
            <w:r>
              <w:rPr>
                <w:rFonts w:hint="eastAsia" w:ascii="Times New Roman" w:hAnsi="Times New Roman" w:eastAsia="方正仿宋_GBK" w:cs="方正仿宋_GBK"/>
                <w:sz w:val="24"/>
                <w:szCs w:val="24"/>
              </w:rPr>
              <w:t>用人单位签约</w:t>
            </w:r>
            <w:r>
              <w:rPr>
                <w:rFonts w:hint="eastAsia" w:ascii="Times New Roman" w:hAnsi="Times New Roman" w:eastAsia="方正仿宋_GBK" w:cs="方正仿宋_GBK"/>
                <w:sz w:val="24"/>
                <w:szCs w:val="24"/>
                <w:lang w:eastAsia="zh-CN"/>
              </w:rPr>
              <w:t>的</w:t>
            </w:r>
            <w:r>
              <w:rPr>
                <w:rFonts w:hint="eastAsia" w:ascii="Times New Roman" w:hAnsi="Times New Roman" w:eastAsia="方正仿宋_GBK" w:cs="方正仿宋_GBK"/>
                <w:sz w:val="24"/>
                <w:szCs w:val="24"/>
              </w:rPr>
              <w:t>加</w:t>
            </w:r>
            <w:r>
              <w:rPr>
                <w:rFonts w:hint="eastAsia" w:ascii="Times New Roman" w:hAnsi="Times New Roman" w:eastAsia="方正仿宋_GBK" w:cs="方正仿宋_GBK"/>
                <w:sz w:val="24"/>
                <w:szCs w:val="24"/>
                <w:lang w:val="en-US" w:eastAsia="zh-CN"/>
              </w:rPr>
              <w:t>0.5</w:t>
            </w:r>
            <w:r>
              <w:rPr>
                <w:rFonts w:hint="eastAsia" w:ascii="Times New Roman" w:hAnsi="Times New Roman" w:eastAsia="方正仿宋_GBK" w:cs="方正仿宋_GBK"/>
                <w:sz w:val="24"/>
                <w:szCs w:val="24"/>
              </w:rPr>
              <w:t>分。</w:t>
            </w:r>
          </w:p>
        </w:tc>
        <w:tc>
          <w:tcPr>
            <w:tcW w:w="875" w:type="dxa"/>
            <w:tcMar>
              <w:top w:w="0" w:type="dxa"/>
              <w:left w:w="105" w:type="dxa"/>
              <w:bottom w:w="0" w:type="dxa"/>
              <w:right w:w="105" w:type="dxa"/>
            </w:tcMar>
            <w:vAlign w:val="center"/>
          </w:tcPr>
          <w:p w14:paraId="5C96DE91">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10</w:t>
            </w:r>
            <w:r>
              <w:rPr>
                <w:rFonts w:hint="eastAsia" w:ascii="Times New Roman" w:hAnsi="Times New Roman" w:eastAsia="方正仿宋_GBK" w:cs="方正仿宋_GBK"/>
                <w:sz w:val="24"/>
                <w:szCs w:val="24"/>
              </w:rPr>
              <w:t>分</w:t>
            </w:r>
          </w:p>
        </w:tc>
        <w:tc>
          <w:tcPr>
            <w:tcW w:w="733" w:type="dxa"/>
            <w:tcMar>
              <w:top w:w="0" w:type="dxa"/>
              <w:left w:w="105" w:type="dxa"/>
              <w:bottom w:w="0" w:type="dxa"/>
              <w:right w:w="105" w:type="dxa"/>
            </w:tcMar>
            <w:vAlign w:val="center"/>
          </w:tcPr>
          <w:p w14:paraId="0B291D7A">
            <w:pPr>
              <w:pStyle w:val="7"/>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4538C74C">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r w14:paraId="7271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842" w:type="dxa"/>
            <w:gridSpan w:val="3"/>
            <w:tcMar>
              <w:top w:w="0" w:type="dxa"/>
              <w:left w:w="105" w:type="dxa"/>
              <w:bottom w:w="0" w:type="dxa"/>
              <w:right w:w="105" w:type="dxa"/>
            </w:tcMar>
            <w:vAlign w:val="center"/>
          </w:tcPr>
          <w:p w14:paraId="2BF280A6">
            <w:pPr>
              <w:pStyle w:val="7"/>
              <w:keepNext w:val="0"/>
              <w:keepLines w:val="0"/>
              <w:pageBreakBefore w:val="0"/>
              <w:widowControl/>
              <w:kinsoku/>
              <w:wordWrap/>
              <w:overflowPunct/>
              <w:topLinePunct w:val="0"/>
              <w:autoSpaceDE/>
              <w:autoSpaceDN/>
              <w:bidi w:val="0"/>
              <w:adjustRightInd/>
              <w:snapToGrid/>
              <w:spacing w:line="340" w:lineRule="exact"/>
              <w:ind w:firstLine="480" w:firstLineChars="20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合计</w:t>
            </w:r>
          </w:p>
        </w:tc>
        <w:tc>
          <w:tcPr>
            <w:tcW w:w="875" w:type="dxa"/>
            <w:tcMar>
              <w:top w:w="0" w:type="dxa"/>
              <w:left w:w="105" w:type="dxa"/>
              <w:bottom w:w="0" w:type="dxa"/>
              <w:right w:w="105" w:type="dxa"/>
            </w:tcMar>
            <w:vAlign w:val="center"/>
          </w:tcPr>
          <w:p w14:paraId="033D1682">
            <w:pPr>
              <w:pStyle w:val="7"/>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_GBK" w:cs="方正仿宋_GBK"/>
                <w:sz w:val="24"/>
                <w:szCs w:val="24"/>
                <w:lang w:val="en-US" w:eastAsia="zh-CN"/>
              </w:rPr>
            </w:pPr>
          </w:p>
        </w:tc>
        <w:tc>
          <w:tcPr>
            <w:tcW w:w="733" w:type="dxa"/>
            <w:tcMar>
              <w:top w:w="0" w:type="dxa"/>
              <w:left w:w="105" w:type="dxa"/>
              <w:bottom w:w="0" w:type="dxa"/>
              <w:right w:w="105" w:type="dxa"/>
            </w:tcMar>
            <w:vAlign w:val="center"/>
          </w:tcPr>
          <w:p w14:paraId="3D42CEA2">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c>
          <w:tcPr>
            <w:tcW w:w="708" w:type="dxa"/>
            <w:tcMar>
              <w:top w:w="0" w:type="dxa"/>
              <w:left w:w="105" w:type="dxa"/>
              <w:bottom w:w="0" w:type="dxa"/>
              <w:right w:w="105" w:type="dxa"/>
            </w:tcMar>
            <w:vAlign w:val="center"/>
          </w:tcPr>
          <w:p w14:paraId="4DE5597E">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Times New Roman" w:hAnsi="Times New Roman" w:eastAsia="方正仿宋_GBK" w:cs="方正仿宋_GBK"/>
                <w:sz w:val="24"/>
                <w:szCs w:val="24"/>
              </w:rPr>
            </w:pPr>
          </w:p>
        </w:tc>
      </w:tr>
    </w:tbl>
    <w:p w14:paraId="0D98AFB9"/>
    <w:p w14:paraId="091699F7">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注：最终得分在90分（</w:t>
      </w:r>
      <w:r>
        <w:rPr>
          <w:rFonts w:hint="eastAsia" w:ascii="Times New Roman" w:hAnsi="Times New Roman" w:eastAsia="方正仿宋_GBK" w:cs="方正仿宋_GBK"/>
          <w:sz w:val="24"/>
          <w:szCs w:val="24"/>
          <w:lang w:val="en-US" w:eastAsia="zh-CN"/>
        </w:rPr>
        <w:t>含90分</w:t>
      </w:r>
      <w:r>
        <w:rPr>
          <w:rFonts w:hint="eastAsia" w:ascii="Times New Roman" w:hAnsi="Times New Roman" w:eastAsia="方正仿宋_GBK" w:cs="方正仿宋_GBK"/>
          <w:sz w:val="24"/>
          <w:szCs w:val="24"/>
        </w:rPr>
        <w:t>）以上，可按</w:t>
      </w:r>
      <w:r>
        <w:rPr>
          <w:rFonts w:hint="eastAsia" w:ascii="Times New Roman" w:hAnsi="Times New Roman" w:eastAsia="方正仿宋_GBK" w:cs="方正仿宋_GBK"/>
          <w:sz w:val="24"/>
          <w:szCs w:val="24"/>
          <w:lang w:val="en-US" w:eastAsia="zh-CN"/>
        </w:rPr>
        <w:t>尾款</w:t>
      </w:r>
      <w:r>
        <w:rPr>
          <w:rFonts w:hint="eastAsia" w:ascii="Times New Roman" w:hAnsi="Times New Roman" w:eastAsia="方正仿宋_GBK" w:cs="方正仿宋_GBK"/>
          <w:sz w:val="24"/>
          <w:szCs w:val="24"/>
        </w:rPr>
        <w:t>100%进行支付。60分（</w:t>
      </w:r>
      <w:r>
        <w:rPr>
          <w:rFonts w:hint="eastAsia" w:ascii="Times New Roman" w:hAnsi="Times New Roman" w:eastAsia="方正仿宋_GBK" w:cs="方正仿宋_GBK"/>
          <w:sz w:val="24"/>
          <w:szCs w:val="24"/>
          <w:lang w:val="en-US" w:eastAsia="zh-CN"/>
        </w:rPr>
        <w:t>含60分</w:t>
      </w:r>
      <w:r>
        <w:rPr>
          <w:rFonts w:hint="eastAsia" w:ascii="Times New Roman" w:hAnsi="Times New Roman" w:eastAsia="方正仿宋_GBK" w:cs="方正仿宋_GBK"/>
          <w:sz w:val="24"/>
          <w:szCs w:val="24"/>
        </w:rPr>
        <w:t>）-90分的（</w:t>
      </w:r>
      <w:r>
        <w:rPr>
          <w:rFonts w:hint="eastAsia" w:ascii="Times New Roman" w:hAnsi="Times New Roman" w:eastAsia="方正仿宋_GBK" w:cs="方正仿宋_GBK"/>
          <w:sz w:val="24"/>
          <w:szCs w:val="24"/>
          <w:lang w:val="en-US" w:eastAsia="zh-CN"/>
        </w:rPr>
        <w:t>不含90分</w:t>
      </w:r>
      <w:r>
        <w:rPr>
          <w:rFonts w:hint="eastAsia" w:ascii="Times New Roman" w:hAnsi="Times New Roman" w:eastAsia="方正仿宋_GBK" w:cs="方正仿宋_GBK"/>
          <w:sz w:val="24"/>
          <w:szCs w:val="24"/>
        </w:rPr>
        <w:t>），每扣除1分则相应扣除尾款1%，得分低于60分（不含）的每扣除1分则相应扣除尾款5%。同时，采购人根据评分结果、成交供应商运营管理情况及违约行为和现场参聘单位对招聘会反映情况和评价等方式对项目进行考核，并以此作为支付项目款项的参考依据。</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auto"/>
    <w:pitch w:val="default"/>
    <w:sig w:usb0="A00002BF" w:usb1="38CF7CFA" w:usb2="00082016" w:usb3="00000000" w:csb0="00040001" w:csb1="00000000"/>
  </w:font>
  <w:font w:name="方正小标宋简体">
    <w:altName w:val="仿宋_GB2312"/>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A3B4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2752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22752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CD7C0">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50AF52E4"/>
    <w:rsid w:val="038B1DCF"/>
    <w:rsid w:val="18EF0A07"/>
    <w:rsid w:val="1FF4309D"/>
    <w:rsid w:val="2A4206D7"/>
    <w:rsid w:val="2B914D4D"/>
    <w:rsid w:val="2EA664F9"/>
    <w:rsid w:val="37EDF190"/>
    <w:rsid w:val="382C0324"/>
    <w:rsid w:val="38AF57A2"/>
    <w:rsid w:val="44B63F77"/>
    <w:rsid w:val="47570440"/>
    <w:rsid w:val="478F5D5E"/>
    <w:rsid w:val="49DF07BF"/>
    <w:rsid w:val="50AF52E4"/>
    <w:rsid w:val="57BBCF90"/>
    <w:rsid w:val="61F04791"/>
    <w:rsid w:val="637C6742"/>
    <w:rsid w:val="638E39FA"/>
    <w:rsid w:val="69580960"/>
    <w:rsid w:val="6EA90C2C"/>
    <w:rsid w:val="6F5748E6"/>
    <w:rsid w:val="7B8D8633"/>
    <w:rsid w:val="7CF075C5"/>
    <w:rsid w:val="7F7903F6"/>
    <w:rsid w:val="A3DF6D8C"/>
    <w:rsid w:val="DCCF8A14"/>
    <w:rsid w:val="DD0E3196"/>
    <w:rsid w:val="DF39DDF1"/>
    <w:rsid w:val="F9FE48E8"/>
    <w:rsid w:val="FEA7A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uppressAutoHyphens/>
      <w:ind w:firstLine="420"/>
    </w:pPr>
    <w:rPr>
      <w:rFonts w:ascii="Calibri" w:hAnsi="Calibri" w:eastAsia="宋体" w:cs="Times New Roman"/>
      <w:sz w:val="21"/>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2146</Words>
  <Characters>2216</Characters>
  <Lines>0</Lines>
  <Paragraphs>0</Paragraphs>
  <TotalTime>1</TotalTime>
  <ScaleCrop>false</ScaleCrop>
  <LinksUpToDate>false</LinksUpToDate>
  <CharactersWithSpaces>2216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2026-08-11T03:20:00Z</dcterms:created>
  <dc:creator>meilan</dc:creator>
  <cp:lastModifiedBy>赵生</cp:lastModifiedBy>
  <cp:lastPrinted>2026-08-27T23:17:00Z</cp:lastPrinted>
  <dcterms:modified xsi:type="dcterms:W3CDTF">2026-08-28T10:00:17Z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1D62823DC294AC514C57916AF9F94080</vt:lpwstr>
  </property>
  <property fmtid="{D5CDD505-2E9C-101B-9397-08002B2CF9AE}" pid="4" name="KSOTemplateDocerSaveRecord">
    <vt:lpwstr>eyJoZGlkIjoiYjhhMjdlZjdiZDcxMzQwZjE1MGY0OWE0MmEwZjdhMWUiLCJ1c2VySWQiOiIxNDYwNDExOTA4In0=</vt:lpwstr>
  </property>
</Properties>
</file>