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52A740">
      <w:pPr>
        <w:autoSpaceDE w:val="0"/>
        <w:autoSpaceDN w:val="0"/>
        <w:adjustRightInd w:val="0"/>
        <w:jc w:val="left"/>
        <w:outlineLvl w:val="0"/>
        <w:rPr>
          <w:rFonts w:hint="default" w:eastAsia="黑体"/>
          <w:color w:val="auto"/>
          <w:kern w:val="0"/>
          <w:sz w:val="32"/>
          <w:szCs w:val="32"/>
          <w:highlight w:val="none"/>
          <w:lang w:val="en-US" w:eastAsia="zh-CN"/>
        </w:rPr>
      </w:pPr>
      <w:r>
        <w:rPr>
          <w:rFonts w:eastAsia="黑体"/>
          <w:color w:val="auto"/>
          <w:kern w:val="0"/>
          <w:sz w:val="32"/>
          <w:szCs w:val="32"/>
          <w:highlight w:val="none"/>
        </w:rPr>
        <w:t>附件</w:t>
      </w:r>
      <w:r>
        <w:rPr>
          <w:rFonts w:hint="eastAsia" w:eastAsia="黑体"/>
          <w:color w:val="auto"/>
          <w:kern w:val="0"/>
          <w:sz w:val="32"/>
          <w:szCs w:val="32"/>
          <w:highlight w:val="none"/>
          <w:lang w:val="en-US" w:eastAsia="zh-CN"/>
        </w:rPr>
        <w:t>2</w:t>
      </w:r>
    </w:p>
    <w:p w14:paraId="760AAFE8">
      <w:pPr>
        <w:autoSpaceDE w:val="0"/>
        <w:autoSpaceDN w:val="0"/>
        <w:adjustRightInd w:val="0"/>
        <w:snapToGrid w:val="0"/>
        <w:spacing w:line="579" w:lineRule="exact"/>
        <w:jc w:val="center"/>
        <w:rPr>
          <w:rFonts w:hint="eastAsia" w:ascii="黑体" w:hAnsi="黑体" w:eastAsia="黑体" w:cs="宋体"/>
          <w:color w:val="auto"/>
          <w:kern w:val="0"/>
          <w:sz w:val="40"/>
          <w:szCs w:val="40"/>
          <w:highlight w:val="none"/>
        </w:rPr>
      </w:pPr>
      <w:r>
        <w:rPr>
          <w:rFonts w:hint="eastAsia" w:ascii="黑体" w:hAnsi="黑体" w:eastAsia="黑体" w:cs="方正小标宋简体"/>
          <w:color w:val="auto"/>
          <w:kern w:val="0"/>
          <w:sz w:val="40"/>
          <w:szCs w:val="40"/>
          <w:highlight w:val="none"/>
        </w:rPr>
        <w:t>江门市饮用水源保护区隔离防护栏新建及维修项目（台山市）</w:t>
      </w:r>
      <w:r>
        <w:rPr>
          <w:rFonts w:hint="eastAsia" w:ascii="黑体" w:hAnsi="黑体" w:eastAsia="黑体" w:cs="宋体"/>
          <w:color w:val="auto"/>
          <w:kern w:val="0"/>
          <w:sz w:val="40"/>
          <w:szCs w:val="40"/>
          <w:highlight w:val="none"/>
        </w:rPr>
        <w:t>评分表</w:t>
      </w:r>
    </w:p>
    <w:tbl>
      <w:tblPr>
        <w:tblStyle w:val="6"/>
        <w:tblW w:w="106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1073"/>
        <w:gridCol w:w="7481"/>
        <w:gridCol w:w="709"/>
        <w:gridCol w:w="709"/>
      </w:tblGrid>
      <w:tr w14:paraId="3825F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691" w:type="dxa"/>
            <w:vAlign w:val="center"/>
          </w:tcPr>
          <w:p w14:paraId="41BC614A">
            <w:pPr>
              <w:autoSpaceDE w:val="0"/>
              <w:autoSpaceDN w:val="0"/>
              <w:adjustRightInd w:val="0"/>
              <w:snapToGrid w:val="0"/>
              <w:spacing w:line="264" w:lineRule="auto"/>
              <w:ind w:left="-111" w:leftChars="-37" w:right="-105" w:rightChars="-35"/>
              <w:jc w:val="center"/>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序号</w:t>
            </w:r>
          </w:p>
        </w:tc>
        <w:tc>
          <w:tcPr>
            <w:tcW w:w="1073" w:type="dxa"/>
            <w:vAlign w:val="center"/>
          </w:tcPr>
          <w:p w14:paraId="63D364BB">
            <w:pPr>
              <w:autoSpaceDE w:val="0"/>
              <w:autoSpaceDN w:val="0"/>
              <w:adjustRightInd w:val="0"/>
              <w:snapToGrid w:val="0"/>
              <w:spacing w:line="264" w:lineRule="auto"/>
              <w:ind w:left="-111" w:leftChars="-37" w:right="-105" w:rightChars="-35"/>
              <w:jc w:val="center"/>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评审因素</w:t>
            </w:r>
          </w:p>
        </w:tc>
        <w:tc>
          <w:tcPr>
            <w:tcW w:w="7481" w:type="dxa"/>
            <w:vAlign w:val="center"/>
          </w:tcPr>
          <w:p w14:paraId="6B38B7A2">
            <w:pPr>
              <w:autoSpaceDE w:val="0"/>
              <w:autoSpaceDN w:val="0"/>
              <w:adjustRightInd w:val="0"/>
              <w:snapToGrid w:val="0"/>
              <w:spacing w:line="264" w:lineRule="auto"/>
              <w:ind w:left="-111" w:leftChars="-37" w:right="-105" w:rightChars="-35"/>
              <w:jc w:val="center"/>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评分细则</w:t>
            </w:r>
          </w:p>
        </w:tc>
        <w:tc>
          <w:tcPr>
            <w:tcW w:w="709" w:type="dxa"/>
            <w:vAlign w:val="center"/>
          </w:tcPr>
          <w:p w14:paraId="54A3A0A6">
            <w:pPr>
              <w:autoSpaceDE w:val="0"/>
              <w:autoSpaceDN w:val="0"/>
              <w:adjustRightInd w:val="0"/>
              <w:snapToGrid w:val="0"/>
              <w:spacing w:line="264" w:lineRule="auto"/>
              <w:ind w:left="-111" w:leftChars="-37" w:right="-105" w:rightChars="-35"/>
              <w:jc w:val="center"/>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分值（分）</w:t>
            </w:r>
          </w:p>
        </w:tc>
        <w:tc>
          <w:tcPr>
            <w:tcW w:w="709" w:type="dxa"/>
            <w:vAlign w:val="center"/>
          </w:tcPr>
          <w:p w14:paraId="594AE79A">
            <w:pPr>
              <w:autoSpaceDE w:val="0"/>
              <w:autoSpaceDN w:val="0"/>
              <w:adjustRightInd w:val="0"/>
              <w:snapToGrid w:val="0"/>
              <w:spacing w:line="264" w:lineRule="auto"/>
              <w:ind w:left="-111" w:leftChars="-37" w:right="-105" w:rightChars="-35"/>
              <w:jc w:val="center"/>
              <w:rPr>
                <w:rFonts w:ascii="宋体" w:hAnsi="宋体" w:cs="宋体"/>
                <w:b/>
                <w:color w:val="auto"/>
                <w:kern w:val="0"/>
                <w:sz w:val="21"/>
                <w:szCs w:val="21"/>
                <w:highlight w:val="none"/>
              </w:rPr>
            </w:pPr>
            <w:r>
              <w:rPr>
                <w:rFonts w:hint="eastAsia" w:ascii="宋体" w:hAnsi="宋体" w:cs="宋体"/>
                <w:b/>
                <w:color w:val="auto"/>
                <w:kern w:val="0"/>
                <w:sz w:val="21"/>
                <w:szCs w:val="21"/>
                <w:highlight w:val="none"/>
                <w:lang w:val="en-US" w:eastAsia="zh-CN"/>
              </w:rPr>
              <w:t>得分</w:t>
            </w:r>
            <w:r>
              <w:rPr>
                <w:rFonts w:hint="eastAsia" w:ascii="宋体" w:hAnsi="宋体" w:cs="宋体"/>
                <w:b/>
                <w:color w:val="auto"/>
                <w:kern w:val="0"/>
                <w:sz w:val="21"/>
                <w:szCs w:val="21"/>
                <w:highlight w:val="none"/>
              </w:rPr>
              <w:t>（</w:t>
            </w:r>
            <w:r>
              <w:rPr>
                <w:rFonts w:hint="eastAsia" w:ascii="宋体" w:hAnsi="宋体" w:cs="宋体"/>
                <w:b/>
                <w:color w:val="auto"/>
                <w:kern w:val="0"/>
                <w:sz w:val="21"/>
                <w:szCs w:val="21"/>
                <w:highlight w:val="none"/>
                <w:lang w:val="en-US" w:eastAsia="zh-CN"/>
              </w:rPr>
              <w:t>分</w:t>
            </w:r>
            <w:r>
              <w:rPr>
                <w:rFonts w:hint="eastAsia" w:ascii="宋体" w:hAnsi="宋体" w:cs="宋体"/>
                <w:b/>
                <w:color w:val="auto"/>
                <w:kern w:val="0"/>
                <w:sz w:val="21"/>
                <w:szCs w:val="21"/>
                <w:highlight w:val="none"/>
              </w:rPr>
              <w:t>）</w:t>
            </w:r>
          </w:p>
        </w:tc>
      </w:tr>
      <w:tr w14:paraId="49117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10663" w:type="dxa"/>
            <w:gridSpan w:val="5"/>
            <w:vAlign w:val="center"/>
          </w:tcPr>
          <w:p w14:paraId="4282FB9F">
            <w:pPr>
              <w:autoSpaceDE w:val="0"/>
              <w:autoSpaceDN w:val="0"/>
              <w:adjustRightInd w:val="0"/>
              <w:snapToGrid w:val="0"/>
              <w:spacing w:line="200" w:lineRule="exact"/>
              <w:ind w:left="-111" w:leftChars="-37" w:right="-105" w:rightChars="-35"/>
              <w:jc w:val="center"/>
              <w:rPr>
                <w:rFonts w:ascii="宋体" w:hAnsi="宋体" w:cs="宋体"/>
                <w:b/>
                <w:color w:val="auto"/>
                <w:kern w:val="0"/>
                <w:sz w:val="18"/>
                <w:szCs w:val="18"/>
                <w:highlight w:val="none"/>
              </w:rPr>
            </w:pPr>
            <w:r>
              <w:rPr>
                <w:rFonts w:hint="eastAsia" w:ascii="宋体" w:hAnsi="宋体" w:cs="宋体"/>
                <w:b/>
                <w:color w:val="auto"/>
                <w:kern w:val="0"/>
                <w:sz w:val="18"/>
                <w:szCs w:val="18"/>
                <w:highlight w:val="none"/>
              </w:rPr>
              <w:t>一、技术部分 （5</w:t>
            </w:r>
            <w:r>
              <w:rPr>
                <w:rFonts w:hint="eastAsia" w:ascii="宋体" w:hAnsi="宋体" w:cs="宋体"/>
                <w:b/>
                <w:color w:val="auto"/>
                <w:kern w:val="0"/>
                <w:sz w:val="18"/>
                <w:szCs w:val="18"/>
                <w:highlight w:val="none"/>
                <w:lang w:val="en-US" w:eastAsia="zh-CN"/>
              </w:rPr>
              <w:t>0</w:t>
            </w:r>
            <w:r>
              <w:rPr>
                <w:rFonts w:hint="eastAsia" w:ascii="宋体" w:hAnsi="宋体" w:cs="宋体"/>
                <w:b/>
                <w:color w:val="auto"/>
                <w:kern w:val="0"/>
                <w:sz w:val="18"/>
                <w:szCs w:val="18"/>
                <w:highlight w:val="none"/>
              </w:rPr>
              <w:t>分）</w:t>
            </w:r>
          </w:p>
        </w:tc>
      </w:tr>
      <w:tr w14:paraId="6E99C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691" w:type="dxa"/>
            <w:vAlign w:val="center"/>
          </w:tcPr>
          <w:p w14:paraId="1C35AC9A">
            <w:pPr>
              <w:spacing w:line="24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w:t>
            </w:r>
          </w:p>
        </w:tc>
        <w:tc>
          <w:tcPr>
            <w:tcW w:w="1073" w:type="dxa"/>
            <w:shd w:val="clear" w:color="auto" w:fill="auto"/>
            <w:vAlign w:val="center"/>
          </w:tcPr>
          <w:p w14:paraId="4573A45B">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施工组织设计</w:t>
            </w:r>
          </w:p>
          <w:p w14:paraId="4CCCEFBB">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总体方案</w:t>
            </w:r>
          </w:p>
        </w:tc>
        <w:tc>
          <w:tcPr>
            <w:tcW w:w="7481" w:type="dxa"/>
            <w:shd w:val="clear" w:color="auto" w:fill="auto"/>
            <w:vAlign w:val="center"/>
          </w:tcPr>
          <w:p w14:paraId="15571C7D">
            <w:pPr>
              <w:keepNext w:val="0"/>
              <w:keepLines w:val="0"/>
              <w:pageBreakBefore w:val="0"/>
              <w:widowControl w:val="0"/>
              <w:kinsoku/>
              <w:wordWrap/>
              <w:overflowPunct/>
              <w:topLinePunct w:val="0"/>
              <w:autoSpaceDE w:val="0"/>
              <w:autoSpaceDN w:val="0"/>
              <w:bidi w:val="0"/>
              <w:adjustRightInd w:val="0"/>
              <w:snapToGrid w:val="0"/>
              <w:spacing w:line="240" w:lineRule="auto"/>
              <w:jc w:val="left"/>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①对项目概况、现场条件、施工重点难点的理解与分析全面、准确；</w:t>
            </w:r>
          </w:p>
          <w:p w14:paraId="21D2ACD0">
            <w:pPr>
              <w:keepNext w:val="0"/>
              <w:keepLines w:val="0"/>
              <w:pageBreakBefore w:val="0"/>
              <w:widowControl w:val="0"/>
              <w:kinsoku/>
              <w:wordWrap/>
              <w:overflowPunct/>
              <w:topLinePunct w:val="0"/>
              <w:autoSpaceDE w:val="0"/>
              <w:autoSpaceDN w:val="0"/>
              <w:bidi w:val="0"/>
              <w:adjustRightInd w:val="0"/>
              <w:snapToGrid w:val="0"/>
              <w:spacing w:line="240" w:lineRule="auto"/>
              <w:jc w:val="left"/>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②总体施工部署、施工流程科学合理，具有针对性；</w:t>
            </w:r>
          </w:p>
          <w:p w14:paraId="27378453">
            <w:pPr>
              <w:keepNext w:val="0"/>
              <w:keepLines w:val="0"/>
              <w:pageBreakBefore w:val="0"/>
              <w:widowControl w:val="0"/>
              <w:kinsoku/>
              <w:wordWrap/>
              <w:overflowPunct/>
              <w:topLinePunct w:val="0"/>
              <w:autoSpaceDE w:val="0"/>
              <w:autoSpaceDN w:val="0"/>
              <w:bidi w:val="0"/>
              <w:adjustRightInd w:val="0"/>
              <w:snapToGrid w:val="0"/>
              <w:spacing w:line="240" w:lineRule="auto"/>
              <w:jc w:val="left"/>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③施工总平面布置合理，临时设施安排得当。</w:t>
            </w:r>
          </w:p>
          <w:p w14:paraId="31AACF22">
            <w:pPr>
              <w:keepNext w:val="0"/>
              <w:keepLines w:val="0"/>
              <w:pageBreakBefore w:val="0"/>
              <w:widowControl w:val="0"/>
              <w:kinsoku/>
              <w:wordWrap/>
              <w:overflowPunct/>
              <w:topLinePunct w:val="0"/>
              <w:autoSpaceDE w:val="0"/>
              <w:autoSpaceDN w:val="0"/>
              <w:bidi w:val="0"/>
              <w:adjustRightInd w:val="0"/>
              <w:snapToGrid w:val="0"/>
              <w:spacing w:line="240" w:lineRule="auto"/>
              <w:jc w:val="left"/>
              <w:textAlignment w:val="auto"/>
              <w:rPr>
                <w:rFonts w:hint="eastAsia" w:ascii="宋体" w:hAnsi="宋体" w:eastAsia="宋体" w:cs="宋体"/>
                <w:color w:val="auto"/>
                <w:kern w:val="0"/>
                <w:sz w:val="20"/>
                <w:szCs w:val="20"/>
                <w:highlight w:val="none"/>
                <w:lang w:val="en-US" w:eastAsia="zh-CN" w:bidi="ar-SA"/>
              </w:rPr>
            </w:pPr>
            <w:r>
              <w:rPr>
                <w:rFonts w:hint="eastAsia" w:ascii="宋体" w:hAnsi="宋体" w:eastAsia="宋体" w:cs="宋体"/>
                <w:bCs/>
                <w:color w:val="auto"/>
                <w:kern w:val="0"/>
                <w:sz w:val="20"/>
                <w:szCs w:val="20"/>
                <w:highlight w:val="none"/>
                <w:lang w:val="en-US" w:eastAsia="zh-CN"/>
              </w:rPr>
              <w:t>优：10分；良：8分；中：</w:t>
            </w:r>
            <w:r>
              <w:rPr>
                <w:rFonts w:hint="eastAsia" w:ascii="宋体" w:hAnsi="宋体" w:cs="宋体"/>
                <w:bCs/>
                <w:color w:val="auto"/>
                <w:kern w:val="0"/>
                <w:sz w:val="20"/>
                <w:szCs w:val="20"/>
                <w:highlight w:val="none"/>
                <w:lang w:val="en-US" w:eastAsia="zh-CN"/>
              </w:rPr>
              <w:t>5</w:t>
            </w:r>
            <w:r>
              <w:rPr>
                <w:rFonts w:hint="eastAsia" w:ascii="宋体" w:hAnsi="宋体" w:eastAsia="宋体" w:cs="宋体"/>
                <w:bCs/>
                <w:color w:val="auto"/>
                <w:kern w:val="0"/>
                <w:sz w:val="20"/>
                <w:szCs w:val="20"/>
                <w:highlight w:val="none"/>
                <w:lang w:val="en-US" w:eastAsia="zh-CN"/>
              </w:rPr>
              <w:t>分；差：</w:t>
            </w:r>
            <w:r>
              <w:rPr>
                <w:rFonts w:hint="eastAsia" w:ascii="宋体" w:hAnsi="宋体" w:cs="宋体"/>
                <w:bCs/>
                <w:color w:val="auto"/>
                <w:kern w:val="0"/>
                <w:sz w:val="20"/>
                <w:szCs w:val="20"/>
                <w:highlight w:val="none"/>
                <w:lang w:val="en-US" w:eastAsia="zh-CN"/>
              </w:rPr>
              <w:t>2</w:t>
            </w:r>
            <w:r>
              <w:rPr>
                <w:rFonts w:hint="eastAsia" w:ascii="宋体" w:hAnsi="宋体" w:eastAsia="宋体" w:cs="宋体"/>
                <w:bCs/>
                <w:color w:val="auto"/>
                <w:kern w:val="0"/>
                <w:sz w:val="20"/>
                <w:szCs w:val="20"/>
                <w:highlight w:val="none"/>
                <w:lang w:val="en-US" w:eastAsia="zh-CN"/>
              </w:rPr>
              <w:t>分；未提供不得分。</w:t>
            </w:r>
          </w:p>
        </w:tc>
        <w:tc>
          <w:tcPr>
            <w:tcW w:w="709" w:type="dxa"/>
            <w:vAlign w:val="center"/>
          </w:tcPr>
          <w:p w14:paraId="459AC3DD">
            <w:pPr>
              <w:autoSpaceDE w:val="0"/>
              <w:autoSpaceDN w:val="0"/>
              <w:adjustRightInd w:val="0"/>
              <w:snapToGrid w:val="0"/>
              <w:spacing w:line="240" w:lineRule="auto"/>
              <w:jc w:val="center"/>
              <w:rPr>
                <w:rFonts w:hint="default" w:ascii="宋体" w:hAnsi="宋体" w:eastAsia="宋体" w:cs="宋体"/>
                <w:bCs/>
                <w:color w:val="auto"/>
                <w:kern w:val="0"/>
                <w:sz w:val="20"/>
                <w:szCs w:val="20"/>
                <w:highlight w:val="none"/>
                <w:lang w:val="en-US" w:eastAsia="zh-CN"/>
              </w:rPr>
            </w:pPr>
            <w:r>
              <w:rPr>
                <w:rFonts w:hint="eastAsia" w:ascii="宋体" w:hAnsi="宋体" w:cs="宋体"/>
                <w:color w:val="auto"/>
                <w:kern w:val="0"/>
                <w:sz w:val="20"/>
                <w:szCs w:val="20"/>
                <w:highlight w:val="none"/>
                <w:lang w:val="en-US" w:eastAsia="zh-CN"/>
              </w:rPr>
              <w:t>10</w:t>
            </w:r>
          </w:p>
        </w:tc>
        <w:tc>
          <w:tcPr>
            <w:tcW w:w="709" w:type="dxa"/>
            <w:vAlign w:val="center"/>
          </w:tcPr>
          <w:p w14:paraId="59B55443">
            <w:pPr>
              <w:autoSpaceDE w:val="0"/>
              <w:autoSpaceDN w:val="0"/>
              <w:adjustRightInd w:val="0"/>
              <w:snapToGrid w:val="0"/>
              <w:spacing w:line="240" w:lineRule="auto"/>
              <w:jc w:val="center"/>
              <w:rPr>
                <w:rFonts w:hint="eastAsia" w:ascii="宋体" w:hAnsi="宋体" w:eastAsia="宋体" w:cs="宋体"/>
                <w:color w:val="auto"/>
                <w:kern w:val="0"/>
                <w:sz w:val="20"/>
                <w:szCs w:val="20"/>
                <w:highlight w:val="none"/>
              </w:rPr>
            </w:pPr>
          </w:p>
        </w:tc>
      </w:tr>
      <w:tr w14:paraId="74AAE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691" w:type="dxa"/>
            <w:vAlign w:val="center"/>
          </w:tcPr>
          <w:p w14:paraId="257A6363">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2</w:t>
            </w:r>
          </w:p>
        </w:tc>
        <w:tc>
          <w:tcPr>
            <w:tcW w:w="1073" w:type="dxa"/>
            <w:shd w:val="clear" w:color="auto" w:fill="auto"/>
            <w:vAlign w:val="center"/>
          </w:tcPr>
          <w:p w14:paraId="5507CE29">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宋体" w:hAnsi="宋体" w:eastAsia="宋体" w:cs="宋体"/>
                <w:bCs/>
                <w:color w:val="auto"/>
                <w:kern w:val="0"/>
                <w:sz w:val="20"/>
                <w:szCs w:val="20"/>
                <w:highlight w:val="none"/>
              </w:rPr>
            </w:pPr>
            <w:r>
              <w:rPr>
                <w:rFonts w:hint="eastAsia" w:ascii="宋体" w:hAnsi="宋体" w:eastAsia="宋体" w:cs="宋体"/>
                <w:bCs/>
                <w:color w:val="auto"/>
                <w:kern w:val="0"/>
                <w:sz w:val="20"/>
                <w:szCs w:val="20"/>
                <w:highlight w:val="none"/>
              </w:rPr>
              <w:t>质量保证体系</w:t>
            </w:r>
          </w:p>
          <w:p w14:paraId="265A0D53">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rPr>
              <w:t>与措施</w:t>
            </w:r>
          </w:p>
        </w:tc>
        <w:tc>
          <w:tcPr>
            <w:tcW w:w="7481" w:type="dxa"/>
            <w:shd w:val="clear" w:color="auto" w:fill="auto"/>
            <w:vAlign w:val="center"/>
          </w:tcPr>
          <w:p w14:paraId="0D02F8A0">
            <w:pPr>
              <w:keepNext w:val="0"/>
              <w:keepLines w:val="0"/>
              <w:pageBreakBefore w:val="0"/>
              <w:widowControl w:val="0"/>
              <w:kinsoku/>
              <w:wordWrap/>
              <w:overflowPunct/>
              <w:topLinePunct w:val="0"/>
              <w:autoSpaceDE w:val="0"/>
              <w:autoSpaceDN w:val="0"/>
              <w:bidi w:val="0"/>
              <w:adjustRightInd w:val="0"/>
              <w:snapToGrid w:val="0"/>
              <w:spacing w:line="240" w:lineRule="auto"/>
              <w:jc w:val="left"/>
              <w:textAlignment w:val="auto"/>
              <w:rPr>
                <w:rFonts w:hint="eastAsia" w:ascii="宋体" w:hAnsi="宋体" w:cs="宋体"/>
                <w:bCs/>
                <w:color w:val="auto"/>
                <w:kern w:val="0"/>
                <w:sz w:val="20"/>
                <w:szCs w:val="20"/>
                <w:highlight w:val="none"/>
                <w:lang w:val="en-US" w:eastAsia="zh-CN"/>
              </w:rPr>
            </w:pPr>
            <w:r>
              <w:rPr>
                <w:rFonts w:hint="eastAsia" w:ascii="宋体" w:hAnsi="宋体" w:cs="宋体"/>
                <w:bCs/>
                <w:color w:val="auto"/>
                <w:kern w:val="0"/>
                <w:sz w:val="20"/>
                <w:szCs w:val="20"/>
                <w:highlight w:val="none"/>
                <w:lang w:val="en-US" w:eastAsia="zh-CN"/>
              </w:rPr>
              <w:t>①质量管理体系健全，质量目标明确；</w:t>
            </w:r>
          </w:p>
          <w:p w14:paraId="07748D0F">
            <w:pPr>
              <w:keepNext w:val="0"/>
              <w:keepLines w:val="0"/>
              <w:pageBreakBefore w:val="0"/>
              <w:widowControl w:val="0"/>
              <w:kinsoku/>
              <w:wordWrap/>
              <w:overflowPunct/>
              <w:topLinePunct w:val="0"/>
              <w:autoSpaceDE w:val="0"/>
              <w:autoSpaceDN w:val="0"/>
              <w:bidi w:val="0"/>
              <w:adjustRightInd w:val="0"/>
              <w:snapToGrid w:val="0"/>
              <w:spacing w:line="240" w:lineRule="auto"/>
              <w:jc w:val="left"/>
              <w:textAlignment w:val="auto"/>
              <w:rPr>
                <w:rFonts w:hint="eastAsia" w:ascii="宋体" w:hAnsi="宋体" w:cs="宋体"/>
                <w:bCs/>
                <w:color w:val="auto"/>
                <w:kern w:val="0"/>
                <w:sz w:val="20"/>
                <w:szCs w:val="20"/>
                <w:highlight w:val="none"/>
                <w:lang w:val="en-US" w:eastAsia="zh-CN"/>
              </w:rPr>
            </w:pPr>
            <w:r>
              <w:rPr>
                <w:rFonts w:hint="eastAsia" w:ascii="宋体" w:hAnsi="宋体" w:cs="宋体"/>
                <w:bCs/>
                <w:color w:val="auto"/>
                <w:kern w:val="0"/>
                <w:sz w:val="20"/>
                <w:szCs w:val="20"/>
                <w:highlight w:val="none"/>
                <w:lang w:val="en-US" w:eastAsia="zh-CN"/>
              </w:rPr>
              <w:t>②原材料进场检验、工序质量控制、工程验收等措施具体可行；</w:t>
            </w:r>
          </w:p>
          <w:p w14:paraId="327B66F9">
            <w:pPr>
              <w:keepNext w:val="0"/>
              <w:keepLines w:val="0"/>
              <w:pageBreakBefore w:val="0"/>
              <w:widowControl w:val="0"/>
              <w:kinsoku/>
              <w:wordWrap/>
              <w:overflowPunct/>
              <w:topLinePunct w:val="0"/>
              <w:autoSpaceDE w:val="0"/>
              <w:autoSpaceDN w:val="0"/>
              <w:bidi w:val="0"/>
              <w:adjustRightInd w:val="0"/>
              <w:snapToGrid w:val="0"/>
              <w:spacing w:line="240" w:lineRule="auto"/>
              <w:jc w:val="left"/>
              <w:textAlignment w:val="auto"/>
              <w:rPr>
                <w:rFonts w:hint="eastAsia" w:ascii="宋体" w:hAnsi="宋体" w:cs="宋体"/>
                <w:bCs/>
                <w:color w:val="auto"/>
                <w:kern w:val="0"/>
                <w:sz w:val="20"/>
                <w:szCs w:val="20"/>
                <w:highlight w:val="none"/>
                <w:lang w:val="en-US" w:eastAsia="zh-CN"/>
              </w:rPr>
            </w:pPr>
            <w:r>
              <w:rPr>
                <w:rFonts w:hint="eastAsia" w:ascii="宋体" w:hAnsi="宋体" w:cs="宋体"/>
                <w:bCs/>
                <w:color w:val="auto"/>
                <w:kern w:val="0"/>
                <w:sz w:val="20"/>
                <w:szCs w:val="20"/>
                <w:highlight w:val="none"/>
                <w:lang w:val="en-US" w:eastAsia="zh-CN"/>
              </w:rPr>
              <w:t>③围蔽工程的质量措施有针对性。</w:t>
            </w:r>
          </w:p>
          <w:p w14:paraId="0AFFA8FB">
            <w:pPr>
              <w:keepNext w:val="0"/>
              <w:keepLines w:val="0"/>
              <w:pageBreakBefore w:val="0"/>
              <w:widowControl w:val="0"/>
              <w:kinsoku/>
              <w:wordWrap/>
              <w:overflowPunct/>
              <w:topLinePunct w:val="0"/>
              <w:autoSpaceDE w:val="0"/>
              <w:autoSpaceDN w:val="0"/>
              <w:bidi w:val="0"/>
              <w:adjustRightInd w:val="0"/>
              <w:snapToGrid w:val="0"/>
              <w:spacing w:line="240" w:lineRule="auto"/>
              <w:jc w:val="left"/>
              <w:textAlignment w:val="auto"/>
              <w:rPr>
                <w:rFonts w:hint="default" w:ascii="宋体" w:hAnsi="宋体" w:eastAsia="宋体" w:cs="宋体"/>
                <w:bCs/>
                <w:color w:val="auto"/>
                <w:kern w:val="0"/>
                <w:sz w:val="20"/>
                <w:szCs w:val="20"/>
                <w:highlight w:val="none"/>
                <w:lang w:val="en-US" w:eastAsia="zh-CN"/>
              </w:rPr>
            </w:pPr>
            <w:r>
              <w:rPr>
                <w:rFonts w:hint="eastAsia" w:ascii="宋体" w:hAnsi="宋体" w:cs="宋体"/>
                <w:bCs/>
                <w:color w:val="auto"/>
                <w:kern w:val="0"/>
                <w:sz w:val="20"/>
                <w:szCs w:val="20"/>
                <w:highlight w:val="none"/>
                <w:lang w:val="en-US" w:eastAsia="zh-CN"/>
              </w:rPr>
              <w:t>优：10分；良：8分；中：5分；</w:t>
            </w:r>
            <w:r>
              <w:rPr>
                <w:rFonts w:hint="eastAsia" w:ascii="宋体" w:hAnsi="宋体" w:eastAsia="宋体" w:cs="宋体"/>
                <w:bCs/>
                <w:color w:val="auto"/>
                <w:kern w:val="0"/>
                <w:sz w:val="20"/>
                <w:szCs w:val="20"/>
                <w:highlight w:val="none"/>
                <w:lang w:val="en-US" w:eastAsia="zh-CN"/>
              </w:rPr>
              <w:t>差：</w:t>
            </w:r>
            <w:r>
              <w:rPr>
                <w:rFonts w:hint="eastAsia" w:ascii="宋体" w:hAnsi="宋体" w:cs="宋体"/>
                <w:bCs/>
                <w:color w:val="auto"/>
                <w:kern w:val="0"/>
                <w:sz w:val="20"/>
                <w:szCs w:val="20"/>
                <w:highlight w:val="none"/>
                <w:lang w:val="en-US" w:eastAsia="zh-CN"/>
              </w:rPr>
              <w:t>2</w:t>
            </w:r>
            <w:r>
              <w:rPr>
                <w:rFonts w:hint="eastAsia" w:ascii="宋体" w:hAnsi="宋体" w:eastAsia="宋体" w:cs="宋体"/>
                <w:bCs/>
                <w:color w:val="auto"/>
                <w:kern w:val="0"/>
                <w:sz w:val="20"/>
                <w:szCs w:val="20"/>
                <w:highlight w:val="none"/>
                <w:lang w:val="en-US" w:eastAsia="zh-CN"/>
              </w:rPr>
              <w:t>分；未提供不得分。</w:t>
            </w:r>
          </w:p>
        </w:tc>
        <w:tc>
          <w:tcPr>
            <w:tcW w:w="709" w:type="dxa"/>
            <w:vAlign w:val="center"/>
          </w:tcPr>
          <w:p w14:paraId="7F194A18">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宋体" w:hAnsi="宋体" w:eastAsia="宋体" w:cs="宋体"/>
                <w:bCs/>
                <w:color w:val="auto"/>
                <w:kern w:val="0"/>
                <w:sz w:val="20"/>
                <w:szCs w:val="20"/>
                <w:highlight w:val="none"/>
                <w:lang w:val="en-US" w:eastAsia="zh-CN"/>
              </w:rPr>
            </w:pPr>
            <w:r>
              <w:rPr>
                <w:rFonts w:hint="eastAsia" w:ascii="宋体" w:hAnsi="宋体" w:cs="宋体"/>
                <w:bCs/>
                <w:color w:val="auto"/>
                <w:kern w:val="0"/>
                <w:sz w:val="20"/>
                <w:szCs w:val="20"/>
                <w:highlight w:val="none"/>
                <w:lang w:val="en-US" w:eastAsia="zh-CN"/>
              </w:rPr>
              <w:t>10</w:t>
            </w:r>
          </w:p>
        </w:tc>
        <w:tc>
          <w:tcPr>
            <w:tcW w:w="709" w:type="dxa"/>
            <w:vAlign w:val="center"/>
          </w:tcPr>
          <w:p w14:paraId="2EF66762">
            <w:pPr>
              <w:autoSpaceDE w:val="0"/>
              <w:autoSpaceDN w:val="0"/>
              <w:adjustRightInd w:val="0"/>
              <w:snapToGrid w:val="0"/>
              <w:spacing w:line="200" w:lineRule="exact"/>
              <w:jc w:val="center"/>
              <w:rPr>
                <w:rFonts w:ascii="宋体" w:hAnsi="宋体" w:cs="宋体"/>
                <w:color w:val="auto"/>
                <w:kern w:val="0"/>
                <w:sz w:val="20"/>
                <w:szCs w:val="20"/>
                <w:highlight w:val="none"/>
              </w:rPr>
            </w:pPr>
          </w:p>
        </w:tc>
      </w:tr>
      <w:tr w14:paraId="7701F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1" w:hRule="atLeast"/>
          <w:jc w:val="center"/>
        </w:trPr>
        <w:tc>
          <w:tcPr>
            <w:tcW w:w="691" w:type="dxa"/>
            <w:vAlign w:val="center"/>
          </w:tcPr>
          <w:p w14:paraId="6CCC5096">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3</w:t>
            </w:r>
          </w:p>
        </w:tc>
        <w:tc>
          <w:tcPr>
            <w:tcW w:w="1073" w:type="dxa"/>
            <w:vAlign w:val="center"/>
          </w:tcPr>
          <w:p w14:paraId="1AC9868B">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宋体" w:hAnsi="宋体" w:eastAsia="宋体" w:cs="宋体"/>
                <w:bCs/>
                <w:color w:val="auto"/>
                <w:kern w:val="0"/>
                <w:sz w:val="20"/>
                <w:szCs w:val="20"/>
                <w:highlight w:val="none"/>
              </w:rPr>
            </w:pPr>
            <w:r>
              <w:rPr>
                <w:rFonts w:hint="eastAsia" w:ascii="宋体" w:hAnsi="宋体" w:eastAsia="宋体" w:cs="宋体"/>
                <w:bCs/>
                <w:color w:val="auto"/>
                <w:kern w:val="0"/>
                <w:sz w:val="20"/>
                <w:szCs w:val="20"/>
                <w:highlight w:val="none"/>
              </w:rPr>
              <w:t>工期保证措施</w:t>
            </w:r>
          </w:p>
        </w:tc>
        <w:tc>
          <w:tcPr>
            <w:tcW w:w="7481" w:type="dxa"/>
            <w:vAlign w:val="center"/>
          </w:tcPr>
          <w:p w14:paraId="1475BC27">
            <w:pPr>
              <w:keepNext w:val="0"/>
              <w:keepLines w:val="0"/>
              <w:pageBreakBefore w:val="0"/>
              <w:widowControl w:val="0"/>
              <w:kinsoku/>
              <w:wordWrap/>
              <w:overflowPunct/>
              <w:topLinePunct w:val="0"/>
              <w:autoSpaceDE w:val="0"/>
              <w:autoSpaceDN w:val="0"/>
              <w:bidi w:val="0"/>
              <w:adjustRightInd w:val="0"/>
              <w:snapToGrid w:val="0"/>
              <w:spacing w:line="240" w:lineRule="auto"/>
              <w:jc w:val="left"/>
              <w:textAlignment w:val="auto"/>
              <w:rPr>
                <w:rFonts w:hint="eastAsia" w:ascii="宋体" w:hAnsi="宋体" w:cs="宋体"/>
                <w:bCs/>
                <w:color w:val="auto"/>
                <w:kern w:val="0"/>
                <w:sz w:val="20"/>
                <w:szCs w:val="20"/>
                <w:highlight w:val="none"/>
                <w:lang w:val="en-US" w:eastAsia="zh-CN"/>
              </w:rPr>
            </w:pPr>
            <w:r>
              <w:rPr>
                <w:rFonts w:hint="eastAsia" w:ascii="宋体" w:hAnsi="宋体" w:cs="宋体"/>
                <w:bCs/>
                <w:color w:val="auto"/>
                <w:kern w:val="0"/>
                <w:sz w:val="20"/>
                <w:szCs w:val="20"/>
                <w:highlight w:val="none"/>
                <w:lang w:val="en-US" w:eastAsia="zh-CN"/>
              </w:rPr>
              <w:t>①施工总进度计划合理，关键线路清晰，工序衔接得当；</w:t>
            </w:r>
          </w:p>
          <w:p w14:paraId="1E7F7B5E">
            <w:pPr>
              <w:keepNext w:val="0"/>
              <w:keepLines w:val="0"/>
              <w:pageBreakBefore w:val="0"/>
              <w:widowControl w:val="0"/>
              <w:kinsoku/>
              <w:wordWrap/>
              <w:overflowPunct/>
              <w:topLinePunct w:val="0"/>
              <w:autoSpaceDE w:val="0"/>
              <w:autoSpaceDN w:val="0"/>
              <w:bidi w:val="0"/>
              <w:adjustRightInd w:val="0"/>
              <w:snapToGrid w:val="0"/>
              <w:spacing w:line="240" w:lineRule="auto"/>
              <w:jc w:val="left"/>
              <w:textAlignment w:val="auto"/>
              <w:rPr>
                <w:rFonts w:hint="eastAsia" w:ascii="宋体" w:hAnsi="宋体" w:cs="宋体"/>
                <w:bCs/>
                <w:color w:val="auto"/>
                <w:kern w:val="0"/>
                <w:sz w:val="20"/>
                <w:szCs w:val="20"/>
                <w:highlight w:val="none"/>
                <w:lang w:val="en-US" w:eastAsia="zh-CN"/>
              </w:rPr>
            </w:pPr>
            <w:r>
              <w:rPr>
                <w:rFonts w:hint="eastAsia" w:ascii="宋体" w:hAnsi="宋体" w:cs="宋体"/>
                <w:bCs/>
                <w:color w:val="auto"/>
                <w:kern w:val="0"/>
                <w:sz w:val="20"/>
                <w:szCs w:val="20"/>
                <w:highlight w:val="none"/>
                <w:lang w:val="en-US" w:eastAsia="zh-CN"/>
              </w:rPr>
              <w:t>②工期保障措施具体，人员、设备、材料投入计划合理；</w:t>
            </w:r>
          </w:p>
          <w:p w14:paraId="299B752A">
            <w:pPr>
              <w:keepNext w:val="0"/>
              <w:keepLines w:val="0"/>
              <w:pageBreakBefore w:val="0"/>
              <w:widowControl w:val="0"/>
              <w:kinsoku/>
              <w:wordWrap/>
              <w:overflowPunct/>
              <w:topLinePunct w:val="0"/>
              <w:autoSpaceDE w:val="0"/>
              <w:autoSpaceDN w:val="0"/>
              <w:bidi w:val="0"/>
              <w:adjustRightInd w:val="0"/>
              <w:snapToGrid w:val="0"/>
              <w:spacing w:line="240" w:lineRule="auto"/>
              <w:jc w:val="left"/>
              <w:textAlignment w:val="auto"/>
              <w:rPr>
                <w:rFonts w:hint="eastAsia" w:ascii="宋体" w:hAnsi="宋体" w:cs="宋体"/>
                <w:bCs/>
                <w:color w:val="auto"/>
                <w:kern w:val="0"/>
                <w:sz w:val="20"/>
                <w:szCs w:val="20"/>
                <w:highlight w:val="none"/>
                <w:lang w:val="en-US" w:eastAsia="zh-CN"/>
              </w:rPr>
            </w:pPr>
            <w:r>
              <w:rPr>
                <w:rFonts w:hint="eastAsia" w:ascii="宋体" w:hAnsi="宋体" w:cs="宋体"/>
                <w:bCs/>
                <w:color w:val="auto"/>
                <w:kern w:val="0"/>
                <w:sz w:val="20"/>
                <w:szCs w:val="20"/>
                <w:highlight w:val="none"/>
                <w:lang w:val="en-US" w:eastAsia="zh-CN"/>
              </w:rPr>
              <w:t>③雨季施工、交叉作业等特殊情况下的工期应对措施可行。</w:t>
            </w:r>
          </w:p>
          <w:p w14:paraId="3F912A66">
            <w:pPr>
              <w:keepNext w:val="0"/>
              <w:keepLines w:val="0"/>
              <w:pageBreakBefore w:val="0"/>
              <w:widowControl w:val="0"/>
              <w:kinsoku/>
              <w:wordWrap/>
              <w:overflowPunct/>
              <w:topLinePunct w:val="0"/>
              <w:autoSpaceDE w:val="0"/>
              <w:autoSpaceDN w:val="0"/>
              <w:bidi w:val="0"/>
              <w:adjustRightInd w:val="0"/>
              <w:snapToGrid w:val="0"/>
              <w:spacing w:line="240" w:lineRule="auto"/>
              <w:jc w:val="left"/>
              <w:textAlignment w:val="auto"/>
              <w:rPr>
                <w:rFonts w:hint="eastAsia" w:ascii="宋体" w:hAnsi="宋体" w:eastAsia="宋体" w:cs="宋体"/>
                <w:bCs/>
                <w:color w:val="auto"/>
                <w:kern w:val="0"/>
                <w:sz w:val="20"/>
                <w:szCs w:val="20"/>
                <w:highlight w:val="none"/>
              </w:rPr>
            </w:pPr>
            <w:r>
              <w:rPr>
                <w:rFonts w:hint="eastAsia" w:ascii="宋体" w:hAnsi="宋体" w:cs="宋体"/>
                <w:bCs/>
                <w:color w:val="auto"/>
                <w:kern w:val="0"/>
                <w:sz w:val="20"/>
                <w:szCs w:val="20"/>
                <w:highlight w:val="none"/>
                <w:lang w:val="en-US" w:eastAsia="zh-CN"/>
              </w:rPr>
              <w:t>优：10分；良：8分；中：5分；</w:t>
            </w:r>
            <w:r>
              <w:rPr>
                <w:rFonts w:hint="eastAsia" w:ascii="宋体" w:hAnsi="宋体" w:eastAsia="宋体" w:cs="宋体"/>
                <w:bCs/>
                <w:color w:val="auto"/>
                <w:kern w:val="0"/>
                <w:sz w:val="20"/>
                <w:szCs w:val="20"/>
                <w:highlight w:val="none"/>
                <w:lang w:val="en-US" w:eastAsia="zh-CN"/>
              </w:rPr>
              <w:t>差：</w:t>
            </w:r>
            <w:r>
              <w:rPr>
                <w:rFonts w:hint="eastAsia" w:ascii="宋体" w:hAnsi="宋体" w:cs="宋体"/>
                <w:bCs/>
                <w:color w:val="auto"/>
                <w:kern w:val="0"/>
                <w:sz w:val="20"/>
                <w:szCs w:val="20"/>
                <w:highlight w:val="none"/>
                <w:lang w:val="en-US" w:eastAsia="zh-CN"/>
              </w:rPr>
              <w:t>2</w:t>
            </w:r>
            <w:r>
              <w:rPr>
                <w:rFonts w:hint="eastAsia" w:ascii="宋体" w:hAnsi="宋体" w:eastAsia="宋体" w:cs="宋体"/>
                <w:bCs/>
                <w:color w:val="auto"/>
                <w:kern w:val="0"/>
                <w:sz w:val="20"/>
                <w:szCs w:val="20"/>
                <w:highlight w:val="none"/>
                <w:lang w:val="en-US" w:eastAsia="zh-CN"/>
              </w:rPr>
              <w:t>分；未提供不得分。</w:t>
            </w:r>
          </w:p>
        </w:tc>
        <w:tc>
          <w:tcPr>
            <w:tcW w:w="709" w:type="dxa"/>
            <w:vAlign w:val="center"/>
          </w:tcPr>
          <w:p w14:paraId="07DC699E">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宋体" w:hAnsi="宋体" w:eastAsia="宋体" w:cs="宋体"/>
                <w:bCs/>
                <w:color w:val="auto"/>
                <w:kern w:val="0"/>
                <w:sz w:val="20"/>
                <w:szCs w:val="20"/>
                <w:highlight w:val="none"/>
                <w:lang w:val="en-US" w:eastAsia="zh-CN"/>
              </w:rPr>
            </w:pPr>
            <w:r>
              <w:rPr>
                <w:rFonts w:hint="eastAsia" w:ascii="宋体" w:hAnsi="宋体" w:cs="宋体"/>
                <w:bCs/>
                <w:color w:val="auto"/>
                <w:kern w:val="0"/>
                <w:sz w:val="20"/>
                <w:szCs w:val="20"/>
                <w:highlight w:val="none"/>
                <w:lang w:val="en-US" w:eastAsia="zh-CN"/>
              </w:rPr>
              <w:t>10</w:t>
            </w:r>
          </w:p>
        </w:tc>
        <w:tc>
          <w:tcPr>
            <w:tcW w:w="709" w:type="dxa"/>
            <w:vAlign w:val="center"/>
          </w:tcPr>
          <w:p w14:paraId="0F76125B">
            <w:pPr>
              <w:autoSpaceDE w:val="0"/>
              <w:autoSpaceDN w:val="0"/>
              <w:adjustRightInd w:val="0"/>
              <w:snapToGrid w:val="0"/>
              <w:spacing w:line="200" w:lineRule="exact"/>
              <w:jc w:val="center"/>
              <w:rPr>
                <w:rFonts w:ascii="宋体" w:hAnsi="宋体" w:cs="宋体"/>
                <w:color w:val="auto"/>
                <w:kern w:val="0"/>
                <w:sz w:val="20"/>
                <w:szCs w:val="20"/>
                <w:highlight w:val="none"/>
              </w:rPr>
            </w:pPr>
          </w:p>
        </w:tc>
      </w:tr>
      <w:tr w14:paraId="5590B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691" w:type="dxa"/>
            <w:vAlign w:val="center"/>
          </w:tcPr>
          <w:p w14:paraId="6DF91AD1">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宋体" w:hAnsi="宋体" w:eastAsia="宋体" w:cs="宋体"/>
                <w:bCs/>
                <w:color w:val="auto"/>
                <w:kern w:val="0"/>
                <w:sz w:val="20"/>
                <w:szCs w:val="20"/>
                <w:highlight w:val="none"/>
                <w:lang w:val="en-US" w:eastAsia="zh-CN"/>
              </w:rPr>
            </w:pPr>
            <w:r>
              <w:rPr>
                <w:rFonts w:hint="eastAsia" w:ascii="宋体" w:hAnsi="宋体" w:cs="宋体"/>
                <w:bCs/>
                <w:color w:val="auto"/>
                <w:kern w:val="0"/>
                <w:sz w:val="20"/>
                <w:szCs w:val="20"/>
                <w:highlight w:val="none"/>
                <w:lang w:val="en-US" w:eastAsia="zh-CN"/>
              </w:rPr>
              <w:t>4</w:t>
            </w:r>
          </w:p>
        </w:tc>
        <w:tc>
          <w:tcPr>
            <w:tcW w:w="1073" w:type="dxa"/>
            <w:vAlign w:val="center"/>
          </w:tcPr>
          <w:p w14:paraId="587174FF">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宋体" w:hAnsi="宋体" w:eastAsia="宋体" w:cs="宋体"/>
                <w:bCs/>
                <w:color w:val="auto"/>
                <w:kern w:val="0"/>
                <w:sz w:val="20"/>
                <w:szCs w:val="20"/>
                <w:highlight w:val="none"/>
              </w:rPr>
            </w:pPr>
            <w:r>
              <w:rPr>
                <w:rFonts w:hint="eastAsia" w:ascii="宋体" w:hAnsi="宋体" w:eastAsia="宋体" w:cs="宋体"/>
                <w:bCs/>
                <w:color w:val="auto"/>
                <w:kern w:val="0"/>
                <w:sz w:val="20"/>
                <w:szCs w:val="20"/>
                <w:highlight w:val="none"/>
              </w:rPr>
              <w:t>质保期服务方案</w:t>
            </w:r>
          </w:p>
        </w:tc>
        <w:tc>
          <w:tcPr>
            <w:tcW w:w="7481" w:type="dxa"/>
            <w:vAlign w:val="center"/>
          </w:tcPr>
          <w:p w14:paraId="0668114E">
            <w:pPr>
              <w:keepNext w:val="0"/>
              <w:keepLines w:val="0"/>
              <w:pageBreakBefore w:val="0"/>
              <w:widowControl w:val="0"/>
              <w:kinsoku/>
              <w:wordWrap/>
              <w:overflowPunct/>
              <w:topLinePunct w:val="0"/>
              <w:autoSpaceDE w:val="0"/>
              <w:autoSpaceDN w:val="0"/>
              <w:bidi w:val="0"/>
              <w:adjustRightInd w:val="0"/>
              <w:snapToGrid w:val="0"/>
              <w:spacing w:line="240" w:lineRule="auto"/>
              <w:jc w:val="left"/>
              <w:textAlignment w:val="auto"/>
              <w:rPr>
                <w:rFonts w:hint="eastAsia" w:ascii="宋体" w:hAnsi="宋体" w:cs="宋体"/>
                <w:bCs/>
                <w:color w:val="auto"/>
                <w:kern w:val="0"/>
                <w:sz w:val="20"/>
                <w:szCs w:val="20"/>
                <w:highlight w:val="none"/>
                <w:lang w:val="en-US" w:eastAsia="zh-CN"/>
              </w:rPr>
            </w:pPr>
            <w:r>
              <w:rPr>
                <w:rFonts w:hint="eastAsia" w:ascii="宋体" w:hAnsi="宋体" w:cs="宋体"/>
                <w:bCs/>
                <w:color w:val="auto"/>
                <w:kern w:val="0"/>
                <w:sz w:val="20"/>
                <w:szCs w:val="20"/>
                <w:highlight w:val="none"/>
                <w:lang w:val="en-US" w:eastAsia="zh-CN"/>
              </w:rPr>
              <w:t>①质保期内维护方案详细可行；</w:t>
            </w:r>
          </w:p>
          <w:p w14:paraId="1F1C2D25">
            <w:pPr>
              <w:keepNext w:val="0"/>
              <w:keepLines w:val="0"/>
              <w:pageBreakBefore w:val="0"/>
              <w:widowControl w:val="0"/>
              <w:kinsoku/>
              <w:wordWrap/>
              <w:overflowPunct/>
              <w:topLinePunct w:val="0"/>
              <w:autoSpaceDE w:val="0"/>
              <w:autoSpaceDN w:val="0"/>
              <w:bidi w:val="0"/>
              <w:adjustRightInd w:val="0"/>
              <w:snapToGrid w:val="0"/>
              <w:spacing w:line="240" w:lineRule="auto"/>
              <w:jc w:val="left"/>
              <w:textAlignment w:val="auto"/>
              <w:rPr>
                <w:rFonts w:hint="eastAsia" w:ascii="宋体" w:hAnsi="宋体" w:cs="宋体"/>
                <w:bCs/>
                <w:color w:val="auto"/>
                <w:kern w:val="0"/>
                <w:sz w:val="20"/>
                <w:szCs w:val="20"/>
                <w:highlight w:val="none"/>
                <w:lang w:val="en-US" w:eastAsia="zh-CN"/>
              </w:rPr>
            </w:pPr>
            <w:r>
              <w:rPr>
                <w:rFonts w:hint="eastAsia" w:ascii="宋体" w:hAnsi="宋体" w:cs="宋体"/>
                <w:bCs/>
                <w:color w:val="auto"/>
                <w:kern w:val="0"/>
                <w:sz w:val="20"/>
                <w:szCs w:val="20"/>
                <w:highlight w:val="none"/>
                <w:lang w:val="en-US" w:eastAsia="zh-CN"/>
              </w:rPr>
              <w:t>②质保期内非人为损坏免费维修更换承诺明确。</w:t>
            </w:r>
          </w:p>
          <w:p w14:paraId="2CBE19D9">
            <w:pPr>
              <w:keepNext w:val="0"/>
              <w:keepLines w:val="0"/>
              <w:pageBreakBefore w:val="0"/>
              <w:widowControl w:val="0"/>
              <w:kinsoku/>
              <w:wordWrap/>
              <w:overflowPunct/>
              <w:topLinePunct w:val="0"/>
              <w:autoSpaceDE w:val="0"/>
              <w:autoSpaceDN w:val="0"/>
              <w:bidi w:val="0"/>
              <w:adjustRightInd w:val="0"/>
              <w:snapToGrid w:val="0"/>
              <w:spacing w:line="240" w:lineRule="auto"/>
              <w:jc w:val="left"/>
              <w:textAlignment w:val="auto"/>
              <w:rPr>
                <w:rFonts w:hint="eastAsia" w:ascii="宋体" w:hAnsi="宋体" w:cs="宋体"/>
                <w:bCs/>
                <w:color w:val="auto"/>
                <w:kern w:val="0"/>
                <w:sz w:val="20"/>
                <w:szCs w:val="20"/>
                <w:highlight w:val="none"/>
                <w:lang w:val="en-US" w:eastAsia="zh-CN"/>
              </w:rPr>
            </w:pPr>
            <w:r>
              <w:rPr>
                <w:rFonts w:hint="eastAsia" w:ascii="宋体" w:hAnsi="宋体" w:cs="宋体"/>
                <w:bCs/>
                <w:color w:val="auto"/>
                <w:kern w:val="0"/>
                <w:sz w:val="20"/>
                <w:szCs w:val="20"/>
                <w:highlight w:val="none"/>
                <w:lang w:val="en-US" w:eastAsia="zh-CN"/>
              </w:rPr>
              <w:t>优：10分；良：8分；中：5分；</w:t>
            </w:r>
            <w:r>
              <w:rPr>
                <w:rFonts w:hint="eastAsia" w:ascii="宋体" w:hAnsi="宋体" w:eastAsia="宋体" w:cs="宋体"/>
                <w:bCs/>
                <w:color w:val="auto"/>
                <w:kern w:val="0"/>
                <w:sz w:val="20"/>
                <w:szCs w:val="20"/>
                <w:highlight w:val="none"/>
                <w:lang w:val="en-US" w:eastAsia="zh-CN"/>
              </w:rPr>
              <w:t>差：</w:t>
            </w:r>
            <w:r>
              <w:rPr>
                <w:rFonts w:hint="eastAsia" w:ascii="宋体" w:hAnsi="宋体" w:cs="宋体"/>
                <w:bCs/>
                <w:color w:val="auto"/>
                <w:kern w:val="0"/>
                <w:sz w:val="20"/>
                <w:szCs w:val="20"/>
                <w:highlight w:val="none"/>
                <w:lang w:val="en-US" w:eastAsia="zh-CN"/>
              </w:rPr>
              <w:t>2</w:t>
            </w:r>
            <w:r>
              <w:rPr>
                <w:rFonts w:hint="eastAsia" w:ascii="宋体" w:hAnsi="宋体" w:eastAsia="宋体" w:cs="宋体"/>
                <w:bCs/>
                <w:color w:val="auto"/>
                <w:kern w:val="0"/>
                <w:sz w:val="20"/>
                <w:szCs w:val="20"/>
                <w:highlight w:val="none"/>
                <w:lang w:val="en-US" w:eastAsia="zh-CN"/>
              </w:rPr>
              <w:t>分；未提供不得分。</w:t>
            </w:r>
          </w:p>
        </w:tc>
        <w:tc>
          <w:tcPr>
            <w:tcW w:w="709" w:type="dxa"/>
            <w:vAlign w:val="center"/>
          </w:tcPr>
          <w:p w14:paraId="27CB767B">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宋体" w:hAnsi="宋体" w:eastAsia="宋体" w:cs="宋体"/>
                <w:bCs/>
                <w:color w:val="auto"/>
                <w:kern w:val="0"/>
                <w:sz w:val="20"/>
                <w:szCs w:val="20"/>
                <w:highlight w:val="none"/>
                <w:lang w:val="en-US" w:eastAsia="zh-CN"/>
              </w:rPr>
            </w:pPr>
            <w:r>
              <w:rPr>
                <w:rFonts w:hint="eastAsia" w:ascii="宋体" w:hAnsi="宋体" w:cs="宋体"/>
                <w:bCs/>
                <w:color w:val="auto"/>
                <w:kern w:val="0"/>
                <w:sz w:val="20"/>
                <w:szCs w:val="20"/>
                <w:highlight w:val="none"/>
                <w:lang w:val="en-US" w:eastAsia="zh-CN"/>
              </w:rPr>
              <w:t>10</w:t>
            </w:r>
          </w:p>
        </w:tc>
        <w:tc>
          <w:tcPr>
            <w:tcW w:w="709" w:type="dxa"/>
            <w:vAlign w:val="center"/>
          </w:tcPr>
          <w:p w14:paraId="25F85185">
            <w:pPr>
              <w:autoSpaceDE w:val="0"/>
              <w:autoSpaceDN w:val="0"/>
              <w:adjustRightInd w:val="0"/>
              <w:snapToGrid w:val="0"/>
              <w:spacing w:line="200" w:lineRule="exact"/>
              <w:jc w:val="center"/>
              <w:rPr>
                <w:rFonts w:ascii="宋体" w:hAnsi="宋体" w:cs="宋体"/>
                <w:color w:val="auto"/>
                <w:kern w:val="0"/>
                <w:sz w:val="20"/>
                <w:szCs w:val="20"/>
                <w:highlight w:val="none"/>
              </w:rPr>
            </w:pPr>
          </w:p>
        </w:tc>
      </w:tr>
      <w:tr w14:paraId="7ADA2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1" w:type="dxa"/>
            <w:vAlign w:val="center"/>
          </w:tcPr>
          <w:p w14:paraId="267F47BB">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宋体" w:hAnsi="宋体" w:eastAsia="宋体" w:cs="宋体"/>
                <w:bCs/>
                <w:color w:val="auto"/>
                <w:kern w:val="0"/>
                <w:sz w:val="20"/>
                <w:szCs w:val="20"/>
                <w:highlight w:val="none"/>
                <w:lang w:val="en-US" w:eastAsia="zh-CN"/>
              </w:rPr>
            </w:pPr>
            <w:r>
              <w:rPr>
                <w:rFonts w:hint="eastAsia" w:ascii="宋体" w:hAnsi="宋体" w:cs="宋体"/>
                <w:bCs/>
                <w:color w:val="auto"/>
                <w:kern w:val="0"/>
                <w:sz w:val="20"/>
                <w:szCs w:val="20"/>
                <w:highlight w:val="none"/>
                <w:lang w:val="en-US" w:eastAsia="zh-CN"/>
              </w:rPr>
              <w:t>5</w:t>
            </w:r>
          </w:p>
        </w:tc>
        <w:tc>
          <w:tcPr>
            <w:tcW w:w="1073" w:type="dxa"/>
            <w:vAlign w:val="center"/>
          </w:tcPr>
          <w:p w14:paraId="020CCA19">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宋体" w:hAnsi="宋体" w:eastAsia="宋体" w:cs="宋体"/>
                <w:bCs/>
                <w:color w:val="auto"/>
                <w:kern w:val="0"/>
                <w:sz w:val="20"/>
                <w:szCs w:val="20"/>
                <w:highlight w:val="none"/>
              </w:rPr>
            </w:pPr>
            <w:r>
              <w:rPr>
                <w:rFonts w:hint="eastAsia" w:ascii="宋体" w:hAnsi="宋体" w:eastAsia="宋体" w:cs="宋体"/>
                <w:bCs/>
                <w:color w:val="auto"/>
                <w:kern w:val="0"/>
                <w:sz w:val="20"/>
                <w:szCs w:val="20"/>
                <w:highlight w:val="none"/>
              </w:rPr>
              <w:t>安全生产与文明施工措施</w:t>
            </w:r>
          </w:p>
        </w:tc>
        <w:tc>
          <w:tcPr>
            <w:tcW w:w="7481" w:type="dxa"/>
            <w:vAlign w:val="center"/>
          </w:tcPr>
          <w:p w14:paraId="6551A138">
            <w:pPr>
              <w:keepNext w:val="0"/>
              <w:keepLines w:val="0"/>
              <w:pageBreakBefore w:val="0"/>
              <w:widowControl w:val="0"/>
              <w:kinsoku/>
              <w:wordWrap/>
              <w:overflowPunct/>
              <w:topLinePunct w:val="0"/>
              <w:autoSpaceDE w:val="0"/>
              <w:autoSpaceDN w:val="0"/>
              <w:bidi w:val="0"/>
              <w:adjustRightInd w:val="0"/>
              <w:snapToGrid w:val="0"/>
              <w:spacing w:line="240" w:lineRule="auto"/>
              <w:jc w:val="left"/>
              <w:textAlignment w:val="auto"/>
              <w:rPr>
                <w:rFonts w:hint="eastAsia" w:ascii="宋体" w:hAnsi="宋体" w:cs="宋体"/>
                <w:bCs/>
                <w:color w:val="auto"/>
                <w:kern w:val="0"/>
                <w:sz w:val="20"/>
                <w:szCs w:val="20"/>
                <w:highlight w:val="none"/>
                <w:lang w:val="en-US" w:eastAsia="zh-CN"/>
              </w:rPr>
            </w:pPr>
            <w:r>
              <w:rPr>
                <w:rFonts w:hint="eastAsia" w:ascii="宋体" w:hAnsi="宋体" w:cs="宋体"/>
                <w:bCs/>
                <w:color w:val="auto"/>
                <w:kern w:val="0"/>
                <w:sz w:val="20"/>
                <w:szCs w:val="20"/>
                <w:highlight w:val="none"/>
                <w:lang w:val="en-US" w:eastAsia="zh-CN"/>
              </w:rPr>
              <w:t>①安全生产管理体系健全，安全责任制落实，安全风险辨识全面；</w:t>
            </w:r>
          </w:p>
          <w:p w14:paraId="522608DD">
            <w:pPr>
              <w:keepNext w:val="0"/>
              <w:keepLines w:val="0"/>
              <w:pageBreakBefore w:val="0"/>
              <w:widowControl w:val="0"/>
              <w:kinsoku/>
              <w:wordWrap/>
              <w:overflowPunct/>
              <w:topLinePunct w:val="0"/>
              <w:autoSpaceDE w:val="0"/>
              <w:autoSpaceDN w:val="0"/>
              <w:bidi w:val="0"/>
              <w:adjustRightInd w:val="0"/>
              <w:snapToGrid w:val="0"/>
              <w:spacing w:line="240" w:lineRule="auto"/>
              <w:jc w:val="left"/>
              <w:textAlignment w:val="auto"/>
              <w:rPr>
                <w:rFonts w:hint="eastAsia" w:ascii="宋体" w:hAnsi="宋体" w:cs="宋体"/>
                <w:bCs/>
                <w:color w:val="auto"/>
                <w:kern w:val="0"/>
                <w:sz w:val="20"/>
                <w:szCs w:val="20"/>
                <w:highlight w:val="none"/>
                <w:lang w:val="en-US" w:eastAsia="zh-CN"/>
              </w:rPr>
            </w:pPr>
            <w:r>
              <w:rPr>
                <w:rFonts w:hint="eastAsia" w:ascii="宋体" w:hAnsi="宋体" w:cs="宋体"/>
                <w:bCs/>
                <w:color w:val="auto"/>
                <w:kern w:val="0"/>
                <w:sz w:val="20"/>
                <w:szCs w:val="20"/>
                <w:highlight w:val="none"/>
                <w:lang w:val="en-US" w:eastAsia="zh-CN"/>
              </w:rPr>
              <w:t>②临水作业、高处作业、用电安全等专项安全措施具体可行；</w:t>
            </w:r>
          </w:p>
          <w:p w14:paraId="40CE6DFD">
            <w:pPr>
              <w:keepNext w:val="0"/>
              <w:keepLines w:val="0"/>
              <w:pageBreakBefore w:val="0"/>
              <w:widowControl w:val="0"/>
              <w:kinsoku/>
              <w:wordWrap/>
              <w:overflowPunct/>
              <w:topLinePunct w:val="0"/>
              <w:autoSpaceDE w:val="0"/>
              <w:autoSpaceDN w:val="0"/>
              <w:bidi w:val="0"/>
              <w:adjustRightInd w:val="0"/>
              <w:snapToGrid w:val="0"/>
              <w:spacing w:line="240" w:lineRule="auto"/>
              <w:jc w:val="left"/>
              <w:textAlignment w:val="auto"/>
              <w:rPr>
                <w:rFonts w:hint="eastAsia" w:ascii="宋体" w:hAnsi="宋体" w:cs="宋体"/>
                <w:bCs/>
                <w:color w:val="auto"/>
                <w:kern w:val="0"/>
                <w:sz w:val="20"/>
                <w:szCs w:val="20"/>
                <w:highlight w:val="none"/>
                <w:lang w:val="en-US" w:eastAsia="zh-CN"/>
              </w:rPr>
            </w:pPr>
            <w:r>
              <w:rPr>
                <w:rFonts w:hint="eastAsia" w:ascii="宋体" w:hAnsi="宋体" w:cs="宋体"/>
                <w:bCs/>
                <w:color w:val="auto"/>
                <w:kern w:val="0"/>
                <w:sz w:val="20"/>
                <w:szCs w:val="20"/>
                <w:highlight w:val="none"/>
                <w:lang w:val="en-US" w:eastAsia="zh-CN"/>
              </w:rPr>
              <w:t>③文明施工措施完善，现场围挡、材料堆放、扬尘噪声控制到位。</w:t>
            </w:r>
          </w:p>
          <w:p w14:paraId="1CA697EA">
            <w:pPr>
              <w:keepNext w:val="0"/>
              <w:keepLines w:val="0"/>
              <w:pageBreakBefore w:val="0"/>
              <w:widowControl w:val="0"/>
              <w:kinsoku/>
              <w:wordWrap/>
              <w:overflowPunct/>
              <w:topLinePunct w:val="0"/>
              <w:autoSpaceDE w:val="0"/>
              <w:autoSpaceDN w:val="0"/>
              <w:bidi w:val="0"/>
              <w:adjustRightInd w:val="0"/>
              <w:snapToGrid w:val="0"/>
              <w:spacing w:line="240" w:lineRule="auto"/>
              <w:jc w:val="left"/>
              <w:textAlignment w:val="auto"/>
              <w:rPr>
                <w:rFonts w:hint="eastAsia" w:ascii="宋体" w:hAnsi="宋体" w:cs="宋体"/>
                <w:bCs/>
                <w:color w:val="auto"/>
                <w:kern w:val="0"/>
                <w:sz w:val="20"/>
                <w:szCs w:val="20"/>
                <w:highlight w:val="none"/>
                <w:lang w:val="en-US" w:eastAsia="zh-CN"/>
              </w:rPr>
            </w:pPr>
            <w:r>
              <w:rPr>
                <w:rFonts w:hint="eastAsia" w:ascii="宋体" w:hAnsi="宋体" w:cs="宋体"/>
                <w:bCs/>
                <w:color w:val="auto"/>
                <w:kern w:val="0"/>
                <w:sz w:val="20"/>
                <w:szCs w:val="20"/>
                <w:highlight w:val="none"/>
                <w:lang w:val="en-US" w:eastAsia="zh-CN"/>
              </w:rPr>
              <w:t>优：10分；良：8分；中：5分；</w:t>
            </w:r>
            <w:r>
              <w:rPr>
                <w:rFonts w:hint="eastAsia" w:ascii="宋体" w:hAnsi="宋体" w:eastAsia="宋体" w:cs="宋体"/>
                <w:bCs/>
                <w:color w:val="auto"/>
                <w:kern w:val="0"/>
                <w:sz w:val="20"/>
                <w:szCs w:val="20"/>
                <w:highlight w:val="none"/>
                <w:lang w:val="en-US" w:eastAsia="zh-CN"/>
              </w:rPr>
              <w:t>差：</w:t>
            </w:r>
            <w:r>
              <w:rPr>
                <w:rFonts w:hint="eastAsia" w:ascii="宋体" w:hAnsi="宋体" w:cs="宋体"/>
                <w:bCs/>
                <w:color w:val="auto"/>
                <w:kern w:val="0"/>
                <w:sz w:val="20"/>
                <w:szCs w:val="20"/>
                <w:highlight w:val="none"/>
                <w:lang w:val="en-US" w:eastAsia="zh-CN"/>
              </w:rPr>
              <w:t>2</w:t>
            </w:r>
            <w:r>
              <w:rPr>
                <w:rFonts w:hint="eastAsia" w:ascii="宋体" w:hAnsi="宋体" w:eastAsia="宋体" w:cs="宋体"/>
                <w:bCs/>
                <w:color w:val="auto"/>
                <w:kern w:val="0"/>
                <w:sz w:val="20"/>
                <w:szCs w:val="20"/>
                <w:highlight w:val="none"/>
                <w:lang w:val="en-US" w:eastAsia="zh-CN"/>
              </w:rPr>
              <w:t>分；未提供不得分。</w:t>
            </w:r>
          </w:p>
        </w:tc>
        <w:tc>
          <w:tcPr>
            <w:tcW w:w="709" w:type="dxa"/>
            <w:vAlign w:val="center"/>
          </w:tcPr>
          <w:p w14:paraId="366C6AFA">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宋体" w:hAnsi="宋体" w:eastAsia="宋体" w:cs="宋体"/>
                <w:bCs/>
                <w:color w:val="auto"/>
                <w:kern w:val="0"/>
                <w:sz w:val="20"/>
                <w:szCs w:val="20"/>
                <w:highlight w:val="none"/>
                <w:lang w:val="en-US" w:eastAsia="zh-CN"/>
              </w:rPr>
            </w:pPr>
            <w:r>
              <w:rPr>
                <w:rFonts w:hint="eastAsia" w:ascii="宋体" w:hAnsi="宋体" w:cs="宋体"/>
                <w:bCs/>
                <w:color w:val="auto"/>
                <w:kern w:val="0"/>
                <w:sz w:val="20"/>
                <w:szCs w:val="20"/>
                <w:highlight w:val="none"/>
                <w:lang w:val="en-US" w:eastAsia="zh-CN"/>
              </w:rPr>
              <w:t>10</w:t>
            </w:r>
          </w:p>
        </w:tc>
        <w:tc>
          <w:tcPr>
            <w:tcW w:w="709" w:type="dxa"/>
            <w:vAlign w:val="center"/>
          </w:tcPr>
          <w:p w14:paraId="1283C3F9">
            <w:pPr>
              <w:autoSpaceDE w:val="0"/>
              <w:autoSpaceDN w:val="0"/>
              <w:adjustRightInd w:val="0"/>
              <w:snapToGrid w:val="0"/>
              <w:spacing w:line="200" w:lineRule="exact"/>
              <w:jc w:val="center"/>
              <w:rPr>
                <w:rFonts w:ascii="宋体" w:hAnsi="宋体" w:cs="宋体"/>
                <w:color w:val="auto"/>
                <w:kern w:val="0"/>
                <w:sz w:val="20"/>
                <w:szCs w:val="20"/>
                <w:highlight w:val="none"/>
              </w:rPr>
            </w:pPr>
          </w:p>
        </w:tc>
      </w:tr>
      <w:tr w14:paraId="7BA90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63" w:type="dxa"/>
            <w:gridSpan w:val="5"/>
            <w:vAlign w:val="center"/>
          </w:tcPr>
          <w:p w14:paraId="20A27EC1">
            <w:pPr>
              <w:autoSpaceDE w:val="0"/>
              <w:autoSpaceDN w:val="0"/>
              <w:adjustRightInd w:val="0"/>
              <w:snapToGrid w:val="0"/>
              <w:spacing w:line="200" w:lineRule="exact"/>
              <w:ind w:left="-111" w:leftChars="-37" w:right="-105" w:rightChars="-35"/>
              <w:jc w:val="center"/>
              <w:rPr>
                <w:rFonts w:ascii="宋体" w:hAnsi="宋体" w:cs="宋体"/>
                <w:b/>
                <w:color w:val="auto"/>
                <w:kern w:val="0"/>
                <w:sz w:val="20"/>
                <w:szCs w:val="20"/>
                <w:highlight w:val="none"/>
              </w:rPr>
            </w:pPr>
            <w:r>
              <w:rPr>
                <w:rFonts w:hint="eastAsia" w:ascii="宋体" w:hAnsi="宋体" w:cs="宋体"/>
                <w:b/>
                <w:color w:val="auto"/>
                <w:kern w:val="0"/>
                <w:sz w:val="20"/>
                <w:szCs w:val="20"/>
                <w:highlight w:val="none"/>
              </w:rPr>
              <w:t>二、商务部分 （</w:t>
            </w:r>
            <w:r>
              <w:rPr>
                <w:rFonts w:hint="eastAsia" w:ascii="宋体" w:hAnsi="宋体" w:cs="宋体"/>
                <w:b/>
                <w:color w:val="auto"/>
                <w:kern w:val="0"/>
                <w:sz w:val="20"/>
                <w:szCs w:val="20"/>
                <w:highlight w:val="none"/>
                <w:lang w:val="en-US" w:eastAsia="zh-CN"/>
              </w:rPr>
              <w:t>30</w:t>
            </w:r>
            <w:r>
              <w:rPr>
                <w:rFonts w:hint="eastAsia" w:ascii="宋体" w:hAnsi="宋体" w:cs="宋体"/>
                <w:b/>
                <w:color w:val="auto"/>
                <w:kern w:val="0"/>
                <w:sz w:val="20"/>
                <w:szCs w:val="20"/>
                <w:highlight w:val="none"/>
              </w:rPr>
              <w:t>分）</w:t>
            </w:r>
          </w:p>
        </w:tc>
      </w:tr>
      <w:tr w14:paraId="5137D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691" w:type="dxa"/>
            <w:vAlign w:val="center"/>
          </w:tcPr>
          <w:p w14:paraId="52ACFBA2">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1</w:t>
            </w:r>
          </w:p>
        </w:tc>
        <w:tc>
          <w:tcPr>
            <w:tcW w:w="1073" w:type="dxa"/>
            <w:vAlign w:val="center"/>
          </w:tcPr>
          <w:p w14:paraId="2CB5A22B">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宋体" w:hAnsi="宋体" w:eastAsia="宋体" w:cs="宋体"/>
                <w:bCs/>
                <w:color w:val="auto"/>
                <w:kern w:val="0"/>
                <w:sz w:val="20"/>
                <w:szCs w:val="20"/>
                <w:highlight w:val="none"/>
              </w:rPr>
            </w:pPr>
            <w:r>
              <w:rPr>
                <w:rFonts w:hint="eastAsia" w:ascii="宋体" w:hAnsi="宋体" w:eastAsia="宋体" w:cs="宋体"/>
                <w:bCs/>
                <w:color w:val="auto"/>
                <w:kern w:val="0"/>
                <w:sz w:val="20"/>
                <w:szCs w:val="20"/>
                <w:highlight w:val="none"/>
                <w:lang w:val="en-US" w:eastAsia="zh-CN"/>
              </w:rPr>
              <w:t>服务</w:t>
            </w:r>
            <w:r>
              <w:rPr>
                <w:rFonts w:hint="eastAsia" w:ascii="宋体" w:hAnsi="宋体" w:eastAsia="宋体" w:cs="宋体"/>
                <w:bCs/>
                <w:color w:val="auto"/>
                <w:kern w:val="0"/>
                <w:sz w:val="20"/>
                <w:szCs w:val="20"/>
                <w:highlight w:val="none"/>
              </w:rPr>
              <w:t>商同类项目业绩</w:t>
            </w:r>
          </w:p>
        </w:tc>
        <w:tc>
          <w:tcPr>
            <w:tcW w:w="7481" w:type="dxa"/>
            <w:vAlign w:val="center"/>
          </w:tcPr>
          <w:p w14:paraId="1659F3FB">
            <w:pPr>
              <w:keepNext w:val="0"/>
              <w:keepLines w:val="0"/>
              <w:pageBreakBefore w:val="0"/>
              <w:widowControl w:val="0"/>
              <w:kinsoku/>
              <w:wordWrap/>
              <w:overflowPunct/>
              <w:topLinePunct w:val="0"/>
              <w:autoSpaceDE w:val="0"/>
              <w:autoSpaceDN w:val="0"/>
              <w:bidi w:val="0"/>
              <w:adjustRightInd w:val="0"/>
              <w:snapToGrid w:val="0"/>
              <w:spacing w:line="240" w:lineRule="auto"/>
              <w:jc w:val="left"/>
              <w:textAlignment w:val="auto"/>
              <w:rPr>
                <w:rFonts w:hint="eastAsia" w:ascii="宋体" w:hAnsi="宋体" w:eastAsia="宋体" w:cs="宋体"/>
                <w:bCs/>
                <w:color w:val="auto"/>
                <w:kern w:val="0"/>
                <w:sz w:val="20"/>
                <w:szCs w:val="20"/>
                <w:highlight w:val="none"/>
              </w:rPr>
            </w:pPr>
            <w:r>
              <w:rPr>
                <w:rFonts w:hint="eastAsia" w:ascii="宋体" w:hAnsi="宋体" w:eastAsia="宋体" w:cs="宋体"/>
                <w:bCs/>
                <w:color w:val="auto"/>
                <w:kern w:val="0"/>
                <w:sz w:val="20"/>
                <w:szCs w:val="20"/>
                <w:highlight w:val="none"/>
              </w:rPr>
              <w:t>近</w:t>
            </w:r>
            <w:r>
              <w:rPr>
                <w:rFonts w:hint="eastAsia" w:ascii="宋体" w:hAnsi="宋体" w:cs="宋体"/>
                <w:bCs/>
                <w:color w:val="auto"/>
                <w:kern w:val="0"/>
                <w:sz w:val="20"/>
                <w:szCs w:val="20"/>
                <w:highlight w:val="none"/>
                <w:lang w:val="en-US" w:eastAsia="zh-CN"/>
              </w:rPr>
              <w:t>5</w:t>
            </w:r>
            <w:r>
              <w:rPr>
                <w:rFonts w:hint="eastAsia" w:ascii="宋体" w:hAnsi="宋体" w:eastAsia="宋体" w:cs="宋体"/>
                <w:bCs/>
                <w:color w:val="auto"/>
                <w:kern w:val="0"/>
                <w:sz w:val="20"/>
                <w:szCs w:val="20"/>
                <w:highlight w:val="none"/>
              </w:rPr>
              <w:t>年（自投标截止日往前推</w:t>
            </w:r>
            <w:r>
              <w:rPr>
                <w:rFonts w:hint="eastAsia" w:ascii="宋体" w:hAnsi="宋体" w:cs="宋体"/>
                <w:bCs/>
                <w:color w:val="auto"/>
                <w:kern w:val="0"/>
                <w:sz w:val="20"/>
                <w:szCs w:val="20"/>
                <w:highlight w:val="none"/>
                <w:lang w:val="en-US" w:eastAsia="zh-CN"/>
              </w:rPr>
              <w:t>60</w:t>
            </w:r>
            <w:r>
              <w:rPr>
                <w:rFonts w:hint="eastAsia" w:ascii="宋体" w:hAnsi="宋体" w:eastAsia="宋体" w:cs="宋体"/>
                <w:bCs/>
                <w:color w:val="auto"/>
                <w:kern w:val="0"/>
                <w:sz w:val="20"/>
                <w:szCs w:val="20"/>
                <w:highlight w:val="none"/>
              </w:rPr>
              <w:t>个月）承担过水库围蔽或类似工程施工项目：每提供1项得2分</w:t>
            </w:r>
            <w:r>
              <w:rPr>
                <w:rFonts w:hint="eastAsia" w:ascii="宋体" w:hAnsi="宋体" w:cs="宋体"/>
                <w:bCs/>
                <w:color w:val="auto"/>
                <w:kern w:val="0"/>
                <w:sz w:val="20"/>
                <w:szCs w:val="20"/>
                <w:highlight w:val="none"/>
                <w:lang w:eastAsia="zh-CN"/>
              </w:rPr>
              <w:t>；</w:t>
            </w:r>
            <w:r>
              <w:rPr>
                <w:rFonts w:hint="eastAsia" w:ascii="宋体" w:hAnsi="宋体" w:eastAsia="宋体" w:cs="宋体"/>
                <w:bCs/>
                <w:color w:val="auto"/>
                <w:kern w:val="0"/>
                <w:sz w:val="20"/>
                <w:szCs w:val="20"/>
                <w:highlight w:val="none"/>
              </w:rPr>
              <w:t>本项满分10分，同一项目不重复计分。</w:t>
            </w:r>
          </w:p>
          <w:p w14:paraId="762BF1CC">
            <w:pPr>
              <w:keepNext w:val="0"/>
              <w:keepLines w:val="0"/>
              <w:pageBreakBefore w:val="0"/>
              <w:widowControl w:val="0"/>
              <w:kinsoku/>
              <w:wordWrap/>
              <w:overflowPunct/>
              <w:topLinePunct w:val="0"/>
              <w:autoSpaceDE w:val="0"/>
              <w:autoSpaceDN w:val="0"/>
              <w:bidi w:val="0"/>
              <w:adjustRightInd w:val="0"/>
              <w:snapToGrid w:val="0"/>
              <w:spacing w:line="240" w:lineRule="auto"/>
              <w:jc w:val="left"/>
              <w:textAlignment w:val="auto"/>
              <w:rPr>
                <w:rFonts w:hint="eastAsia" w:ascii="宋体" w:hAnsi="宋体" w:eastAsia="宋体" w:cs="宋体"/>
                <w:bCs/>
                <w:color w:val="auto"/>
                <w:kern w:val="0"/>
                <w:sz w:val="20"/>
                <w:szCs w:val="20"/>
                <w:highlight w:val="none"/>
              </w:rPr>
            </w:pPr>
            <w:r>
              <w:rPr>
                <w:rFonts w:hint="eastAsia" w:ascii="宋体" w:hAnsi="宋体" w:eastAsia="宋体" w:cs="宋体"/>
                <w:b/>
                <w:bCs w:val="0"/>
                <w:color w:val="auto"/>
                <w:kern w:val="0"/>
                <w:sz w:val="20"/>
                <w:szCs w:val="20"/>
                <w:highlight w:val="none"/>
              </w:rPr>
              <w:t>注：提供加盖公章的合同关键信息（含签订合同双方的单位名称、合同项目名称、服务内容与含签订合同双方的落款盖章、签订日期的关键页）复印件作为得分依据。以合同签订时间为准。</w:t>
            </w:r>
          </w:p>
        </w:tc>
        <w:tc>
          <w:tcPr>
            <w:tcW w:w="709" w:type="dxa"/>
            <w:vAlign w:val="center"/>
          </w:tcPr>
          <w:p w14:paraId="2AA31BF2">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宋体" w:hAnsi="宋体" w:eastAsia="宋体" w:cs="宋体"/>
                <w:bCs/>
                <w:color w:val="auto"/>
                <w:kern w:val="0"/>
                <w:sz w:val="20"/>
                <w:szCs w:val="20"/>
                <w:highlight w:val="none"/>
                <w:lang w:val="en-US" w:eastAsia="zh-CN"/>
              </w:rPr>
            </w:pPr>
            <w:r>
              <w:rPr>
                <w:rFonts w:hint="eastAsia" w:ascii="宋体" w:hAnsi="宋体" w:cs="宋体"/>
                <w:bCs/>
                <w:color w:val="auto"/>
                <w:kern w:val="0"/>
                <w:sz w:val="20"/>
                <w:szCs w:val="20"/>
                <w:highlight w:val="none"/>
                <w:lang w:val="en-US" w:eastAsia="zh-CN"/>
              </w:rPr>
              <w:t>10</w:t>
            </w:r>
          </w:p>
        </w:tc>
        <w:tc>
          <w:tcPr>
            <w:tcW w:w="709" w:type="dxa"/>
            <w:vAlign w:val="center"/>
          </w:tcPr>
          <w:p w14:paraId="59791D78">
            <w:pPr>
              <w:autoSpaceDE w:val="0"/>
              <w:autoSpaceDN w:val="0"/>
              <w:adjustRightInd w:val="0"/>
              <w:snapToGrid w:val="0"/>
              <w:spacing w:line="200" w:lineRule="exact"/>
              <w:ind w:left="-111" w:leftChars="-37" w:right="-105" w:rightChars="-35"/>
              <w:jc w:val="center"/>
              <w:rPr>
                <w:rFonts w:ascii="宋体" w:hAnsi="宋体" w:cs="宋体"/>
                <w:color w:val="auto"/>
                <w:kern w:val="0"/>
                <w:sz w:val="20"/>
                <w:szCs w:val="20"/>
                <w:highlight w:val="none"/>
              </w:rPr>
            </w:pPr>
          </w:p>
        </w:tc>
      </w:tr>
      <w:tr w14:paraId="2167B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691" w:type="dxa"/>
            <w:vAlign w:val="center"/>
          </w:tcPr>
          <w:p w14:paraId="4743F9B1">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2</w:t>
            </w:r>
          </w:p>
        </w:tc>
        <w:tc>
          <w:tcPr>
            <w:tcW w:w="1073" w:type="dxa"/>
            <w:vAlign w:val="center"/>
          </w:tcPr>
          <w:p w14:paraId="37AB3B4C">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项目管理机构</w:t>
            </w:r>
          </w:p>
          <w:p w14:paraId="066D4F6A">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及人员配置</w:t>
            </w:r>
          </w:p>
          <w:p w14:paraId="324B175A">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宋体" w:hAnsi="宋体" w:eastAsia="宋体" w:cs="宋体"/>
                <w:bCs/>
                <w:color w:val="auto"/>
                <w:kern w:val="0"/>
                <w:sz w:val="20"/>
                <w:szCs w:val="20"/>
                <w:highlight w:val="none"/>
                <w:lang w:val="en-US" w:eastAsia="zh-CN"/>
              </w:rPr>
            </w:pPr>
          </w:p>
        </w:tc>
        <w:tc>
          <w:tcPr>
            <w:tcW w:w="7481" w:type="dxa"/>
            <w:vAlign w:val="center"/>
          </w:tcPr>
          <w:p w14:paraId="7878F659">
            <w:pPr>
              <w:keepNext w:val="0"/>
              <w:keepLines w:val="0"/>
              <w:pageBreakBefore w:val="0"/>
              <w:widowControl w:val="0"/>
              <w:kinsoku/>
              <w:wordWrap/>
              <w:overflowPunct/>
              <w:topLinePunct w:val="0"/>
              <w:autoSpaceDE w:val="0"/>
              <w:autoSpaceDN w:val="0"/>
              <w:bidi w:val="0"/>
              <w:adjustRightInd w:val="0"/>
              <w:snapToGrid w:val="0"/>
              <w:spacing w:line="240" w:lineRule="auto"/>
              <w:jc w:val="left"/>
              <w:textAlignment w:val="auto"/>
              <w:rPr>
                <w:rFonts w:hint="eastAsia" w:ascii="宋体" w:hAnsi="宋体" w:eastAsia="宋体" w:cs="宋体"/>
                <w:bCs/>
                <w:color w:val="auto"/>
                <w:kern w:val="0"/>
                <w:sz w:val="20"/>
                <w:szCs w:val="20"/>
                <w:highlight w:val="none"/>
                <w:lang w:val="en-US" w:eastAsia="zh-CN"/>
              </w:rPr>
            </w:pPr>
            <w:bookmarkStart w:id="0" w:name="OLE_LINK1"/>
            <w:r>
              <w:rPr>
                <w:rFonts w:hint="eastAsia" w:ascii="宋体" w:hAnsi="宋体" w:eastAsia="宋体" w:cs="宋体"/>
                <w:bCs/>
                <w:color w:val="auto"/>
                <w:kern w:val="0"/>
                <w:sz w:val="20"/>
                <w:szCs w:val="20"/>
                <w:highlight w:val="none"/>
                <w:lang w:val="en-US" w:eastAsia="zh-CN"/>
              </w:rPr>
              <w:t>①项目负责人具有水利水电工程或市政公用工程专业二级及以上注册建造师资格，且具有有效安全生产考核合格证书（B证）</w:t>
            </w:r>
            <w:r>
              <w:rPr>
                <w:rFonts w:hint="eastAsia" w:ascii="宋体" w:hAnsi="宋体" w:cs="宋体"/>
                <w:bCs/>
                <w:color w:val="auto"/>
                <w:kern w:val="0"/>
                <w:sz w:val="20"/>
                <w:szCs w:val="20"/>
                <w:highlight w:val="none"/>
                <w:lang w:val="en-US" w:eastAsia="zh-CN"/>
              </w:rPr>
              <w:t>（本项5分，未提供不得分）</w:t>
            </w:r>
            <w:r>
              <w:rPr>
                <w:rFonts w:hint="eastAsia" w:ascii="宋体" w:hAnsi="宋体" w:eastAsia="宋体" w:cs="宋体"/>
                <w:bCs/>
                <w:color w:val="auto"/>
                <w:kern w:val="0"/>
                <w:sz w:val="20"/>
                <w:szCs w:val="20"/>
                <w:highlight w:val="none"/>
                <w:lang w:val="en-US" w:eastAsia="zh-CN"/>
              </w:rPr>
              <w:t>；</w:t>
            </w:r>
          </w:p>
          <w:p w14:paraId="5FA81DAB">
            <w:pPr>
              <w:keepNext w:val="0"/>
              <w:keepLines w:val="0"/>
              <w:pageBreakBefore w:val="0"/>
              <w:widowControl w:val="0"/>
              <w:kinsoku/>
              <w:wordWrap/>
              <w:overflowPunct/>
              <w:topLinePunct w:val="0"/>
              <w:autoSpaceDE w:val="0"/>
              <w:autoSpaceDN w:val="0"/>
              <w:bidi w:val="0"/>
              <w:adjustRightInd w:val="0"/>
              <w:snapToGrid w:val="0"/>
              <w:spacing w:line="240" w:lineRule="auto"/>
              <w:jc w:val="left"/>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②技术负责人具有水利水电或相关专业中级及以上技术职称</w:t>
            </w:r>
            <w:r>
              <w:rPr>
                <w:rFonts w:hint="eastAsia" w:ascii="宋体" w:hAnsi="宋体" w:cs="宋体"/>
                <w:bCs/>
                <w:color w:val="auto"/>
                <w:kern w:val="0"/>
                <w:sz w:val="20"/>
                <w:szCs w:val="20"/>
                <w:highlight w:val="none"/>
                <w:lang w:val="en-US" w:eastAsia="zh-CN"/>
              </w:rPr>
              <w:t>（本项5分，未提供不得分）</w:t>
            </w:r>
            <w:r>
              <w:rPr>
                <w:rFonts w:hint="eastAsia" w:ascii="宋体" w:hAnsi="宋体" w:eastAsia="宋体" w:cs="宋体"/>
                <w:bCs/>
                <w:color w:val="auto"/>
                <w:kern w:val="0"/>
                <w:sz w:val="20"/>
                <w:szCs w:val="20"/>
                <w:highlight w:val="none"/>
                <w:lang w:val="en-US" w:eastAsia="zh-CN"/>
              </w:rPr>
              <w:t>；</w:t>
            </w:r>
          </w:p>
          <w:p w14:paraId="6BF2FE9D">
            <w:pPr>
              <w:keepNext w:val="0"/>
              <w:keepLines w:val="0"/>
              <w:pageBreakBefore w:val="0"/>
              <w:widowControl w:val="0"/>
              <w:kinsoku/>
              <w:wordWrap/>
              <w:overflowPunct/>
              <w:topLinePunct w:val="0"/>
              <w:autoSpaceDE w:val="0"/>
              <w:autoSpaceDN w:val="0"/>
              <w:bidi w:val="0"/>
              <w:adjustRightInd w:val="0"/>
              <w:snapToGrid w:val="0"/>
              <w:spacing w:line="240" w:lineRule="auto"/>
              <w:jc w:val="left"/>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③项目部配备专职安全员（C证）、质</w:t>
            </w:r>
            <w:r>
              <w:rPr>
                <w:rFonts w:hint="eastAsia" w:ascii="宋体" w:hAnsi="宋体" w:cs="宋体"/>
                <w:bCs/>
                <w:color w:val="auto"/>
                <w:kern w:val="0"/>
                <w:sz w:val="20"/>
                <w:szCs w:val="20"/>
                <w:highlight w:val="none"/>
                <w:lang w:val="en-US" w:eastAsia="zh-CN"/>
              </w:rPr>
              <w:t>检</w:t>
            </w:r>
            <w:r>
              <w:rPr>
                <w:rFonts w:hint="eastAsia" w:ascii="宋体" w:hAnsi="宋体" w:eastAsia="宋体" w:cs="宋体"/>
                <w:bCs/>
                <w:color w:val="auto"/>
                <w:kern w:val="0"/>
                <w:sz w:val="20"/>
                <w:szCs w:val="20"/>
                <w:highlight w:val="none"/>
                <w:lang w:val="en-US" w:eastAsia="zh-CN"/>
              </w:rPr>
              <w:t>员、施工员</w:t>
            </w:r>
            <w:r>
              <w:rPr>
                <w:rFonts w:hint="eastAsia" w:ascii="宋体" w:hAnsi="宋体" w:cs="宋体"/>
                <w:bCs/>
                <w:color w:val="auto"/>
                <w:kern w:val="0"/>
                <w:sz w:val="20"/>
                <w:szCs w:val="20"/>
                <w:highlight w:val="none"/>
                <w:lang w:val="en-US" w:eastAsia="zh-CN"/>
              </w:rPr>
              <w:t>、资料员、材料员</w:t>
            </w:r>
            <w:r>
              <w:rPr>
                <w:rFonts w:hint="eastAsia" w:ascii="宋体" w:hAnsi="宋体" w:eastAsia="宋体" w:cs="宋体"/>
                <w:bCs/>
                <w:color w:val="auto"/>
                <w:kern w:val="0"/>
                <w:sz w:val="20"/>
                <w:szCs w:val="20"/>
                <w:highlight w:val="none"/>
                <w:lang w:val="en-US" w:eastAsia="zh-CN"/>
              </w:rPr>
              <w:t>等管理人员，人员配置齐全、持证上岗</w:t>
            </w:r>
            <w:r>
              <w:rPr>
                <w:rFonts w:hint="eastAsia" w:ascii="宋体" w:hAnsi="宋体" w:cs="宋体"/>
                <w:bCs/>
                <w:color w:val="auto"/>
                <w:kern w:val="0"/>
                <w:sz w:val="20"/>
                <w:szCs w:val="20"/>
                <w:highlight w:val="none"/>
                <w:lang w:val="en-US" w:eastAsia="zh-CN"/>
              </w:rPr>
              <w:t>（每提供一类人员得1分，上述人员同时具备工程类工程师及以上职称的，每类人员加0.5分；上述人员同时还具备二级及以上建造师的，每类人员再加0.5分，本项最高分10分）</w:t>
            </w:r>
            <w:r>
              <w:rPr>
                <w:rFonts w:hint="eastAsia" w:ascii="宋体" w:hAnsi="宋体" w:eastAsia="宋体" w:cs="宋体"/>
                <w:bCs/>
                <w:color w:val="auto"/>
                <w:kern w:val="0"/>
                <w:sz w:val="20"/>
                <w:szCs w:val="20"/>
                <w:highlight w:val="none"/>
                <w:lang w:val="en-US" w:eastAsia="zh-CN"/>
              </w:rPr>
              <w:t>。</w:t>
            </w:r>
          </w:p>
          <w:p w14:paraId="10D0E5B5">
            <w:pPr>
              <w:keepNext w:val="0"/>
              <w:keepLines w:val="0"/>
              <w:pageBreakBefore w:val="0"/>
              <w:widowControl w:val="0"/>
              <w:kinsoku/>
              <w:wordWrap/>
              <w:overflowPunct/>
              <w:topLinePunct w:val="0"/>
              <w:autoSpaceDE w:val="0"/>
              <w:autoSpaceDN w:val="0"/>
              <w:bidi w:val="0"/>
              <w:adjustRightInd w:val="0"/>
              <w:snapToGrid w:val="0"/>
              <w:spacing w:line="240" w:lineRule="auto"/>
              <w:jc w:val="left"/>
              <w:textAlignment w:val="auto"/>
              <w:rPr>
                <w:rFonts w:hint="eastAsia" w:ascii="宋体" w:hAnsi="宋体" w:eastAsia="宋体" w:cs="宋体"/>
                <w:bCs/>
                <w:color w:val="auto"/>
                <w:kern w:val="0"/>
                <w:sz w:val="20"/>
                <w:szCs w:val="20"/>
                <w:highlight w:val="none"/>
              </w:rPr>
            </w:pPr>
            <w:r>
              <w:rPr>
                <w:rFonts w:hint="eastAsia" w:ascii="宋体" w:hAnsi="宋体" w:eastAsia="宋体" w:cs="宋体"/>
                <w:b/>
                <w:bCs w:val="0"/>
                <w:color w:val="auto"/>
                <w:kern w:val="0"/>
                <w:sz w:val="20"/>
                <w:szCs w:val="20"/>
                <w:highlight w:val="none"/>
                <w:lang w:val="en-US" w:eastAsia="zh-CN"/>
              </w:rPr>
              <w:t>注：须提供注册证书、职称证书、安全生产考核合格证及</w:t>
            </w:r>
            <w:bookmarkEnd w:id="0"/>
            <w:r>
              <w:rPr>
                <w:rFonts w:hint="eastAsia" w:ascii="宋体" w:hAnsi="宋体" w:eastAsia="宋体" w:cs="宋体"/>
                <w:b/>
                <w:bCs w:val="0"/>
                <w:color w:val="auto"/>
                <w:kern w:val="0"/>
                <w:sz w:val="20"/>
                <w:szCs w:val="20"/>
                <w:highlight w:val="none"/>
                <w:lang w:val="en-US" w:eastAsia="zh-CN"/>
              </w:rPr>
              <w:t>本项目投标截止日前3个月内任意1个月的由</w:t>
            </w:r>
            <w:r>
              <w:rPr>
                <w:rFonts w:hint="eastAsia" w:ascii="宋体" w:hAnsi="宋体" w:cs="宋体"/>
                <w:b/>
                <w:bCs w:val="0"/>
                <w:color w:val="auto"/>
                <w:kern w:val="0"/>
                <w:sz w:val="20"/>
                <w:szCs w:val="20"/>
                <w:highlight w:val="none"/>
                <w:lang w:val="en-US" w:eastAsia="zh-CN"/>
              </w:rPr>
              <w:t>服务</w:t>
            </w:r>
            <w:r>
              <w:rPr>
                <w:rFonts w:hint="eastAsia" w:ascii="宋体" w:hAnsi="宋体" w:eastAsia="宋体" w:cs="宋体"/>
                <w:b/>
                <w:bCs w:val="0"/>
                <w:color w:val="auto"/>
                <w:kern w:val="0"/>
                <w:sz w:val="20"/>
                <w:szCs w:val="20"/>
                <w:highlight w:val="none"/>
                <w:lang w:val="en-US" w:eastAsia="zh-CN"/>
              </w:rPr>
              <w:t>商为其购买的社保证明加盖</w:t>
            </w:r>
            <w:r>
              <w:rPr>
                <w:rFonts w:hint="eastAsia" w:ascii="宋体" w:hAnsi="宋体" w:cs="宋体"/>
                <w:b/>
                <w:bCs w:val="0"/>
                <w:color w:val="auto"/>
                <w:kern w:val="0"/>
                <w:sz w:val="20"/>
                <w:szCs w:val="20"/>
                <w:highlight w:val="none"/>
                <w:lang w:val="en-US" w:eastAsia="zh-CN"/>
              </w:rPr>
              <w:t>服务商</w:t>
            </w:r>
            <w:r>
              <w:rPr>
                <w:rFonts w:hint="eastAsia" w:ascii="宋体" w:hAnsi="宋体" w:eastAsia="宋体" w:cs="宋体"/>
                <w:b/>
                <w:bCs w:val="0"/>
                <w:color w:val="auto"/>
                <w:kern w:val="0"/>
                <w:sz w:val="20"/>
                <w:szCs w:val="20"/>
                <w:highlight w:val="none"/>
                <w:lang w:val="en-US" w:eastAsia="zh-CN"/>
              </w:rPr>
              <w:t>公章，无或缺项或未按要求递交证明材料的不得分</w:t>
            </w:r>
          </w:p>
        </w:tc>
        <w:tc>
          <w:tcPr>
            <w:tcW w:w="709" w:type="dxa"/>
            <w:vAlign w:val="center"/>
          </w:tcPr>
          <w:p w14:paraId="755F8A91">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宋体" w:hAnsi="宋体" w:eastAsia="宋体" w:cs="宋体"/>
                <w:bCs/>
                <w:color w:val="auto"/>
                <w:kern w:val="0"/>
                <w:sz w:val="20"/>
                <w:szCs w:val="20"/>
                <w:highlight w:val="none"/>
                <w:lang w:val="en-US" w:eastAsia="zh-CN"/>
              </w:rPr>
            </w:pPr>
            <w:r>
              <w:rPr>
                <w:rFonts w:hint="eastAsia" w:ascii="宋体" w:hAnsi="宋体" w:cs="宋体"/>
                <w:bCs/>
                <w:color w:val="auto"/>
                <w:kern w:val="0"/>
                <w:sz w:val="20"/>
                <w:szCs w:val="20"/>
                <w:highlight w:val="none"/>
                <w:lang w:val="en-US" w:eastAsia="zh-CN"/>
              </w:rPr>
              <w:t>20</w:t>
            </w:r>
          </w:p>
        </w:tc>
        <w:tc>
          <w:tcPr>
            <w:tcW w:w="709" w:type="dxa"/>
            <w:vAlign w:val="center"/>
          </w:tcPr>
          <w:p w14:paraId="34C14660">
            <w:pPr>
              <w:autoSpaceDE w:val="0"/>
              <w:autoSpaceDN w:val="0"/>
              <w:adjustRightInd w:val="0"/>
              <w:snapToGrid w:val="0"/>
              <w:spacing w:line="200" w:lineRule="exact"/>
              <w:ind w:left="-111" w:leftChars="-37" w:right="-105" w:rightChars="-35"/>
              <w:jc w:val="center"/>
              <w:rPr>
                <w:rFonts w:ascii="宋体" w:hAnsi="宋体" w:cs="宋体"/>
                <w:color w:val="auto"/>
                <w:kern w:val="0"/>
                <w:sz w:val="20"/>
                <w:szCs w:val="20"/>
                <w:highlight w:val="none"/>
              </w:rPr>
            </w:pPr>
          </w:p>
        </w:tc>
      </w:tr>
      <w:tr w14:paraId="09386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0663" w:type="dxa"/>
            <w:gridSpan w:val="5"/>
            <w:vAlign w:val="center"/>
          </w:tcPr>
          <w:p w14:paraId="75158735">
            <w:pPr>
              <w:autoSpaceDE w:val="0"/>
              <w:autoSpaceDN w:val="0"/>
              <w:adjustRightInd w:val="0"/>
              <w:snapToGrid w:val="0"/>
              <w:spacing w:line="200" w:lineRule="exact"/>
              <w:jc w:val="center"/>
              <w:rPr>
                <w:rFonts w:ascii="宋体" w:hAnsi="宋体" w:cs="宋体"/>
                <w:b/>
                <w:color w:val="auto"/>
                <w:kern w:val="0"/>
                <w:sz w:val="20"/>
                <w:szCs w:val="20"/>
                <w:highlight w:val="none"/>
              </w:rPr>
            </w:pPr>
            <w:r>
              <w:rPr>
                <w:rFonts w:hint="eastAsia" w:ascii="宋体" w:hAnsi="宋体" w:cs="宋体"/>
                <w:b/>
                <w:color w:val="auto"/>
                <w:kern w:val="0"/>
                <w:sz w:val="20"/>
                <w:szCs w:val="20"/>
                <w:highlight w:val="none"/>
              </w:rPr>
              <w:t>三、价格部分（</w:t>
            </w:r>
            <w:r>
              <w:rPr>
                <w:rFonts w:hint="eastAsia" w:ascii="宋体" w:hAnsi="宋体" w:cs="宋体"/>
                <w:b/>
                <w:color w:val="auto"/>
                <w:kern w:val="0"/>
                <w:sz w:val="20"/>
                <w:szCs w:val="20"/>
                <w:highlight w:val="none"/>
                <w:lang w:val="en-US" w:eastAsia="zh-CN"/>
              </w:rPr>
              <w:t>20</w:t>
            </w:r>
            <w:r>
              <w:rPr>
                <w:rFonts w:hint="eastAsia" w:ascii="宋体" w:hAnsi="宋体" w:cs="宋体"/>
                <w:b/>
                <w:color w:val="auto"/>
                <w:kern w:val="0"/>
                <w:sz w:val="20"/>
                <w:szCs w:val="20"/>
                <w:highlight w:val="none"/>
              </w:rPr>
              <w:t>分）</w:t>
            </w:r>
          </w:p>
        </w:tc>
      </w:tr>
      <w:tr w14:paraId="6161E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691" w:type="dxa"/>
            <w:vAlign w:val="center"/>
          </w:tcPr>
          <w:p w14:paraId="1F6D287D">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1</w:t>
            </w:r>
          </w:p>
        </w:tc>
        <w:tc>
          <w:tcPr>
            <w:tcW w:w="1073" w:type="dxa"/>
            <w:vAlign w:val="center"/>
          </w:tcPr>
          <w:p w14:paraId="5013DBA6">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宋体" w:hAnsi="宋体" w:eastAsia="宋体" w:cs="宋体"/>
                <w:bCs/>
                <w:color w:val="auto"/>
                <w:kern w:val="0"/>
                <w:sz w:val="20"/>
                <w:szCs w:val="20"/>
                <w:highlight w:val="none"/>
              </w:rPr>
            </w:pPr>
            <w:r>
              <w:rPr>
                <w:rFonts w:hint="eastAsia" w:ascii="宋体" w:hAnsi="宋体" w:eastAsia="宋体" w:cs="宋体"/>
                <w:bCs/>
                <w:color w:val="auto"/>
                <w:kern w:val="0"/>
                <w:sz w:val="20"/>
                <w:szCs w:val="20"/>
                <w:highlight w:val="none"/>
                <w:lang w:val="en-US" w:eastAsia="zh-CN"/>
              </w:rPr>
              <w:t>价格得分</w:t>
            </w:r>
          </w:p>
        </w:tc>
        <w:tc>
          <w:tcPr>
            <w:tcW w:w="7481" w:type="dxa"/>
            <w:vAlign w:val="center"/>
          </w:tcPr>
          <w:p w14:paraId="199DFA82">
            <w:pPr>
              <w:keepNext w:val="0"/>
              <w:keepLines w:val="0"/>
              <w:pageBreakBefore w:val="0"/>
              <w:widowControl w:val="0"/>
              <w:kinsoku/>
              <w:wordWrap/>
              <w:overflowPunct/>
              <w:topLinePunct w:val="0"/>
              <w:autoSpaceDE w:val="0"/>
              <w:autoSpaceDN w:val="0"/>
              <w:bidi w:val="0"/>
              <w:adjustRightInd w:val="0"/>
              <w:snapToGrid w:val="0"/>
              <w:spacing w:line="240" w:lineRule="auto"/>
              <w:jc w:val="left"/>
              <w:textAlignment w:val="auto"/>
              <w:rPr>
                <w:rFonts w:hint="eastAsia" w:ascii="宋体" w:hAnsi="宋体" w:eastAsia="宋体" w:cs="宋体"/>
                <w:bCs/>
                <w:color w:val="auto"/>
                <w:kern w:val="0"/>
                <w:sz w:val="20"/>
                <w:szCs w:val="20"/>
                <w:highlight w:val="none"/>
              </w:rPr>
            </w:pPr>
            <w:bookmarkStart w:id="1" w:name="OLE_LINK2"/>
            <w:r>
              <w:rPr>
                <w:rFonts w:hint="eastAsia" w:ascii="宋体" w:hAnsi="宋体" w:eastAsia="宋体" w:cs="宋体"/>
                <w:bCs/>
                <w:color w:val="auto"/>
                <w:kern w:val="0"/>
                <w:sz w:val="20"/>
                <w:szCs w:val="20"/>
                <w:highlight w:val="none"/>
              </w:rPr>
              <w:t>采用低价优先法计算：</w:t>
            </w:r>
          </w:p>
          <w:p w14:paraId="03FB0ACE">
            <w:pPr>
              <w:keepNext w:val="0"/>
              <w:keepLines w:val="0"/>
              <w:pageBreakBefore w:val="0"/>
              <w:widowControl w:val="0"/>
              <w:kinsoku/>
              <w:wordWrap/>
              <w:overflowPunct/>
              <w:topLinePunct w:val="0"/>
              <w:autoSpaceDE w:val="0"/>
              <w:autoSpaceDN w:val="0"/>
              <w:bidi w:val="0"/>
              <w:adjustRightInd w:val="0"/>
              <w:snapToGrid w:val="0"/>
              <w:spacing w:line="240" w:lineRule="auto"/>
              <w:jc w:val="left"/>
              <w:textAlignment w:val="auto"/>
              <w:rPr>
                <w:rFonts w:hint="eastAsia" w:ascii="宋体" w:hAnsi="宋体" w:eastAsia="宋体" w:cs="宋体"/>
                <w:bCs/>
                <w:color w:val="auto"/>
                <w:kern w:val="0"/>
                <w:sz w:val="20"/>
                <w:szCs w:val="20"/>
                <w:highlight w:val="none"/>
              </w:rPr>
            </w:pPr>
            <w:r>
              <w:rPr>
                <w:rFonts w:hint="eastAsia" w:ascii="宋体" w:hAnsi="宋体" w:eastAsia="宋体" w:cs="宋体"/>
                <w:bCs/>
                <w:color w:val="auto"/>
                <w:kern w:val="0"/>
                <w:sz w:val="20"/>
                <w:szCs w:val="20"/>
                <w:highlight w:val="none"/>
              </w:rPr>
              <w:t>投标报价得分=（评标基准价÷投标报价）×</w:t>
            </w:r>
            <w:r>
              <w:rPr>
                <w:rFonts w:hint="eastAsia" w:ascii="宋体" w:hAnsi="宋体" w:cs="宋体"/>
                <w:bCs/>
                <w:color w:val="auto"/>
                <w:kern w:val="0"/>
                <w:sz w:val="20"/>
                <w:szCs w:val="20"/>
                <w:highlight w:val="none"/>
                <w:lang w:val="en-US" w:eastAsia="zh-CN"/>
              </w:rPr>
              <w:t>2</w:t>
            </w:r>
            <w:r>
              <w:rPr>
                <w:rFonts w:hint="eastAsia" w:ascii="宋体" w:hAnsi="宋体" w:eastAsia="宋体" w:cs="宋体"/>
                <w:bCs/>
                <w:color w:val="auto"/>
                <w:kern w:val="0"/>
                <w:sz w:val="20"/>
                <w:szCs w:val="20"/>
                <w:highlight w:val="none"/>
              </w:rPr>
              <w:t>0</w:t>
            </w:r>
          </w:p>
          <w:p w14:paraId="472BBA04">
            <w:pPr>
              <w:keepNext w:val="0"/>
              <w:keepLines w:val="0"/>
              <w:pageBreakBefore w:val="0"/>
              <w:widowControl w:val="0"/>
              <w:kinsoku/>
              <w:wordWrap/>
              <w:overflowPunct/>
              <w:topLinePunct w:val="0"/>
              <w:autoSpaceDE w:val="0"/>
              <w:autoSpaceDN w:val="0"/>
              <w:bidi w:val="0"/>
              <w:adjustRightInd w:val="0"/>
              <w:snapToGrid w:val="0"/>
              <w:spacing w:line="240" w:lineRule="auto"/>
              <w:jc w:val="left"/>
              <w:textAlignment w:val="auto"/>
              <w:rPr>
                <w:rFonts w:hint="eastAsia" w:ascii="宋体" w:hAnsi="宋体" w:eastAsia="宋体" w:cs="宋体"/>
                <w:bCs/>
                <w:color w:val="auto"/>
                <w:kern w:val="0"/>
                <w:sz w:val="20"/>
                <w:szCs w:val="20"/>
                <w:highlight w:val="none"/>
              </w:rPr>
            </w:pPr>
            <w:r>
              <w:rPr>
                <w:rFonts w:hint="eastAsia" w:ascii="宋体" w:hAnsi="宋体" w:eastAsia="宋体" w:cs="宋体"/>
                <w:bCs/>
                <w:color w:val="auto"/>
                <w:kern w:val="0"/>
                <w:sz w:val="20"/>
                <w:szCs w:val="20"/>
                <w:highlight w:val="none"/>
              </w:rPr>
              <w:t>评标基准价=满足招标文件要求且投标价格最低的投标报价。</w:t>
            </w:r>
          </w:p>
          <w:bookmarkEnd w:id="1"/>
          <w:p w14:paraId="2965EA28">
            <w:pPr>
              <w:keepNext w:val="0"/>
              <w:keepLines w:val="0"/>
              <w:pageBreakBefore w:val="0"/>
              <w:widowControl w:val="0"/>
              <w:kinsoku/>
              <w:wordWrap/>
              <w:overflowPunct/>
              <w:topLinePunct w:val="0"/>
              <w:autoSpaceDE w:val="0"/>
              <w:autoSpaceDN w:val="0"/>
              <w:bidi w:val="0"/>
              <w:adjustRightInd w:val="0"/>
              <w:snapToGrid w:val="0"/>
              <w:spacing w:line="240" w:lineRule="auto"/>
              <w:jc w:val="left"/>
              <w:textAlignment w:val="auto"/>
              <w:rPr>
                <w:rFonts w:hint="eastAsia" w:ascii="宋体" w:hAnsi="宋体" w:eastAsia="宋体" w:cs="宋体"/>
                <w:bCs/>
                <w:color w:val="auto"/>
                <w:kern w:val="0"/>
                <w:sz w:val="20"/>
                <w:szCs w:val="20"/>
                <w:highlight w:val="none"/>
              </w:rPr>
            </w:pPr>
            <w:r>
              <w:rPr>
                <w:rFonts w:hint="eastAsia" w:ascii="宋体" w:hAnsi="宋体" w:eastAsia="宋体" w:cs="宋体"/>
                <w:bCs/>
                <w:color w:val="auto"/>
                <w:kern w:val="0"/>
                <w:sz w:val="20"/>
                <w:szCs w:val="20"/>
                <w:highlight w:val="none"/>
              </w:rPr>
              <w:t>注：对符合规定的小型和微型企业（监狱企业、残疾人福利单位视同小型、微型企业）报价给予10%的价格扣除。因落实政府采购政策进行价格调整的，以调整后的价格计算评标基准价和投标报价。价格得分四舍五入后保留小数点后两位有效数</w:t>
            </w:r>
            <w:bookmarkStart w:id="2" w:name="_GoBack"/>
            <w:bookmarkEnd w:id="2"/>
            <w:r>
              <w:rPr>
                <w:rFonts w:hint="eastAsia" w:ascii="宋体" w:hAnsi="宋体" w:eastAsia="宋体" w:cs="宋体"/>
                <w:bCs/>
                <w:color w:val="auto"/>
                <w:kern w:val="0"/>
                <w:sz w:val="20"/>
                <w:szCs w:val="20"/>
                <w:highlight w:val="none"/>
              </w:rPr>
              <w:t>。</w:t>
            </w:r>
          </w:p>
        </w:tc>
        <w:tc>
          <w:tcPr>
            <w:tcW w:w="709" w:type="dxa"/>
            <w:vAlign w:val="center"/>
          </w:tcPr>
          <w:p w14:paraId="1F21BB3B">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宋体" w:hAnsi="宋体" w:eastAsia="宋体" w:cs="宋体"/>
                <w:bCs/>
                <w:color w:val="auto"/>
                <w:kern w:val="0"/>
                <w:sz w:val="20"/>
                <w:szCs w:val="20"/>
                <w:highlight w:val="none"/>
              </w:rPr>
            </w:pPr>
            <w:r>
              <w:rPr>
                <w:rFonts w:hint="eastAsia" w:ascii="宋体" w:hAnsi="宋体" w:cs="宋体"/>
                <w:bCs/>
                <w:color w:val="auto"/>
                <w:kern w:val="0"/>
                <w:sz w:val="20"/>
                <w:szCs w:val="20"/>
                <w:highlight w:val="none"/>
                <w:lang w:val="en-US" w:eastAsia="zh-CN"/>
              </w:rPr>
              <w:t>2</w:t>
            </w:r>
            <w:r>
              <w:rPr>
                <w:rFonts w:hint="eastAsia" w:ascii="宋体" w:hAnsi="宋体" w:eastAsia="宋体" w:cs="宋体"/>
                <w:bCs/>
                <w:color w:val="auto"/>
                <w:kern w:val="0"/>
                <w:sz w:val="20"/>
                <w:szCs w:val="20"/>
                <w:highlight w:val="none"/>
              </w:rPr>
              <w:t>0</w:t>
            </w:r>
          </w:p>
        </w:tc>
        <w:tc>
          <w:tcPr>
            <w:tcW w:w="709" w:type="dxa"/>
            <w:vAlign w:val="center"/>
          </w:tcPr>
          <w:p w14:paraId="6B08DADC">
            <w:pPr>
              <w:autoSpaceDE w:val="0"/>
              <w:autoSpaceDN w:val="0"/>
              <w:adjustRightInd w:val="0"/>
              <w:snapToGrid w:val="0"/>
              <w:spacing w:line="200" w:lineRule="exact"/>
              <w:ind w:left="-111" w:leftChars="-37" w:right="-105" w:rightChars="-35"/>
              <w:jc w:val="center"/>
              <w:rPr>
                <w:rFonts w:ascii="宋体" w:hAnsi="宋体" w:cs="宋体"/>
                <w:color w:val="auto"/>
                <w:kern w:val="0"/>
                <w:sz w:val="20"/>
                <w:szCs w:val="20"/>
                <w:highlight w:val="none"/>
              </w:rPr>
            </w:pPr>
          </w:p>
        </w:tc>
      </w:tr>
      <w:tr w14:paraId="138C7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9245" w:type="dxa"/>
            <w:gridSpan w:val="3"/>
            <w:vAlign w:val="center"/>
          </w:tcPr>
          <w:p w14:paraId="54003457">
            <w:pPr>
              <w:autoSpaceDE w:val="0"/>
              <w:autoSpaceDN w:val="0"/>
              <w:adjustRightInd w:val="0"/>
              <w:snapToGrid w:val="0"/>
              <w:spacing w:line="200" w:lineRule="exact"/>
              <w:ind w:left="-111" w:leftChars="-37" w:right="-105" w:rightChars="-35"/>
              <w:jc w:val="center"/>
              <w:rPr>
                <w:rFonts w:ascii="宋体" w:hAnsi="宋体" w:cs="宋体"/>
                <w:b/>
                <w:color w:val="auto"/>
                <w:kern w:val="0"/>
                <w:sz w:val="20"/>
                <w:szCs w:val="20"/>
                <w:highlight w:val="none"/>
              </w:rPr>
            </w:pPr>
            <w:r>
              <w:rPr>
                <w:rFonts w:hint="eastAsia" w:ascii="宋体" w:hAnsi="宋体" w:cs="宋体"/>
                <w:b/>
                <w:color w:val="auto"/>
                <w:kern w:val="0"/>
                <w:sz w:val="20"/>
                <w:szCs w:val="20"/>
                <w:highlight w:val="none"/>
              </w:rPr>
              <w:t>合计</w:t>
            </w:r>
          </w:p>
        </w:tc>
        <w:tc>
          <w:tcPr>
            <w:tcW w:w="709" w:type="dxa"/>
            <w:vAlign w:val="center"/>
          </w:tcPr>
          <w:p w14:paraId="5842D867">
            <w:pPr>
              <w:autoSpaceDE w:val="0"/>
              <w:autoSpaceDN w:val="0"/>
              <w:adjustRightInd w:val="0"/>
              <w:snapToGrid w:val="0"/>
              <w:spacing w:line="200" w:lineRule="exact"/>
              <w:ind w:left="-111" w:leftChars="-37" w:right="-105" w:rightChars="-35"/>
              <w:jc w:val="center"/>
              <w:rPr>
                <w:rFonts w:ascii="宋体" w:hAnsi="宋体" w:cs="宋体"/>
                <w:b/>
                <w:color w:val="auto"/>
                <w:kern w:val="0"/>
                <w:sz w:val="20"/>
                <w:szCs w:val="20"/>
                <w:highlight w:val="none"/>
              </w:rPr>
            </w:pPr>
            <w:r>
              <w:rPr>
                <w:rFonts w:hint="eastAsia" w:ascii="宋体" w:hAnsi="宋体" w:cs="宋体"/>
                <w:b/>
                <w:color w:val="auto"/>
                <w:kern w:val="0"/>
                <w:sz w:val="20"/>
                <w:szCs w:val="20"/>
                <w:highlight w:val="none"/>
              </w:rPr>
              <w:t xml:space="preserve">100分 </w:t>
            </w:r>
          </w:p>
        </w:tc>
        <w:tc>
          <w:tcPr>
            <w:tcW w:w="709" w:type="dxa"/>
            <w:vAlign w:val="center"/>
          </w:tcPr>
          <w:p w14:paraId="0D7D98B2">
            <w:pPr>
              <w:autoSpaceDE w:val="0"/>
              <w:autoSpaceDN w:val="0"/>
              <w:adjustRightInd w:val="0"/>
              <w:snapToGrid w:val="0"/>
              <w:spacing w:line="200" w:lineRule="exact"/>
              <w:ind w:left="-111" w:leftChars="-37" w:right="-105" w:rightChars="-35"/>
              <w:jc w:val="center"/>
              <w:rPr>
                <w:rFonts w:ascii="宋体" w:hAnsi="宋体" w:cs="宋体"/>
                <w:b/>
                <w:color w:val="auto"/>
                <w:kern w:val="0"/>
                <w:sz w:val="20"/>
                <w:szCs w:val="20"/>
                <w:highlight w:val="none"/>
              </w:rPr>
            </w:pPr>
          </w:p>
        </w:tc>
      </w:tr>
    </w:tbl>
    <w:p w14:paraId="15A7FF45">
      <w:pPr>
        <w:widowControl/>
        <w:ind w:left="-1200" w:leftChars="-400" w:firstLine="0" w:firstLineChars="0"/>
        <w:jc w:val="both"/>
        <w:outlineLvl w:val="0"/>
        <w:rPr>
          <w:rFonts w:hint="eastAsia" w:ascii="宋体" w:hAnsi="宋体" w:cs="宋体"/>
          <w:color w:val="auto"/>
          <w:kern w:val="0"/>
          <w:sz w:val="21"/>
          <w:szCs w:val="21"/>
          <w:highlight w:val="none"/>
        </w:rPr>
      </w:pPr>
    </w:p>
    <w:p w14:paraId="5E783408">
      <w:pPr>
        <w:widowControl/>
        <w:ind w:left="-1200" w:leftChars="-400" w:right="-93" w:rightChars="-31" w:firstLine="0" w:firstLineChars="0"/>
        <w:jc w:val="both"/>
        <w:outlineLvl w:val="0"/>
        <w:rPr>
          <w:rFonts w:ascii="宋体" w:hAnsi="宋体" w:cs="宋体"/>
          <w:color w:val="auto"/>
          <w:kern w:val="0"/>
          <w:sz w:val="21"/>
          <w:szCs w:val="21"/>
          <w:highlight w:val="none"/>
        </w:rPr>
      </w:pPr>
      <w:r>
        <w:rPr>
          <w:rFonts w:hint="eastAsia" w:ascii="宋体" w:hAnsi="宋体" w:cs="宋体"/>
          <w:color w:val="auto"/>
          <w:kern w:val="0"/>
          <w:sz w:val="21"/>
          <w:szCs w:val="21"/>
          <w:highlight w:val="none"/>
        </w:rPr>
        <w:t>评审人签名：</w:t>
      </w:r>
      <w:r>
        <w:rPr>
          <w:rFonts w:hint="eastAsia" w:ascii="宋体" w:hAnsi="宋体" w:cs="宋体"/>
          <w:color w:val="auto"/>
          <w:kern w:val="0"/>
          <w:sz w:val="21"/>
          <w:szCs w:val="21"/>
          <w:highlight w:val="none"/>
          <w:lang w:val="en-US" w:eastAsia="zh-CN"/>
        </w:rPr>
        <w:t xml:space="preserve">                                                </w:t>
      </w:r>
      <w:r>
        <w:rPr>
          <w:rFonts w:hint="eastAsia" w:ascii="宋体" w:hAnsi="宋体" w:cs="宋体"/>
          <w:color w:val="auto"/>
          <w:kern w:val="0"/>
          <w:sz w:val="21"/>
          <w:szCs w:val="21"/>
          <w:highlight w:val="none"/>
        </w:rPr>
        <w:t>评审日期：       年     月     日</w:t>
      </w:r>
    </w:p>
    <w:p w14:paraId="20D7310E">
      <w:pPr>
        <w:rPr>
          <w:color w:val="auto"/>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1B6B62"/>
    <w:rsid w:val="07537C49"/>
    <w:rsid w:val="095A2369"/>
    <w:rsid w:val="140A6DEE"/>
    <w:rsid w:val="144A7E38"/>
    <w:rsid w:val="257F2970"/>
    <w:rsid w:val="2F414E54"/>
    <w:rsid w:val="365A3471"/>
    <w:rsid w:val="36E3667F"/>
    <w:rsid w:val="37B82407"/>
    <w:rsid w:val="38DF3B98"/>
    <w:rsid w:val="43590756"/>
    <w:rsid w:val="451B6B62"/>
    <w:rsid w:val="4EC25F65"/>
    <w:rsid w:val="51E12B5B"/>
    <w:rsid w:val="55A2658D"/>
    <w:rsid w:val="5A7A715F"/>
    <w:rsid w:val="6D9179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0"/>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oc 2"/>
    <w:basedOn w:val="1"/>
    <w:next w:val="1"/>
    <w:qFormat/>
    <w:uiPriority w:val="0"/>
    <w:pPr>
      <w:spacing w:before="997"/>
      <w:ind w:left="104"/>
    </w:pPr>
    <w:rPr>
      <w:rFonts w:ascii="宋体"/>
      <w:sz w:val="18"/>
    </w:rPr>
  </w:style>
  <w:style w:type="paragraph" w:styleId="3">
    <w:name w:val="Body Text"/>
    <w:basedOn w:val="1"/>
    <w:unhideWhenUsed/>
    <w:qFormat/>
    <w:uiPriority w:val="99"/>
    <w:pPr>
      <w:spacing w:after="120"/>
    </w:pPr>
  </w:style>
  <w:style w:type="paragraph" w:styleId="4">
    <w:name w:val="Plain Text"/>
    <w:basedOn w:val="1"/>
    <w:qFormat/>
    <w:uiPriority w:val="0"/>
    <w:rPr>
      <w:rFonts w:ascii="宋体" w:hAnsi="Courier New"/>
    </w:rPr>
  </w:style>
  <w:style w:type="paragraph" w:styleId="5">
    <w:name w:val="Body Text First Indent"/>
    <w:basedOn w:val="3"/>
    <w:qFormat/>
    <w:uiPriority w:val="0"/>
    <w:pPr>
      <w:ind w:firstLine="420" w:firstLineChars="1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1158</Words>
  <Characters>1181</Characters>
  <Lines>0</Lines>
  <Paragraphs>0</Paragraphs>
  <TotalTime>27</TotalTime>
  <ScaleCrop>false</ScaleCrop>
  <LinksUpToDate>false</LinksUpToDate>
  <CharactersWithSpaces>1249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2023-05-17T03:35:00Z</dcterms:created>
  <dc:creator>李耀明</dc:creator>
  <cp:lastModifiedBy>吉祥</cp:lastModifiedBy>
  <dcterms:modified xsi:type="dcterms:W3CDTF">2026-08-17T08:13:26Z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ribbonExt">
    <vt:lpwstr>{"WPSExtOfficeTab":{"OnGetEnabled":false,"OnGetVisible":false}}</vt:lpwstr>
  </property>
  <property fmtid="{D5CDD505-2E9C-101B-9397-08002B2CF9AE}" pid="4" name="ICV">
    <vt:lpwstr>3797C8B355AE4C92A3967938D1490C8D_12</vt:lpwstr>
  </property>
  <property fmtid="{D5CDD505-2E9C-101B-9397-08002B2CF9AE}" pid="5" name="KSOTemplateDocerSaveRecord">
    <vt:lpwstr>eyJoZGlkIjoiMDkxZTY0MGUyZGVlZmZiOWQyZDAzNzUxYmFkMTM2OWUiLCJ1c2VySWQiOiIyNTUxNzIwNzQifQ==</vt:lpwstr>
  </property>
</Properties>
</file>