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ascii="宋体" w:hAnsi="宋体" w:cs="宋体"/>
        </w:rPr>
      </w:pPr>
      <w:r>
        <w:rPr>
          <w:rFonts w:hint="eastAsia" w:ascii="宋体" w:hAnsi="宋体" w:cs="宋体"/>
        </w:rPr>
        <w:t>附件2：</w:t>
      </w:r>
    </w:p>
    <w:p>
      <w:pPr>
        <w:spacing w:line="500" w:lineRule="exact"/>
        <w:jc w:val="center"/>
        <w:rPr>
          <w:rFonts w:hint="eastAsia" w:ascii="方正小标宋简体" w:hAnsi="方正小标宋简体" w:eastAsia="方正小标宋简体" w:cs="方正小标宋简体"/>
          <w:sz w:val="36"/>
          <w:szCs w:val="36"/>
          <w:lang w:eastAsia="zh-CN"/>
        </w:rPr>
      </w:pPr>
      <w:r>
        <w:rPr>
          <w:rFonts w:hint="eastAsia" w:ascii="方正小标宋简体" w:hAnsi="方正小标宋简体" w:eastAsia="方正小标宋简体" w:cs="方正小标宋简体"/>
          <w:sz w:val="36"/>
          <w:szCs w:val="36"/>
        </w:rPr>
        <w:t>江门市</w:t>
      </w:r>
      <w:r>
        <w:rPr>
          <w:rFonts w:hint="eastAsia" w:ascii="方正小标宋简体" w:hAnsi="方正小标宋简体" w:eastAsia="方正小标宋简体" w:cs="方正小标宋简体"/>
          <w:sz w:val="36"/>
          <w:szCs w:val="36"/>
          <w:lang w:eastAsia="zh-CN"/>
        </w:rPr>
        <w:t>开</w:t>
      </w:r>
      <w:r>
        <w:rPr>
          <w:rFonts w:hint="eastAsia" w:ascii="方正小标宋简体" w:hAnsi="方正小标宋简体" w:eastAsia="方正小标宋简体" w:cs="方正小标宋简体"/>
          <w:sz w:val="36"/>
          <w:szCs w:val="36"/>
        </w:rPr>
        <w:t>平公路</w:t>
      </w:r>
      <w:r>
        <w:rPr>
          <w:rFonts w:hint="eastAsia" w:ascii="方正小标宋简体" w:hAnsi="方正小标宋简体" w:eastAsia="方正小标宋简体" w:cs="方正小标宋简体"/>
          <w:sz w:val="36"/>
          <w:szCs w:val="36"/>
          <w:lang w:eastAsia="zh-CN"/>
        </w:rPr>
        <w:t>事务</w:t>
      </w:r>
      <w:r>
        <w:rPr>
          <w:rFonts w:hint="eastAsia" w:ascii="方正小标宋简体" w:hAnsi="方正小标宋简体" w:eastAsia="方正小标宋简体" w:cs="方正小标宋简体"/>
          <w:sz w:val="36"/>
          <w:szCs w:val="36"/>
        </w:rPr>
        <w:t>中心</w:t>
      </w:r>
      <w:r>
        <w:rPr>
          <w:rFonts w:hint="eastAsia" w:ascii="方正小标宋简体" w:hAnsi="方正小标宋简体" w:eastAsia="方正小标宋简体" w:cs="方正小标宋简体"/>
          <w:sz w:val="36"/>
          <w:szCs w:val="36"/>
          <w:lang w:eastAsia="zh-CN"/>
        </w:rPr>
        <w:t>公务用车</w:t>
      </w:r>
    </w:p>
    <w:p>
      <w:pPr>
        <w:spacing w:line="500" w:lineRule="exact"/>
        <w:jc w:val="center"/>
        <w:rPr>
          <w:sz w:val="24"/>
          <w:szCs w:val="24"/>
        </w:rPr>
      </w:pPr>
      <w:r>
        <w:rPr>
          <w:rFonts w:hint="eastAsia" w:ascii="方正小标宋简体" w:hAnsi="方正小标宋简体" w:eastAsia="方正小标宋简体" w:cs="方正小标宋简体"/>
          <w:sz w:val="36"/>
          <w:szCs w:val="36"/>
        </w:rPr>
        <w:t>定点加油服务</w:t>
      </w:r>
      <w:bookmarkStart w:id="0" w:name="_GoBack"/>
      <w:bookmarkEnd w:id="0"/>
      <w:r>
        <w:rPr>
          <w:rFonts w:hint="eastAsia" w:ascii="方正小标宋简体" w:hAnsi="方正小标宋简体" w:eastAsia="方正小标宋简体" w:cs="方正小标宋简体"/>
          <w:sz w:val="36"/>
          <w:szCs w:val="36"/>
        </w:rPr>
        <w:t>采购评分标准</w:t>
      </w:r>
    </w:p>
    <w:p>
      <w:pPr>
        <w:pStyle w:val="3"/>
        <w:rPr>
          <w:rFonts w:hAnsi="宋体" w:cs="宋体"/>
        </w:rPr>
      </w:pPr>
    </w:p>
    <w:p>
      <w:pPr>
        <w:spacing w:line="360" w:lineRule="auto"/>
        <w:ind w:firstLine="420" w:firstLineChars="200"/>
        <w:rPr>
          <w:rFonts w:hint="eastAsia" w:ascii="黑体" w:hAnsi="黑体" w:eastAsia="黑体" w:cs="黑体"/>
        </w:rPr>
      </w:pPr>
      <w:r>
        <w:rPr>
          <w:rFonts w:hint="eastAsia" w:ascii="黑体" w:hAnsi="黑体" w:eastAsia="黑体" w:cs="黑体"/>
        </w:rPr>
        <w:t>一、评分选取方式</w:t>
      </w:r>
    </w:p>
    <w:p>
      <w:pPr>
        <w:spacing w:line="360" w:lineRule="auto"/>
        <w:ind w:firstLine="420" w:firstLineChars="200"/>
        <w:rPr>
          <w:rFonts w:ascii="宋体" w:hAnsi="宋体" w:cs="宋体"/>
        </w:rPr>
      </w:pPr>
      <w:r>
        <w:rPr>
          <w:rFonts w:hint="eastAsia" w:ascii="宋体" w:hAnsi="宋体" w:cs="宋体"/>
        </w:rPr>
        <w:t>本次采购采用【自行采购的综合选取】的方式确定中选机构。评分小组先对报名的投标方进行初步评审；然后对满足初步评审要求的投标方，按照详细评审规定的评分标准进行打分。</w:t>
      </w:r>
    </w:p>
    <w:p>
      <w:pPr>
        <w:spacing w:line="360" w:lineRule="auto"/>
        <w:ind w:firstLine="420" w:firstLineChars="200"/>
        <w:rPr>
          <w:rFonts w:ascii="宋体" w:hAnsi="宋体" w:cs="宋体"/>
        </w:rPr>
      </w:pPr>
      <w:r>
        <w:rPr>
          <w:rFonts w:hint="eastAsia" w:ascii="宋体" w:hAnsi="宋体" w:cs="宋体"/>
        </w:rPr>
        <w:t>评分小组成员对投标方的详细评审各评审因素进行评分，计算出各评审因素的算术平均值后合计总和作为该投标方的得分，并按得分由高到低顺序推荐中选机构。</w:t>
      </w:r>
    </w:p>
    <w:p>
      <w:pPr>
        <w:spacing w:line="360" w:lineRule="auto"/>
        <w:ind w:firstLine="420" w:firstLineChars="200"/>
        <w:rPr>
          <w:rFonts w:ascii="宋体" w:hAnsi="宋体" w:cs="宋体"/>
        </w:rPr>
      </w:pPr>
      <w:r>
        <w:rPr>
          <w:rFonts w:hint="eastAsia" w:ascii="仿宋_GB2312" w:hAnsi="华文仿宋"/>
          <w:szCs w:val="32"/>
        </w:rPr>
        <w:t>如有两家或以上投标方的综合得分相同且得分均为最高，</w:t>
      </w:r>
      <w:r>
        <w:rPr>
          <w:rFonts w:hint="eastAsia" w:ascii="宋体" w:hAnsi="宋体" w:cs="宋体"/>
        </w:rPr>
        <w:t>评分小组视投标方的情况综合比较，投票确定其名次。</w:t>
      </w:r>
    </w:p>
    <w:p>
      <w:pPr>
        <w:spacing w:line="360" w:lineRule="auto"/>
        <w:ind w:firstLine="420" w:firstLineChars="200"/>
        <w:rPr>
          <w:rFonts w:hint="eastAsia" w:ascii="黑体" w:hAnsi="黑体" w:eastAsia="黑体" w:cs="黑体"/>
        </w:rPr>
      </w:pPr>
      <w:r>
        <w:rPr>
          <w:rFonts w:hint="eastAsia" w:ascii="黑体" w:hAnsi="黑体" w:eastAsia="黑体" w:cs="黑体"/>
        </w:rPr>
        <w:t>二、初步评审</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9"/>
        <w:gridCol w:w="67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trPr>
        <w:tc>
          <w:tcPr>
            <w:tcW w:w="1809" w:type="dxa"/>
            <w:shd w:val="clear" w:color="auto" w:fill="auto"/>
            <w:vAlign w:val="center"/>
          </w:tcPr>
          <w:p>
            <w:pPr>
              <w:spacing w:line="360" w:lineRule="auto"/>
              <w:jc w:val="center"/>
              <w:rPr>
                <w:rFonts w:ascii="宋体" w:hAnsi="宋体" w:cs="宋体"/>
                <w:b/>
              </w:rPr>
            </w:pPr>
            <w:r>
              <w:rPr>
                <w:rFonts w:hint="eastAsia" w:ascii="宋体" w:hAnsi="宋体" w:cs="宋体"/>
                <w:b/>
              </w:rPr>
              <w:t>评审因素</w:t>
            </w:r>
          </w:p>
        </w:tc>
        <w:tc>
          <w:tcPr>
            <w:tcW w:w="6713" w:type="dxa"/>
            <w:shd w:val="clear" w:color="auto" w:fill="auto"/>
            <w:vAlign w:val="center"/>
          </w:tcPr>
          <w:p>
            <w:pPr>
              <w:spacing w:line="360" w:lineRule="auto"/>
              <w:jc w:val="center"/>
              <w:rPr>
                <w:rFonts w:ascii="宋体" w:hAnsi="宋体" w:cs="宋体"/>
                <w:b/>
              </w:rPr>
            </w:pPr>
            <w:r>
              <w:rPr>
                <w:rFonts w:hint="eastAsia" w:ascii="宋体" w:hAnsi="宋体" w:cs="宋体"/>
                <w:b/>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5" w:hRule="atLeast"/>
        </w:trPr>
        <w:tc>
          <w:tcPr>
            <w:tcW w:w="1809" w:type="dxa"/>
            <w:shd w:val="clear" w:color="auto" w:fill="auto"/>
            <w:vAlign w:val="center"/>
          </w:tcPr>
          <w:p>
            <w:pPr>
              <w:adjustRightInd/>
              <w:spacing w:line="360" w:lineRule="auto"/>
              <w:jc w:val="center"/>
              <w:rPr>
                <w:rFonts w:ascii="宋体" w:hAnsi="宋体" w:cs="宋体"/>
              </w:rPr>
            </w:pPr>
            <w:r>
              <w:rPr>
                <w:rFonts w:hint="eastAsia" w:ascii="宋体" w:hAnsi="宋体" w:cs="宋体"/>
              </w:rPr>
              <w:t>资质</w:t>
            </w:r>
          </w:p>
        </w:tc>
        <w:tc>
          <w:tcPr>
            <w:tcW w:w="6713" w:type="dxa"/>
            <w:shd w:val="clear" w:color="auto" w:fill="auto"/>
            <w:vAlign w:val="center"/>
          </w:tcPr>
          <w:p>
            <w:pPr>
              <w:adjustRightInd/>
              <w:spacing w:before="312" w:beforeLines="100" w:line="360" w:lineRule="auto"/>
              <w:jc w:val="both"/>
              <w:textAlignment w:val="auto"/>
              <w:rPr>
                <w:rFonts w:ascii="宋体" w:hAnsi="宋体" w:cs="宋体"/>
              </w:rPr>
            </w:pPr>
            <w:r>
              <w:rPr>
                <w:rFonts w:hint="eastAsia" w:ascii="宋体" w:hAnsi="宋体" w:cs="宋体"/>
              </w:rPr>
              <w:t>（1）在中华人民共和国境内依法注册的具有合法经营资格的独立法人；</w:t>
            </w:r>
          </w:p>
          <w:p>
            <w:pPr>
              <w:adjustRightInd/>
              <w:spacing w:line="360" w:lineRule="auto"/>
              <w:ind w:left="105" w:hanging="105" w:hangingChars="50"/>
              <w:jc w:val="both"/>
              <w:textAlignment w:val="auto"/>
              <w:rPr>
                <w:rFonts w:ascii="宋体" w:hAnsi="宋体" w:cs="宋体"/>
              </w:rPr>
            </w:pPr>
            <w:r>
              <w:rPr>
                <w:rFonts w:hint="eastAsia" w:ascii="宋体" w:hAnsi="宋体" w:cs="宋体"/>
              </w:rPr>
              <w:t>（2）具备相应行业资质；</w:t>
            </w:r>
          </w:p>
          <w:p>
            <w:pPr>
              <w:adjustRightInd/>
              <w:spacing w:line="360" w:lineRule="auto"/>
              <w:ind w:left="105" w:hanging="105" w:hangingChars="50"/>
              <w:jc w:val="both"/>
              <w:textAlignment w:val="auto"/>
            </w:pPr>
            <w:r>
              <w:rPr>
                <w:rFonts w:hint="eastAsia"/>
              </w:rPr>
              <w:t>（3）</w:t>
            </w:r>
            <w:r>
              <w:rPr>
                <w:rFonts w:hint="eastAsia" w:ascii="宋体" w:hAnsi="宋体" w:cs="宋体"/>
              </w:rPr>
              <w:t>中华人民共和国经营油品业务许可证</w:t>
            </w: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6" w:hRule="atLeast"/>
        </w:trPr>
        <w:tc>
          <w:tcPr>
            <w:tcW w:w="1809" w:type="dxa"/>
            <w:shd w:val="clear" w:color="auto" w:fill="auto"/>
            <w:vAlign w:val="center"/>
          </w:tcPr>
          <w:p>
            <w:pPr>
              <w:adjustRightInd/>
              <w:spacing w:line="360" w:lineRule="auto"/>
              <w:jc w:val="center"/>
              <w:rPr>
                <w:rFonts w:ascii="宋体" w:hAnsi="宋体" w:cs="宋体"/>
              </w:rPr>
            </w:pPr>
            <w:r>
              <w:rPr>
                <w:rFonts w:hint="eastAsia" w:ascii="宋体" w:hAnsi="宋体" w:cs="宋体"/>
              </w:rPr>
              <w:t>信用</w:t>
            </w:r>
          </w:p>
        </w:tc>
        <w:tc>
          <w:tcPr>
            <w:tcW w:w="6713" w:type="dxa"/>
            <w:shd w:val="clear" w:color="auto" w:fill="auto"/>
            <w:vAlign w:val="center"/>
          </w:tcPr>
          <w:p>
            <w:pPr>
              <w:adjustRightInd/>
              <w:spacing w:line="360" w:lineRule="auto"/>
              <w:ind w:left="105" w:hanging="105" w:hangingChars="50"/>
              <w:jc w:val="both"/>
              <w:textAlignment w:val="auto"/>
              <w:rPr>
                <w:rFonts w:ascii="宋体" w:hAnsi="宋体" w:cs="宋体"/>
              </w:rPr>
            </w:pPr>
            <w:r>
              <w:rPr>
                <w:rFonts w:hint="eastAsia" w:ascii="宋体" w:hAnsi="宋体" w:cs="宋体"/>
              </w:rPr>
              <w:t>（1）投标方在国家企业信用信息公示系统中未被列入严重违法失信企业名单；</w:t>
            </w:r>
          </w:p>
          <w:p>
            <w:pPr>
              <w:adjustRightInd/>
              <w:spacing w:line="360" w:lineRule="auto"/>
              <w:ind w:left="105" w:hanging="105" w:hangingChars="50"/>
              <w:jc w:val="both"/>
              <w:textAlignment w:val="auto"/>
              <w:rPr>
                <w:rFonts w:ascii="宋体" w:hAnsi="宋体" w:cs="宋体"/>
              </w:rPr>
            </w:pPr>
            <w:r>
              <w:rPr>
                <w:rFonts w:hint="eastAsia" w:ascii="宋体" w:hAnsi="宋体" w:cs="宋体"/>
              </w:rPr>
              <w:t>（2）在“信用中国”网站或地方信用网站的信用信息报告无不良记录。</w:t>
            </w:r>
          </w:p>
          <w:p>
            <w:pPr>
              <w:adjustRightInd/>
              <w:spacing w:line="360" w:lineRule="auto"/>
              <w:ind w:left="105" w:hanging="105" w:hangingChars="50"/>
              <w:jc w:val="both"/>
              <w:textAlignment w:val="auto"/>
            </w:pPr>
            <w:r>
              <w:rPr>
                <w:rFonts w:hint="eastAsia" w:ascii="宋体" w:hAnsi="宋体" w:cs="宋体"/>
              </w:rPr>
              <w:t>注：如投标方未提交上述证明材料，则由评选小组核查；如投标方为事业单位，无法提供国家企业信用信息公示系统截图，则视作通过。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3" w:hRule="atLeast"/>
        </w:trPr>
        <w:tc>
          <w:tcPr>
            <w:tcW w:w="1809" w:type="dxa"/>
            <w:shd w:val="clear" w:color="auto" w:fill="auto"/>
            <w:vAlign w:val="center"/>
          </w:tcPr>
          <w:p>
            <w:pPr>
              <w:adjustRightInd/>
              <w:spacing w:line="360" w:lineRule="auto"/>
              <w:jc w:val="center"/>
              <w:rPr>
                <w:rFonts w:ascii="宋体" w:hAnsi="宋体" w:cs="宋体"/>
              </w:rPr>
            </w:pPr>
            <w:r>
              <w:rPr>
                <w:rFonts w:hint="eastAsia" w:ascii="宋体" w:hAnsi="宋体" w:cs="宋体"/>
              </w:rPr>
              <w:t>报价</w:t>
            </w:r>
          </w:p>
        </w:tc>
        <w:tc>
          <w:tcPr>
            <w:tcW w:w="6713" w:type="dxa"/>
            <w:shd w:val="clear" w:color="auto" w:fill="auto"/>
            <w:vAlign w:val="center"/>
          </w:tcPr>
          <w:p>
            <w:pPr>
              <w:adjustRightInd/>
              <w:spacing w:line="360" w:lineRule="auto"/>
              <w:jc w:val="both"/>
              <w:rPr>
                <w:rFonts w:ascii="宋体" w:hAnsi="宋体" w:cs="宋体"/>
              </w:rPr>
            </w:pPr>
            <w:r>
              <w:rPr>
                <w:rFonts w:hint="eastAsia" w:cs="宋体"/>
              </w:rPr>
              <w:t>油品优惠在合理报价</w:t>
            </w:r>
            <w:r>
              <w:rPr>
                <w:rFonts w:cs="宋体"/>
              </w:rPr>
              <w:t>区间范围内。</w:t>
            </w:r>
          </w:p>
        </w:tc>
      </w:tr>
    </w:tbl>
    <w:p>
      <w:pPr>
        <w:pStyle w:val="3"/>
        <w:sectPr>
          <w:footerReference r:id="rId5" w:type="default"/>
          <w:pgSz w:w="11906" w:h="16838"/>
          <w:pgMar w:top="1440" w:right="1800" w:bottom="1440" w:left="1800" w:header="851" w:footer="992" w:gutter="0"/>
          <w:cols w:space="720" w:num="1"/>
          <w:docGrid w:type="lines" w:linePitch="312" w:charSpace="0"/>
        </w:sectPr>
      </w:pPr>
    </w:p>
    <w:p>
      <w:pPr>
        <w:spacing w:line="360" w:lineRule="auto"/>
        <w:ind w:firstLine="1260" w:firstLineChars="600"/>
        <w:rPr>
          <w:rFonts w:hint="eastAsia" w:ascii="黑体" w:hAnsi="黑体" w:eastAsia="黑体" w:cs="黑体"/>
        </w:rPr>
      </w:pPr>
      <w:r>
        <w:rPr>
          <w:rFonts w:hint="eastAsia" w:ascii="黑体" w:hAnsi="黑体" w:eastAsia="黑体" w:cs="黑体"/>
        </w:rPr>
        <w:t>三、详细评审</w:t>
      </w:r>
    </w:p>
    <w:tbl>
      <w:tblPr>
        <w:tblStyle w:val="8"/>
        <w:tblW w:w="86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1900"/>
        <w:gridCol w:w="5561"/>
        <w:gridCol w:w="11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94" w:hRule="exact"/>
          <w:jc w:val="center"/>
        </w:trPr>
        <w:tc>
          <w:tcPr>
            <w:tcW w:w="1900" w:type="dxa"/>
            <w:shd w:val="clear" w:color="auto" w:fill="FFFFFF"/>
            <w:vAlign w:val="center"/>
          </w:tcPr>
          <w:p>
            <w:pPr>
              <w:spacing w:line="240" w:lineRule="auto"/>
              <w:jc w:val="center"/>
              <w:rPr>
                <w:sz w:val="24"/>
              </w:rPr>
            </w:pPr>
            <w:r>
              <w:rPr>
                <w:rStyle w:val="20"/>
                <w:sz w:val="24"/>
              </w:rPr>
              <w:t>评分项目</w:t>
            </w:r>
          </w:p>
        </w:tc>
        <w:tc>
          <w:tcPr>
            <w:tcW w:w="5561" w:type="dxa"/>
            <w:shd w:val="clear" w:color="auto" w:fill="FFFFFF"/>
            <w:vAlign w:val="center"/>
          </w:tcPr>
          <w:p>
            <w:pPr>
              <w:spacing w:line="240" w:lineRule="auto"/>
              <w:jc w:val="center"/>
              <w:rPr>
                <w:sz w:val="24"/>
              </w:rPr>
            </w:pPr>
            <w:r>
              <w:rPr>
                <w:rStyle w:val="20"/>
                <w:sz w:val="24"/>
              </w:rPr>
              <w:t>评标指标</w:t>
            </w:r>
          </w:p>
        </w:tc>
        <w:tc>
          <w:tcPr>
            <w:tcW w:w="1199" w:type="dxa"/>
            <w:shd w:val="clear" w:color="auto" w:fill="FFFFFF"/>
            <w:vAlign w:val="center"/>
          </w:tcPr>
          <w:p>
            <w:pPr>
              <w:spacing w:line="240" w:lineRule="auto"/>
              <w:jc w:val="center"/>
              <w:rPr>
                <w:rStyle w:val="20"/>
                <w:sz w:val="24"/>
              </w:rPr>
            </w:pPr>
            <w:r>
              <w:rPr>
                <w:rStyle w:val="20"/>
                <w:rFonts w:hint="eastAsia"/>
                <w:sz w:val="24"/>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67" w:hRule="exact"/>
          <w:jc w:val="center"/>
        </w:trPr>
        <w:tc>
          <w:tcPr>
            <w:tcW w:w="1900" w:type="dxa"/>
            <w:shd w:val="clear" w:color="auto" w:fill="FFFFFF"/>
            <w:vAlign w:val="center"/>
          </w:tcPr>
          <w:p>
            <w:pPr>
              <w:adjustRightInd/>
              <w:spacing w:line="360" w:lineRule="auto"/>
              <w:jc w:val="center"/>
              <w:rPr>
                <w:rFonts w:hint="eastAsia"/>
              </w:rPr>
            </w:pPr>
            <w:r>
              <w:rPr>
                <w:rFonts w:hint="eastAsia"/>
              </w:rPr>
              <w:t>服务方案</w:t>
            </w:r>
          </w:p>
          <w:p>
            <w:pPr>
              <w:adjustRightInd/>
              <w:spacing w:line="360" w:lineRule="auto"/>
              <w:jc w:val="center"/>
            </w:pPr>
            <w:r>
              <w:rPr>
                <w:rFonts w:hint="eastAsia"/>
              </w:rPr>
              <w:t>（10分）</w:t>
            </w:r>
          </w:p>
        </w:tc>
        <w:tc>
          <w:tcPr>
            <w:tcW w:w="5561" w:type="dxa"/>
            <w:shd w:val="clear" w:color="auto" w:fill="FFFFFF"/>
            <w:vAlign w:val="center"/>
          </w:tcPr>
          <w:p>
            <w:pPr>
              <w:adjustRightInd/>
              <w:spacing w:before="312" w:beforeLines="100" w:line="360" w:lineRule="auto"/>
              <w:jc w:val="both"/>
              <w:textAlignment w:val="auto"/>
              <w:rPr>
                <w:rFonts w:ascii="宋体" w:hAnsi="宋体" w:cs="宋体"/>
              </w:rPr>
            </w:pPr>
            <w:r>
              <w:rPr>
                <w:rFonts w:ascii="宋体" w:hAnsi="宋体" w:cs="宋体"/>
              </w:rPr>
              <w:t>服务方案</w:t>
            </w:r>
            <w:r>
              <w:rPr>
                <w:rFonts w:hint="eastAsia" w:ascii="宋体" w:hAnsi="宋体" w:cs="宋体"/>
              </w:rPr>
              <w:t>评审内容</w:t>
            </w:r>
            <w:r>
              <w:rPr>
                <w:rFonts w:ascii="宋体" w:hAnsi="宋体" w:cs="宋体"/>
              </w:rPr>
              <w:t>包括</w:t>
            </w:r>
            <w:r>
              <w:rPr>
                <w:rFonts w:hint="eastAsia" w:ascii="宋体" w:hAnsi="宋体" w:cs="宋体"/>
              </w:rPr>
              <w:t xml:space="preserve">：                              </w:t>
            </w:r>
          </w:p>
          <w:p>
            <w:pPr>
              <w:adjustRightInd/>
              <w:spacing w:line="360" w:lineRule="auto"/>
              <w:ind w:left="105" w:hanging="105" w:hangingChars="50"/>
              <w:jc w:val="both"/>
              <w:textAlignment w:val="auto"/>
              <w:rPr>
                <w:rFonts w:hint="eastAsia" w:ascii="宋体" w:hAnsi="宋体" w:eastAsia="宋体" w:cs="宋体"/>
                <w:lang w:eastAsia="zh-CN"/>
              </w:rPr>
            </w:pPr>
            <w:r>
              <w:rPr>
                <w:rFonts w:ascii="宋体" w:hAnsi="宋体" w:cs="宋体"/>
              </w:rPr>
              <w:t>1.油品经营管理</w:t>
            </w:r>
            <w:r>
              <w:rPr>
                <w:rFonts w:hint="eastAsia" w:ascii="宋体" w:hAnsi="宋体" w:cs="宋体"/>
                <w:lang w:eastAsia="zh-CN"/>
              </w:rPr>
              <w:t>；</w:t>
            </w:r>
            <w:r>
              <w:rPr>
                <w:rFonts w:ascii="宋体" w:hAnsi="宋体" w:cs="宋体"/>
              </w:rPr>
              <w:t>2.消防安全管理</w:t>
            </w:r>
            <w:r>
              <w:rPr>
                <w:rFonts w:hint="eastAsia" w:ascii="宋体" w:hAnsi="宋体" w:cs="宋体"/>
                <w:lang w:eastAsia="zh-CN"/>
              </w:rPr>
              <w:t>；</w:t>
            </w:r>
            <w:r>
              <w:rPr>
                <w:rFonts w:ascii="宋体" w:hAnsi="宋体" w:cs="宋体"/>
              </w:rPr>
              <w:t>3.人员组织架构</w:t>
            </w:r>
            <w:r>
              <w:rPr>
                <w:rFonts w:hint="eastAsia" w:ascii="宋体" w:hAnsi="宋体" w:cs="宋体"/>
                <w:lang w:eastAsia="zh-CN"/>
              </w:rPr>
              <w:t>；</w:t>
            </w:r>
            <w:r>
              <w:rPr>
                <w:rFonts w:hint="eastAsia" w:ascii="宋体" w:hAnsi="宋体" w:cs="宋体"/>
              </w:rPr>
              <w:t>4</w:t>
            </w:r>
            <w:r>
              <w:rPr>
                <w:rFonts w:ascii="宋体" w:hAnsi="宋体" w:cs="宋体"/>
              </w:rPr>
              <w:t>.加油站点信息</w:t>
            </w:r>
            <w:r>
              <w:rPr>
                <w:rFonts w:hint="eastAsia" w:ascii="宋体" w:hAnsi="宋体" w:cs="宋体"/>
                <w:lang w:eastAsia="zh-CN"/>
              </w:rPr>
              <w:t>；</w:t>
            </w:r>
            <w:r>
              <w:rPr>
                <w:rFonts w:hint="eastAsia" w:ascii="宋体" w:hAnsi="宋体" w:cs="宋体"/>
              </w:rPr>
              <w:t>5</w:t>
            </w:r>
            <w:r>
              <w:rPr>
                <w:rFonts w:ascii="宋体" w:hAnsi="宋体" w:cs="宋体"/>
              </w:rPr>
              <w:t>.服务响应时间</w:t>
            </w:r>
            <w:r>
              <w:rPr>
                <w:rFonts w:hint="eastAsia" w:ascii="宋体" w:hAnsi="宋体" w:cs="宋体"/>
                <w:lang w:eastAsia="zh-CN"/>
              </w:rPr>
              <w:t>；</w:t>
            </w:r>
            <w:r>
              <w:rPr>
                <w:rFonts w:hint="eastAsia" w:ascii="宋体" w:hAnsi="宋体" w:cs="宋体"/>
              </w:rPr>
              <w:t>6</w:t>
            </w:r>
            <w:r>
              <w:rPr>
                <w:rFonts w:ascii="宋体" w:hAnsi="宋体" w:cs="宋体"/>
              </w:rPr>
              <w:t>.服务措施</w:t>
            </w:r>
            <w:r>
              <w:rPr>
                <w:rFonts w:hint="eastAsia" w:ascii="宋体" w:hAnsi="宋体" w:cs="宋体"/>
                <w:lang w:eastAsia="zh-CN"/>
              </w:rPr>
              <w:t>；</w:t>
            </w:r>
            <w:r>
              <w:rPr>
                <w:rFonts w:ascii="宋体" w:hAnsi="宋体" w:cs="宋体"/>
              </w:rPr>
              <w:t>7.投诉处理</w:t>
            </w:r>
            <w:r>
              <w:rPr>
                <w:rFonts w:hint="eastAsia" w:ascii="宋体" w:hAnsi="宋体" w:cs="宋体"/>
                <w:lang w:eastAsia="zh-CN"/>
              </w:rPr>
              <w:t>；</w:t>
            </w:r>
            <w:r>
              <w:rPr>
                <w:rFonts w:hint="eastAsia" w:ascii="宋体" w:hAnsi="宋体" w:cs="宋体"/>
              </w:rPr>
              <w:t>8.财务会计制度</w:t>
            </w:r>
            <w:r>
              <w:rPr>
                <w:rFonts w:hint="eastAsia" w:ascii="宋体" w:hAnsi="宋体" w:cs="宋体"/>
                <w:lang w:eastAsia="zh-CN"/>
              </w:rPr>
              <w:t>；</w:t>
            </w:r>
            <w:r>
              <w:rPr>
                <w:rFonts w:hint="eastAsia" w:ascii="宋体" w:hAnsi="宋体" w:cs="宋体"/>
              </w:rPr>
              <w:t>9.缴纳税收情况</w:t>
            </w:r>
            <w:r>
              <w:rPr>
                <w:rFonts w:hint="eastAsia" w:ascii="宋体" w:hAnsi="宋体" w:cs="宋体"/>
                <w:lang w:eastAsia="zh-CN"/>
              </w:rPr>
              <w:t>；</w:t>
            </w:r>
            <w:r>
              <w:rPr>
                <w:rFonts w:hint="eastAsia" w:ascii="宋体" w:hAnsi="宋体" w:cs="宋体"/>
              </w:rPr>
              <w:t>10.</w:t>
            </w:r>
            <w:r>
              <w:rPr>
                <w:rFonts w:hint="eastAsia"/>
              </w:rPr>
              <w:t xml:space="preserve"> </w:t>
            </w:r>
            <w:r>
              <w:rPr>
                <w:rFonts w:hint="eastAsia" w:ascii="宋体" w:hAnsi="宋体" w:cs="宋体"/>
              </w:rPr>
              <w:t>履行合同所必需的设备和专业技术能力</w:t>
            </w:r>
            <w:r>
              <w:rPr>
                <w:rFonts w:hint="eastAsia" w:ascii="宋体" w:hAnsi="宋体" w:cs="宋体"/>
                <w:lang w:eastAsia="zh-CN"/>
              </w:rPr>
              <w:t>。</w:t>
            </w:r>
          </w:p>
          <w:p>
            <w:pPr>
              <w:adjustRightInd/>
              <w:spacing w:before="312" w:beforeLines="100" w:line="360" w:lineRule="auto"/>
              <w:jc w:val="both"/>
              <w:textAlignment w:val="auto"/>
              <w:rPr>
                <w:rFonts w:ascii="宋体" w:hAnsi="宋体" w:cs="宋体"/>
              </w:rPr>
            </w:pPr>
            <w:r>
              <w:rPr>
                <w:rFonts w:ascii="宋体" w:hAnsi="宋体" w:cs="宋体"/>
              </w:rPr>
              <w:t>投标人</w:t>
            </w:r>
            <w:r>
              <w:rPr>
                <w:rFonts w:hint="eastAsia" w:ascii="宋体" w:hAnsi="宋体" w:cs="宋体"/>
              </w:rPr>
              <w:t>提供的服务方案每体现一项评审内容得1分，本小项最高得10分。</w:t>
            </w:r>
          </w:p>
          <w:p>
            <w:pPr>
              <w:adjustRightInd/>
              <w:spacing w:before="312" w:beforeLines="100" w:line="360" w:lineRule="auto"/>
              <w:jc w:val="both"/>
              <w:textAlignment w:val="auto"/>
              <w:rPr>
                <w:rFonts w:ascii="宋体" w:hAnsi="宋体" w:cs="宋体"/>
              </w:rPr>
            </w:pPr>
          </w:p>
          <w:p>
            <w:pPr>
              <w:adjustRightInd/>
              <w:spacing w:before="312" w:beforeLines="100" w:line="360" w:lineRule="auto"/>
              <w:jc w:val="both"/>
              <w:textAlignment w:val="auto"/>
              <w:rPr>
                <w:rFonts w:ascii="宋体" w:hAnsi="宋体" w:cs="宋体"/>
              </w:rPr>
            </w:pPr>
          </w:p>
        </w:tc>
        <w:tc>
          <w:tcPr>
            <w:tcW w:w="1199" w:type="dxa"/>
            <w:shd w:val="clear" w:color="auto" w:fill="FFFFFF"/>
            <w:vAlign w:val="center"/>
          </w:tcPr>
          <w:p>
            <w:pPr>
              <w:spacing w:line="240" w:lineRule="auto"/>
              <w:jc w:val="center"/>
              <w:rPr>
                <w:rStyle w:val="2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08" w:hRule="exact"/>
          <w:jc w:val="center"/>
        </w:trPr>
        <w:tc>
          <w:tcPr>
            <w:tcW w:w="1900" w:type="dxa"/>
            <w:shd w:val="clear" w:color="auto" w:fill="FFFFFF"/>
            <w:vAlign w:val="center"/>
          </w:tcPr>
          <w:p>
            <w:pPr>
              <w:adjustRightInd/>
              <w:spacing w:line="360" w:lineRule="auto"/>
              <w:jc w:val="center"/>
              <w:rPr>
                <w:rFonts w:hint="eastAsia"/>
              </w:rPr>
            </w:pPr>
            <w:r>
              <w:rPr>
                <w:rFonts w:hint="eastAsia"/>
              </w:rPr>
              <w:t>加油服务便利性</w:t>
            </w:r>
          </w:p>
          <w:p>
            <w:pPr>
              <w:adjustRightInd/>
              <w:spacing w:line="360" w:lineRule="auto"/>
              <w:jc w:val="center"/>
            </w:pPr>
            <w:r>
              <w:rPr>
                <w:rFonts w:hint="eastAsia"/>
              </w:rPr>
              <w:t>（30分）</w:t>
            </w:r>
          </w:p>
        </w:tc>
        <w:tc>
          <w:tcPr>
            <w:tcW w:w="5561" w:type="dxa"/>
            <w:shd w:val="clear" w:color="auto" w:fill="FFFFFF"/>
          </w:tcPr>
          <w:p>
            <w:pPr>
              <w:adjustRightInd/>
              <w:spacing w:before="312" w:beforeLines="100" w:line="360" w:lineRule="auto"/>
              <w:jc w:val="both"/>
              <w:textAlignment w:val="auto"/>
              <w:rPr>
                <w:rFonts w:ascii="宋体" w:hAnsi="宋体" w:cs="宋体"/>
              </w:rPr>
            </w:pPr>
            <w:r>
              <w:rPr>
                <w:rFonts w:hint="eastAsia" w:ascii="宋体" w:hAnsi="宋体" w:cs="宋体"/>
              </w:rPr>
              <w:t>（1）</w:t>
            </w:r>
            <w:r>
              <w:rPr>
                <w:rFonts w:ascii="宋体" w:hAnsi="宋体" w:cs="宋体"/>
              </w:rPr>
              <w:t>投标</w:t>
            </w:r>
            <w:r>
              <w:rPr>
                <w:rFonts w:hint="eastAsia" w:ascii="宋体" w:hAnsi="宋体" w:cs="宋体"/>
              </w:rPr>
              <w:t>方</w:t>
            </w:r>
            <w:r>
              <w:rPr>
                <w:rFonts w:ascii="宋体" w:hAnsi="宋体" w:cs="宋体"/>
              </w:rPr>
              <w:t>承诺拟投入本项目服务的各加油站至其辐射范围各片区能满足15分钟内到达，并提供加油服务的得5分。</w:t>
            </w:r>
          </w:p>
          <w:p>
            <w:pPr>
              <w:adjustRightInd/>
              <w:spacing w:before="312" w:beforeLines="100" w:line="360" w:lineRule="auto"/>
              <w:jc w:val="both"/>
              <w:textAlignment w:val="auto"/>
              <w:rPr>
                <w:rFonts w:ascii="宋体" w:hAnsi="宋体" w:cs="宋体"/>
              </w:rPr>
            </w:pPr>
            <w:r>
              <w:rPr>
                <w:rFonts w:hint="eastAsia" w:ascii="宋体" w:hAnsi="宋体" w:cs="宋体"/>
              </w:rPr>
              <w:t>（2）根据投标</w:t>
            </w:r>
            <w:r>
              <w:rPr>
                <w:rFonts w:hint="eastAsia" w:ascii="宋体" w:hAnsi="宋体" w:cs="宋体"/>
                <w:lang w:eastAsia="zh-CN"/>
              </w:rPr>
              <w:t>人在开平市区域内</w:t>
            </w:r>
            <w:r>
              <w:rPr>
                <w:rFonts w:hint="eastAsia" w:ascii="宋体" w:hAnsi="宋体" w:cs="宋体"/>
              </w:rPr>
              <w:t>提供的加油站数量进行评审，每提供一个加油站点得2分</w:t>
            </w:r>
            <w:r>
              <w:rPr>
                <w:rFonts w:ascii="宋体" w:hAnsi="宋体" w:cs="宋体"/>
              </w:rPr>
              <w:t>。</w:t>
            </w:r>
          </w:p>
          <w:p>
            <w:pPr>
              <w:adjustRightInd/>
              <w:spacing w:before="312" w:beforeLines="100" w:line="360" w:lineRule="auto"/>
              <w:ind w:firstLine="420" w:firstLineChars="200"/>
              <w:jc w:val="both"/>
              <w:textAlignment w:val="auto"/>
              <w:rPr>
                <w:rFonts w:ascii="宋体" w:hAnsi="宋体" w:cs="宋体"/>
              </w:rPr>
            </w:pPr>
            <w:r>
              <w:rPr>
                <w:rFonts w:hint="eastAsia" w:ascii="宋体" w:hAnsi="宋体" w:cs="宋体"/>
                <w:lang w:eastAsia="zh-CN"/>
              </w:rPr>
              <w:t>以上两</w:t>
            </w:r>
            <w:r>
              <w:rPr>
                <w:rFonts w:ascii="宋体" w:hAnsi="宋体" w:cs="宋体"/>
              </w:rPr>
              <w:t>项最高得30分</w:t>
            </w:r>
          </w:p>
          <w:p>
            <w:pPr>
              <w:adjustRightInd/>
              <w:spacing w:before="312" w:beforeLines="100" w:line="360" w:lineRule="auto"/>
              <w:jc w:val="both"/>
              <w:textAlignment w:val="auto"/>
              <w:rPr>
                <w:rFonts w:ascii="宋体" w:hAnsi="宋体" w:cs="宋体"/>
              </w:rPr>
            </w:pPr>
            <w:r>
              <w:rPr>
                <w:rFonts w:hint="eastAsia" w:ascii="宋体" w:hAnsi="宋体" w:cs="宋体"/>
              </w:rPr>
              <w:t>注：</w:t>
            </w:r>
            <w:r>
              <w:rPr>
                <w:rFonts w:ascii="宋体" w:hAnsi="宋体" w:cs="宋体"/>
              </w:rPr>
              <w:t>投标</w:t>
            </w:r>
            <w:r>
              <w:rPr>
                <w:rFonts w:hint="eastAsia" w:ascii="宋体" w:hAnsi="宋体" w:cs="宋体"/>
              </w:rPr>
              <w:t>方</w:t>
            </w:r>
            <w:r>
              <w:rPr>
                <w:rFonts w:ascii="宋体" w:hAnsi="宋体" w:cs="宋体"/>
              </w:rPr>
              <w:t>须提供每个加油站的详细地址、可供油品种类、各油品种类的油枪数目</w:t>
            </w:r>
            <w:r>
              <w:rPr>
                <w:rFonts w:hint="eastAsia" w:ascii="宋体" w:hAnsi="宋体" w:cs="宋体"/>
              </w:rPr>
              <w:t>，以评价加油服务的便利性。</w:t>
            </w:r>
          </w:p>
          <w:p>
            <w:pPr>
              <w:adjustRightInd/>
              <w:spacing w:before="312" w:beforeLines="100" w:line="360" w:lineRule="auto"/>
              <w:jc w:val="both"/>
              <w:textAlignment w:val="auto"/>
              <w:rPr>
                <w:rFonts w:ascii="宋体" w:hAnsi="宋体" w:cs="宋体"/>
              </w:rPr>
            </w:pPr>
          </w:p>
          <w:p>
            <w:pPr>
              <w:adjustRightInd/>
              <w:spacing w:before="312" w:beforeLines="100" w:line="360" w:lineRule="auto"/>
              <w:jc w:val="both"/>
              <w:textAlignment w:val="auto"/>
              <w:rPr>
                <w:rFonts w:ascii="宋体" w:hAnsi="宋体" w:cs="宋体"/>
              </w:rPr>
            </w:pPr>
          </w:p>
        </w:tc>
        <w:tc>
          <w:tcPr>
            <w:tcW w:w="1199" w:type="dxa"/>
            <w:shd w:val="clear" w:color="auto" w:fill="FFFFFF"/>
            <w:vAlign w:val="center"/>
          </w:tcPr>
          <w:p>
            <w:pPr>
              <w:spacing w:line="240" w:lineRule="auto"/>
              <w:jc w:val="center"/>
              <w:rPr>
                <w:rStyle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679" w:hRule="exact"/>
          <w:jc w:val="center"/>
        </w:trPr>
        <w:tc>
          <w:tcPr>
            <w:tcW w:w="1900" w:type="dxa"/>
            <w:shd w:val="clear" w:color="auto" w:fill="FFFFFF"/>
            <w:vAlign w:val="center"/>
          </w:tcPr>
          <w:p>
            <w:pPr>
              <w:adjustRightInd/>
              <w:spacing w:line="360" w:lineRule="auto"/>
              <w:jc w:val="center"/>
              <w:rPr>
                <w:rFonts w:hint="eastAsia"/>
              </w:rPr>
            </w:pPr>
            <w:r>
              <w:rPr>
                <w:rFonts w:hint="eastAsia"/>
              </w:rPr>
              <w:t>信息化服务</w:t>
            </w:r>
          </w:p>
          <w:p>
            <w:pPr>
              <w:adjustRightInd/>
              <w:spacing w:line="360" w:lineRule="auto"/>
              <w:jc w:val="center"/>
            </w:pPr>
            <w:r>
              <w:rPr>
                <w:rFonts w:hint="eastAsia"/>
              </w:rPr>
              <w:t>（10分）</w:t>
            </w:r>
          </w:p>
        </w:tc>
        <w:tc>
          <w:tcPr>
            <w:tcW w:w="5561" w:type="dxa"/>
            <w:shd w:val="clear" w:color="auto" w:fill="FFFFFF"/>
          </w:tcPr>
          <w:p>
            <w:pPr>
              <w:adjustRightInd/>
              <w:spacing w:before="312" w:beforeLines="100" w:line="360" w:lineRule="auto"/>
              <w:jc w:val="both"/>
              <w:textAlignment w:val="auto"/>
              <w:rPr>
                <w:rFonts w:ascii="宋体" w:hAnsi="宋体" w:cs="宋体"/>
              </w:rPr>
            </w:pPr>
            <w:r>
              <w:rPr>
                <w:rFonts w:hint="eastAsia" w:ascii="宋体" w:hAnsi="宋体" w:cs="宋体"/>
              </w:rPr>
              <w:t>（1）投标方具备便利的加油卡管理信息化系统，如支持在线实时查询加油记录、当前和历史消费明细、及时更新车辆信息、实时监控等功能，得10分。</w:t>
            </w:r>
          </w:p>
          <w:p>
            <w:pPr>
              <w:adjustRightInd/>
              <w:spacing w:before="312" w:beforeLines="100" w:line="360" w:lineRule="auto"/>
              <w:jc w:val="both"/>
              <w:textAlignment w:val="auto"/>
              <w:rPr>
                <w:rFonts w:ascii="宋体" w:hAnsi="宋体" w:cs="宋体"/>
              </w:rPr>
            </w:pPr>
            <w:r>
              <w:rPr>
                <w:rFonts w:hint="eastAsia" w:ascii="宋体" w:hAnsi="宋体" w:cs="宋体"/>
              </w:rPr>
              <w:t>（2）投标方加油卡信息化功能较简单，仅能提供基本的查询功能，信息更新慢，得5分。</w:t>
            </w:r>
          </w:p>
          <w:p>
            <w:pPr>
              <w:adjustRightInd/>
              <w:spacing w:before="312" w:beforeLines="100" w:line="360" w:lineRule="auto"/>
              <w:jc w:val="both"/>
              <w:textAlignment w:val="auto"/>
              <w:rPr>
                <w:rFonts w:ascii="宋体" w:hAnsi="宋体" w:cs="宋体"/>
              </w:rPr>
            </w:pPr>
            <w:r>
              <w:rPr>
                <w:rFonts w:hint="eastAsia" w:ascii="宋体" w:hAnsi="宋体" w:cs="宋体"/>
              </w:rPr>
              <w:t>（3）投标方缺乏信息化服务，得0分。</w:t>
            </w:r>
          </w:p>
        </w:tc>
        <w:tc>
          <w:tcPr>
            <w:tcW w:w="1199" w:type="dxa"/>
            <w:shd w:val="clear" w:color="auto" w:fill="FFFFFF"/>
            <w:vAlign w:val="center"/>
          </w:tcPr>
          <w:p>
            <w:pPr>
              <w:spacing w:line="240" w:lineRule="auto"/>
              <w:jc w:val="center"/>
              <w:rPr>
                <w:rStyle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441" w:hRule="exact"/>
          <w:jc w:val="center"/>
        </w:trPr>
        <w:tc>
          <w:tcPr>
            <w:tcW w:w="1900" w:type="dxa"/>
            <w:shd w:val="clear" w:color="auto" w:fill="FFFFFF"/>
            <w:vAlign w:val="center"/>
          </w:tcPr>
          <w:p>
            <w:pPr>
              <w:adjustRightInd/>
              <w:spacing w:line="360" w:lineRule="auto"/>
              <w:jc w:val="center"/>
              <w:rPr>
                <w:rFonts w:hint="eastAsia"/>
                <w:lang w:eastAsia="zh-CN"/>
              </w:rPr>
            </w:pPr>
            <w:r>
              <w:rPr>
                <w:rFonts w:hint="eastAsia"/>
              </w:rPr>
              <w:t>安全</w:t>
            </w:r>
            <w:r>
              <w:rPr>
                <w:rFonts w:hint="eastAsia"/>
                <w:lang w:eastAsia="zh-CN"/>
              </w:rPr>
              <w:t>保障措施</w:t>
            </w:r>
          </w:p>
          <w:p>
            <w:pPr>
              <w:adjustRightInd/>
              <w:spacing w:line="360" w:lineRule="auto"/>
              <w:jc w:val="center"/>
            </w:pPr>
            <w:r>
              <w:rPr>
                <w:rFonts w:hint="eastAsia"/>
              </w:rPr>
              <w:t>（10分）</w:t>
            </w:r>
          </w:p>
        </w:tc>
        <w:tc>
          <w:tcPr>
            <w:tcW w:w="5561" w:type="dxa"/>
            <w:shd w:val="clear" w:color="auto" w:fill="FFFFFF"/>
          </w:tcPr>
          <w:p>
            <w:pPr>
              <w:adjustRightInd/>
              <w:spacing w:before="312" w:beforeLines="100" w:line="360" w:lineRule="auto"/>
              <w:jc w:val="both"/>
              <w:textAlignment w:val="auto"/>
              <w:rPr>
                <w:rFonts w:ascii="宋体" w:hAnsi="宋体" w:cs="宋体"/>
              </w:rPr>
            </w:pPr>
            <w:r>
              <w:rPr>
                <w:rFonts w:hint="eastAsia" w:ascii="宋体" w:hAnsi="宋体" w:cs="宋体"/>
              </w:rPr>
              <w:t>安全</w:t>
            </w:r>
            <w:r>
              <w:rPr>
                <w:rFonts w:hint="eastAsia" w:ascii="宋体" w:hAnsi="宋体" w:cs="宋体"/>
                <w:lang w:eastAsia="zh-CN"/>
              </w:rPr>
              <w:t>保障措施</w:t>
            </w:r>
            <w:r>
              <w:rPr>
                <w:rFonts w:hint="eastAsia" w:ascii="宋体" w:hAnsi="宋体" w:cs="宋体"/>
              </w:rPr>
              <w:t>包括：</w:t>
            </w:r>
          </w:p>
          <w:p>
            <w:pPr>
              <w:adjustRightInd/>
              <w:spacing w:line="360" w:lineRule="auto"/>
              <w:ind w:left="105" w:hanging="105" w:hangingChars="50"/>
              <w:jc w:val="both"/>
              <w:textAlignment w:val="auto"/>
              <w:rPr>
                <w:rFonts w:hint="eastAsia" w:ascii="宋体" w:hAnsi="宋体" w:cs="宋体"/>
                <w:lang w:eastAsia="zh-CN"/>
              </w:rPr>
            </w:pPr>
            <w:r>
              <w:rPr>
                <w:rFonts w:hint="eastAsia" w:ascii="宋体" w:hAnsi="宋体" w:cs="宋体"/>
              </w:rPr>
              <w:t>1.</w:t>
            </w:r>
            <w:r>
              <w:t>燃油是否符合国家质量认证标准和安全环保标准</w:t>
            </w:r>
            <w:r>
              <w:rPr>
                <w:rFonts w:hint="eastAsia" w:ascii="宋体" w:hAnsi="宋体" w:cs="宋体"/>
                <w:lang w:eastAsia="zh-CN"/>
              </w:rPr>
              <w:t>；</w:t>
            </w:r>
          </w:p>
          <w:p>
            <w:pPr>
              <w:adjustRightInd/>
              <w:spacing w:line="360" w:lineRule="auto"/>
              <w:ind w:left="105" w:hanging="105" w:hangingChars="50"/>
              <w:jc w:val="both"/>
              <w:textAlignment w:val="auto"/>
              <w:rPr>
                <w:rFonts w:hint="eastAsia" w:ascii="宋体" w:hAnsi="宋体" w:cs="宋体"/>
                <w:lang w:eastAsia="zh-CN"/>
              </w:rPr>
            </w:pPr>
            <w:r>
              <w:rPr>
                <w:rFonts w:ascii="宋体" w:hAnsi="宋体" w:cs="宋体"/>
              </w:rPr>
              <w:t>2.加油站点配套设施是否符合国家有关要求</w:t>
            </w:r>
            <w:r>
              <w:rPr>
                <w:rFonts w:hint="eastAsia" w:ascii="宋体" w:hAnsi="宋体" w:cs="宋体"/>
                <w:lang w:eastAsia="zh-CN"/>
              </w:rPr>
              <w:t>；</w:t>
            </w:r>
          </w:p>
          <w:p>
            <w:pPr>
              <w:adjustRightInd/>
              <w:spacing w:line="360" w:lineRule="auto"/>
              <w:ind w:left="105" w:hanging="105" w:hangingChars="50"/>
              <w:jc w:val="both"/>
              <w:textAlignment w:val="auto"/>
              <w:rPr>
                <w:rFonts w:hint="eastAsia" w:ascii="宋体" w:hAnsi="宋体" w:cs="宋体"/>
                <w:lang w:eastAsia="zh-CN"/>
              </w:rPr>
            </w:pPr>
            <w:r>
              <w:rPr>
                <w:rFonts w:ascii="宋体" w:hAnsi="宋体" w:cs="宋体"/>
              </w:rPr>
              <w:t>3.加油站作业</w:t>
            </w:r>
            <w:r>
              <w:rPr>
                <w:rFonts w:hint="eastAsia" w:ascii="宋体" w:hAnsi="宋体" w:cs="宋体"/>
              </w:rPr>
              <w:t>、消防安全</w:t>
            </w:r>
            <w:r>
              <w:rPr>
                <w:rFonts w:hint="eastAsia" w:ascii="宋体" w:hAnsi="宋体" w:cs="宋体"/>
                <w:lang w:eastAsia="zh-CN"/>
              </w:rPr>
              <w:t>；</w:t>
            </w:r>
          </w:p>
          <w:p>
            <w:pPr>
              <w:adjustRightInd/>
              <w:spacing w:line="360" w:lineRule="auto"/>
              <w:ind w:left="105" w:hanging="105" w:hangingChars="50"/>
              <w:jc w:val="both"/>
              <w:textAlignment w:val="auto"/>
              <w:rPr>
                <w:rFonts w:hint="eastAsia" w:ascii="宋体" w:hAnsi="宋体" w:cs="宋体"/>
                <w:lang w:eastAsia="zh-CN"/>
              </w:rPr>
            </w:pPr>
            <w:r>
              <w:rPr>
                <w:rFonts w:ascii="宋体" w:hAnsi="宋体" w:cs="宋体"/>
              </w:rPr>
              <w:t>4.应急预案组织架构组成</w:t>
            </w:r>
            <w:r>
              <w:rPr>
                <w:rFonts w:hint="eastAsia" w:ascii="宋体" w:hAnsi="宋体" w:cs="宋体"/>
                <w:lang w:eastAsia="zh-CN"/>
              </w:rPr>
              <w:t>；</w:t>
            </w:r>
          </w:p>
          <w:p>
            <w:pPr>
              <w:adjustRightInd/>
              <w:spacing w:line="360" w:lineRule="auto"/>
              <w:ind w:left="105" w:hanging="105" w:hangingChars="50"/>
              <w:jc w:val="both"/>
              <w:textAlignment w:val="auto"/>
              <w:rPr>
                <w:rFonts w:hint="eastAsia" w:ascii="宋体" w:hAnsi="宋体" w:eastAsia="宋体" w:cs="宋体"/>
                <w:lang w:eastAsia="zh-CN"/>
              </w:rPr>
            </w:pPr>
            <w:r>
              <w:rPr>
                <w:rFonts w:hint="eastAsia" w:ascii="宋体" w:hAnsi="宋体" w:cs="宋体"/>
              </w:rPr>
              <w:t>5.采购人</w:t>
            </w:r>
            <w:r>
              <w:rPr>
                <w:rFonts w:ascii="宋体" w:hAnsi="宋体" w:cs="宋体"/>
              </w:rPr>
              <w:t>紧急任务、不可抗力事件突发的处理措施</w:t>
            </w:r>
            <w:r>
              <w:rPr>
                <w:rFonts w:hint="eastAsia" w:ascii="宋体" w:hAnsi="宋体" w:cs="宋体"/>
                <w:lang w:eastAsia="zh-CN"/>
              </w:rPr>
              <w:t>。</w:t>
            </w:r>
          </w:p>
          <w:p>
            <w:pPr>
              <w:adjustRightInd/>
              <w:spacing w:before="312" w:beforeLines="100" w:line="360" w:lineRule="auto"/>
              <w:jc w:val="both"/>
              <w:textAlignment w:val="auto"/>
              <w:rPr>
                <w:rFonts w:ascii="宋体" w:hAnsi="宋体" w:cs="宋体"/>
              </w:rPr>
            </w:pPr>
            <w:r>
              <w:rPr>
                <w:rFonts w:ascii="宋体" w:hAnsi="宋体" w:cs="宋体"/>
              </w:rPr>
              <w:t>投标人</w:t>
            </w:r>
            <w:r>
              <w:rPr>
                <w:rFonts w:hint="eastAsia" w:ascii="宋体" w:hAnsi="宋体" w:cs="宋体"/>
              </w:rPr>
              <w:t>提供的服务方案每体现一项评审内容得2分，本小项最高得10分。</w:t>
            </w:r>
          </w:p>
        </w:tc>
        <w:tc>
          <w:tcPr>
            <w:tcW w:w="1199" w:type="dxa"/>
            <w:shd w:val="clear" w:color="auto" w:fill="FFFFFF"/>
            <w:vAlign w:val="center"/>
          </w:tcPr>
          <w:p>
            <w:pPr>
              <w:spacing w:line="240" w:lineRule="auto"/>
              <w:jc w:val="center"/>
              <w:rPr>
                <w:rStyle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525" w:hRule="exact"/>
          <w:jc w:val="center"/>
        </w:trPr>
        <w:tc>
          <w:tcPr>
            <w:tcW w:w="1900" w:type="dxa"/>
            <w:shd w:val="clear" w:color="auto" w:fill="FFFFFF"/>
            <w:vAlign w:val="center"/>
          </w:tcPr>
          <w:p>
            <w:pPr>
              <w:adjustRightInd/>
              <w:spacing w:line="360" w:lineRule="auto"/>
              <w:jc w:val="center"/>
              <w:rPr>
                <w:rFonts w:hint="eastAsia"/>
                <w:lang w:eastAsia="zh-CN"/>
              </w:rPr>
            </w:pPr>
            <w:r>
              <w:rPr>
                <w:rFonts w:hint="eastAsia"/>
                <w:lang w:eastAsia="zh-CN"/>
              </w:rPr>
              <w:t>项目业绩</w:t>
            </w:r>
          </w:p>
          <w:p>
            <w:pPr>
              <w:adjustRightInd/>
              <w:spacing w:line="360" w:lineRule="auto"/>
              <w:jc w:val="center"/>
            </w:pPr>
            <w:r>
              <w:rPr>
                <w:rFonts w:hint="eastAsia"/>
              </w:rPr>
              <w:t>（20分）</w:t>
            </w:r>
          </w:p>
        </w:tc>
        <w:tc>
          <w:tcPr>
            <w:tcW w:w="5561" w:type="dxa"/>
            <w:shd w:val="clear" w:color="auto" w:fill="FFFFFF"/>
          </w:tcPr>
          <w:p>
            <w:pPr>
              <w:adjustRightInd/>
              <w:spacing w:before="312" w:beforeLines="100" w:line="360" w:lineRule="auto"/>
              <w:jc w:val="both"/>
              <w:textAlignment w:val="auto"/>
              <w:rPr>
                <w:rFonts w:ascii="宋体" w:hAnsi="宋体" w:cs="宋体"/>
              </w:rPr>
            </w:pPr>
            <w:r>
              <w:rPr>
                <w:rFonts w:hint="eastAsia" w:ascii="宋体" w:hAnsi="宋体" w:cs="宋体"/>
              </w:rPr>
              <w:t>投标方自2020年1月1日以来（以合同签订日期为准）至今承担或完成同类（定点加油服务）项目业绩情况，每提供一个业绩得4分，本项最高得20分。</w:t>
            </w:r>
          </w:p>
          <w:p>
            <w:pPr>
              <w:adjustRightInd/>
              <w:spacing w:before="312" w:beforeLines="100" w:line="360" w:lineRule="auto"/>
              <w:jc w:val="both"/>
              <w:textAlignment w:val="auto"/>
              <w:rPr>
                <w:rFonts w:ascii="宋体" w:hAnsi="宋体" w:cs="宋体"/>
              </w:rPr>
            </w:pPr>
            <w:r>
              <w:rPr>
                <w:rFonts w:hint="eastAsia" w:ascii="宋体" w:hAnsi="宋体" w:cs="宋体"/>
              </w:rPr>
              <w:t>注：</w:t>
            </w:r>
          </w:p>
          <w:p>
            <w:pPr>
              <w:adjustRightInd/>
              <w:spacing w:line="360" w:lineRule="auto"/>
              <w:jc w:val="both"/>
              <w:textAlignment w:val="auto"/>
              <w:rPr>
                <w:rFonts w:ascii="宋体" w:hAnsi="宋体" w:cs="宋体"/>
              </w:rPr>
            </w:pPr>
            <w:r>
              <w:rPr>
                <w:rFonts w:hint="eastAsia" w:ascii="宋体" w:hAnsi="宋体" w:cs="宋体"/>
              </w:rPr>
              <w:t>1.须提供项目合同关键页复印件并加盖投标人单位公章（合同是指投标方提供该项目同类业绩的合同，可提供合同关键页面，如合同封面、提供货物的内容及双方签章页等）。</w:t>
            </w:r>
          </w:p>
          <w:p>
            <w:pPr>
              <w:adjustRightInd/>
              <w:spacing w:line="360" w:lineRule="auto"/>
              <w:jc w:val="both"/>
              <w:textAlignment w:val="auto"/>
              <w:rPr>
                <w:rFonts w:ascii="宋体" w:hAnsi="宋体" w:cs="宋体"/>
              </w:rPr>
            </w:pPr>
            <w:r>
              <w:rPr>
                <w:rFonts w:hint="eastAsia" w:ascii="宋体" w:hAnsi="宋体" w:cs="宋体"/>
              </w:rPr>
              <w:t>2.同一项目不同年份的合同按一份业绩计算，不重复计算业绩分数，同一采购人在同一招标/采购项目续签的合同不重复计算业绩分数。</w:t>
            </w:r>
          </w:p>
        </w:tc>
        <w:tc>
          <w:tcPr>
            <w:tcW w:w="1199" w:type="dxa"/>
            <w:shd w:val="clear" w:color="auto" w:fill="FFFFFF"/>
            <w:vAlign w:val="center"/>
          </w:tcPr>
          <w:p>
            <w:pPr>
              <w:spacing w:line="360" w:lineRule="auto"/>
              <w:jc w:val="center"/>
              <w:rPr>
                <w:rStyle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542" w:hRule="exact"/>
          <w:jc w:val="center"/>
        </w:trPr>
        <w:tc>
          <w:tcPr>
            <w:tcW w:w="1900" w:type="dxa"/>
            <w:shd w:val="clear" w:color="auto" w:fill="FFFFFF"/>
            <w:vAlign w:val="center"/>
          </w:tcPr>
          <w:p>
            <w:pPr>
              <w:adjustRightInd/>
              <w:spacing w:line="360" w:lineRule="auto"/>
              <w:jc w:val="center"/>
              <w:rPr>
                <w:rFonts w:hint="eastAsia"/>
              </w:rPr>
            </w:pPr>
            <w:r>
              <w:rPr>
                <w:rFonts w:hint="eastAsia"/>
              </w:rPr>
              <w:t>报价</w:t>
            </w:r>
          </w:p>
          <w:p>
            <w:pPr>
              <w:adjustRightInd/>
              <w:spacing w:line="360" w:lineRule="auto"/>
              <w:jc w:val="center"/>
              <w:rPr>
                <w:rFonts w:ascii="宋体" w:hAnsi="宋体" w:cs="宋体"/>
              </w:rPr>
            </w:pPr>
            <w:r>
              <w:rPr>
                <w:rFonts w:hint="eastAsia"/>
              </w:rPr>
              <w:t>（20</w:t>
            </w:r>
            <w:r>
              <w:t>分）</w:t>
            </w:r>
          </w:p>
        </w:tc>
        <w:tc>
          <w:tcPr>
            <w:tcW w:w="5561" w:type="dxa"/>
            <w:shd w:val="clear" w:color="auto" w:fill="FFFFFF"/>
          </w:tcPr>
          <w:p>
            <w:pPr>
              <w:adjustRightInd/>
              <w:spacing w:before="312" w:beforeLines="100" w:line="360" w:lineRule="auto"/>
              <w:jc w:val="both"/>
              <w:textAlignment w:val="auto"/>
              <w:rPr>
                <w:rFonts w:ascii="宋体" w:hAnsi="宋体" w:cs="宋体"/>
              </w:rPr>
            </w:pPr>
            <w:r>
              <w:rPr>
                <w:rFonts w:ascii="宋体" w:hAnsi="宋体" w:cs="宋体"/>
              </w:rPr>
              <w:t>报价得分=</w:t>
            </w:r>
            <w:r>
              <w:rPr>
                <w:rFonts w:hint="eastAsia" w:ascii="宋体" w:hAnsi="宋体" w:cs="宋体"/>
              </w:rPr>
              <w:t>（每升优惠金额÷最大每升优惠金额</w:t>
            </w:r>
            <w:r>
              <w:rPr>
                <w:rFonts w:hint="eastAsia" w:ascii="宋体" w:hAnsi="宋体" w:cs="宋体"/>
                <w:sz w:val="21"/>
                <w:szCs w:val="21"/>
              </w:rPr>
              <w:t>）</w:t>
            </w:r>
            <w:r>
              <w:rPr>
                <w:rFonts w:ascii="宋体" w:hAnsi="宋体" w:eastAsia="宋体" w:cs="宋体"/>
                <w:sz w:val="21"/>
                <w:szCs w:val="21"/>
              </w:rPr>
              <w:t>×</w:t>
            </w:r>
            <w:r>
              <w:rPr>
                <w:rFonts w:hint="eastAsia" w:ascii="宋体" w:hAnsi="宋体" w:cs="宋体"/>
              </w:rPr>
              <w:t>20</w:t>
            </w:r>
          </w:p>
          <w:p>
            <w:pPr>
              <w:pStyle w:val="3"/>
              <w:adjustRightInd/>
              <w:spacing w:line="360" w:lineRule="auto"/>
              <w:jc w:val="both"/>
              <w:rPr>
                <w:rFonts w:hAnsi="宋体" w:cs="宋体"/>
                <w:kern w:val="2"/>
                <w:sz w:val="21"/>
                <w:szCs w:val="21"/>
              </w:rPr>
            </w:pPr>
            <w:r>
              <w:rPr>
                <w:rFonts w:hint="eastAsia" w:hAnsi="宋体" w:cs="宋体"/>
                <w:kern w:val="2"/>
                <w:sz w:val="21"/>
                <w:szCs w:val="21"/>
              </w:rPr>
              <w:t>（1）最大每升优惠金额为所有投标方中提供可优惠金额的最大值。</w:t>
            </w:r>
          </w:p>
          <w:p>
            <w:pPr>
              <w:pStyle w:val="3"/>
              <w:adjustRightInd/>
              <w:spacing w:line="360" w:lineRule="auto"/>
              <w:jc w:val="both"/>
              <w:rPr>
                <w:rFonts w:hAnsi="宋体" w:cs="宋体"/>
                <w:kern w:val="2"/>
                <w:sz w:val="21"/>
                <w:szCs w:val="21"/>
              </w:rPr>
            </w:pPr>
            <w:r>
              <w:rPr>
                <w:rFonts w:hint="eastAsia" w:hAnsi="宋体" w:cs="宋体"/>
                <w:kern w:val="2"/>
                <w:sz w:val="21"/>
                <w:szCs w:val="21"/>
              </w:rPr>
              <w:t>（2）得分计算保留到小数点后1位。</w:t>
            </w:r>
          </w:p>
        </w:tc>
        <w:tc>
          <w:tcPr>
            <w:tcW w:w="1199" w:type="dxa"/>
            <w:shd w:val="clear" w:color="auto" w:fill="FFFFFF"/>
            <w:vAlign w:val="center"/>
          </w:tcPr>
          <w:p>
            <w:pPr>
              <w:spacing w:line="360" w:lineRule="auto"/>
              <w:jc w:val="center"/>
              <w:rPr>
                <w:rStyle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440" w:hRule="exact"/>
          <w:jc w:val="center"/>
        </w:trPr>
        <w:tc>
          <w:tcPr>
            <w:tcW w:w="7461" w:type="dxa"/>
            <w:gridSpan w:val="2"/>
            <w:shd w:val="clear" w:color="auto" w:fill="FFFFFF"/>
            <w:vAlign w:val="center"/>
          </w:tcPr>
          <w:p>
            <w:pPr>
              <w:spacing w:line="360" w:lineRule="auto"/>
              <w:jc w:val="center"/>
              <w:rPr>
                <w:rStyle w:val="20"/>
                <w:lang w:val="en-US"/>
              </w:rPr>
            </w:pPr>
            <w:r>
              <w:rPr>
                <w:rStyle w:val="20"/>
                <w:rFonts w:hint="eastAsia"/>
                <w:lang w:val="en-US"/>
              </w:rPr>
              <w:t>合计（100分）</w:t>
            </w:r>
          </w:p>
        </w:tc>
        <w:tc>
          <w:tcPr>
            <w:tcW w:w="1199" w:type="dxa"/>
            <w:shd w:val="clear" w:color="auto" w:fill="FFFFFF"/>
            <w:vAlign w:val="center"/>
          </w:tcPr>
          <w:p>
            <w:pPr>
              <w:spacing w:line="360" w:lineRule="auto"/>
              <w:jc w:val="center"/>
              <w:rPr>
                <w:rStyle w:val="20"/>
              </w:rPr>
            </w:pPr>
          </w:p>
        </w:tc>
      </w:tr>
    </w:tbl>
    <w:p>
      <w:pPr>
        <w:pStyle w:val="3"/>
      </w:pPr>
    </w:p>
    <w:sectPr>
      <w:pgSz w:w="11906" w:h="16838"/>
      <w:pgMar w:top="720" w:right="720" w:bottom="720" w:left="720" w:header="851" w:footer="992" w:gutter="0"/>
      <w:cols w:space="720" w:num="1"/>
      <w:docGrid w:type="linesAndChar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ngLiU">
    <w:altName w:val="PMingLiU-ExtB"/>
    <w:panose1 w:val="02020509000000000000"/>
    <w:charset w:val="88"/>
    <w:family w:val="modern"/>
    <w:pitch w:val="default"/>
    <w:sig w:usb0="00000000" w:usb1="00000000" w:usb2="00000016" w:usb3="00000000" w:csb0="00100001"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华文仿宋">
    <w:altName w:val="仿宋"/>
    <w:panose1 w:val="02010600040101010101"/>
    <w:charset w:val="86"/>
    <w:family w:val="auto"/>
    <w:pitch w:val="default"/>
    <w:sig w:usb0="00000000" w:usb1="00000000" w:usb2="00000010" w:usb3="00000000" w:csb0="0004009F" w:csb1="00000000"/>
  </w:font>
  <w:font w:name="PMingLiU-ExtB">
    <w:panose1 w:val="02020500000000000000"/>
    <w:charset w:val="88"/>
    <w:family w:val="auto"/>
    <w:pitch w:val="default"/>
    <w:sig w:usb0="8000002F" w:usb1="02000008" w:usb2="00000000" w:usb3="00000000" w:csb0="0010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0"/>
  <w:bordersDoNotSurroundHeader w:val="0"/>
  <w:bordersDoNotSurroundFooter w:val="0"/>
  <w:documentProtection w:enforcement="0"/>
  <w:defaultTabStop w:val="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MzNmMxNzE4ZGUwYTBkZjBjZmVkYmMzZTU0ODU3ZDEifQ=="/>
    <w:docVar w:name="KGWebUrl" w:val="http://19.121.241.45/seeyon/officeservlet"/>
  </w:docVars>
  <w:rsids>
    <w:rsidRoot w:val="5FDA3E7F"/>
    <w:rsid w:val="00011AAB"/>
    <w:rsid w:val="000149F6"/>
    <w:rsid w:val="00072B4B"/>
    <w:rsid w:val="00075575"/>
    <w:rsid w:val="00086208"/>
    <w:rsid w:val="0009653E"/>
    <w:rsid w:val="000F6568"/>
    <w:rsid w:val="001203DD"/>
    <w:rsid w:val="00130987"/>
    <w:rsid w:val="00141C1F"/>
    <w:rsid w:val="0015444C"/>
    <w:rsid w:val="0016305F"/>
    <w:rsid w:val="00171D34"/>
    <w:rsid w:val="00176F8F"/>
    <w:rsid w:val="001A4FDD"/>
    <w:rsid w:val="001A6DE8"/>
    <w:rsid w:val="001C0525"/>
    <w:rsid w:val="001D0A6F"/>
    <w:rsid w:val="001D1D4C"/>
    <w:rsid w:val="001D32FC"/>
    <w:rsid w:val="001E2477"/>
    <w:rsid w:val="001E5A27"/>
    <w:rsid w:val="001F005E"/>
    <w:rsid w:val="001F7FAF"/>
    <w:rsid w:val="00213E18"/>
    <w:rsid w:val="002440D4"/>
    <w:rsid w:val="00256672"/>
    <w:rsid w:val="00271C46"/>
    <w:rsid w:val="0027528A"/>
    <w:rsid w:val="002A1B32"/>
    <w:rsid w:val="002D5197"/>
    <w:rsid w:val="002F7CD5"/>
    <w:rsid w:val="0031139D"/>
    <w:rsid w:val="003128D6"/>
    <w:rsid w:val="0031665C"/>
    <w:rsid w:val="003305A6"/>
    <w:rsid w:val="00340936"/>
    <w:rsid w:val="00367E9D"/>
    <w:rsid w:val="00375618"/>
    <w:rsid w:val="00391228"/>
    <w:rsid w:val="003D2713"/>
    <w:rsid w:val="003F4D61"/>
    <w:rsid w:val="00410EBE"/>
    <w:rsid w:val="004362A3"/>
    <w:rsid w:val="00436825"/>
    <w:rsid w:val="00436E71"/>
    <w:rsid w:val="00446955"/>
    <w:rsid w:val="004B0DF1"/>
    <w:rsid w:val="004C5413"/>
    <w:rsid w:val="004C7A93"/>
    <w:rsid w:val="004F1366"/>
    <w:rsid w:val="004F60CF"/>
    <w:rsid w:val="00514ABA"/>
    <w:rsid w:val="005202BF"/>
    <w:rsid w:val="005272B6"/>
    <w:rsid w:val="00532A2D"/>
    <w:rsid w:val="00581288"/>
    <w:rsid w:val="005A34CA"/>
    <w:rsid w:val="005B6543"/>
    <w:rsid w:val="005C709C"/>
    <w:rsid w:val="00604D0E"/>
    <w:rsid w:val="00614128"/>
    <w:rsid w:val="00620F92"/>
    <w:rsid w:val="00626FA1"/>
    <w:rsid w:val="00682BCD"/>
    <w:rsid w:val="0068795D"/>
    <w:rsid w:val="00691EE1"/>
    <w:rsid w:val="00693392"/>
    <w:rsid w:val="00694AA8"/>
    <w:rsid w:val="006A0419"/>
    <w:rsid w:val="006B6893"/>
    <w:rsid w:val="006D6701"/>
    <w:rsid w:val="006D6B97"/>
    <w:rsid w:val="006E7315"/>
    <w:rsid w:val="006F6D61"/>
    <w:rsid w:val="00742848"/>
    <w:rsid w:val="0074383E"/>
    <w:rsid w:val="00746C63"/>
    <w:rsid w:val="007527C0"/>
    <w:rsid w:val="00755341"/>
    <w:rsid w:val="0077584C"/>
    <w:rsid w:val="007A3CDA"/>
    <w:rsid w:val="007B05B0"/>
    <w:rsid w:val="007D6EE2"/>
    <w:rsid w:val="007E18D4"/>
    <w:rsid w:val="007F5017"/>
    <w:rsid w:val="008550E0"/>
    <w:rsid w:val="00882A81"/>
    <w:rsid w:val="00884D15"/>
    <w:rsid w:val="008B5178"/>
    <w:rsid w:val="008E3E6D"/>
    <w:rsid w:val="008F6626"/>
    <w:rsid w:val="0090735E"/>
    <w:rsid w:val="00913F34"/>
    <w:rsid w:val="0092540B"/>
    <w:rsid w:val="0092693E"/>
    <w:rsid w:val="00941E3B"/>
    <w:rsid w:val="00955CDE"/>
    <w:rsid w:val="009658AD"/>
    <w:rsid w:val="00970F05"/>
    <w:rsid w:val="00984883"/>
    <w:rsid w:val="009B26B2"/>
    <w:rsid w:val="009D2951"/>
    <w:rsid w:val="009E0EBA"/>
    <w:rsid w:val="00A13B83"/>
    <w:rsid w:val="00A26C31"/>
    <w:rsid w:val="00A359D3"/>
    <w:rsid w:val="00A42A1E"/>
    <w:rsid w:val="00A67672"/>
    <w:rsid w:val="00A918FB"/>
    <w:rsid w:val="00AA1788"/>
    <w:rsid w:val="00AC52C5"/>
    <w:rsid w:val="00AD79DB"/>
    <w:rsid w:val="00B01A83"/>
    <w:rsid w:val="00B17CC6"/>
    <w:rsid w:val="00B27CAF"/>
    <w:rsid w:val="00B4119B"/>
    <w:rsid w:val="00B4439D"/>
    <w:rsid w:val="00B52BF1"/>
    <w:rsid w:val="00B5675C"/>
    <w:rsid w:val="00B614E0"/>
    <w:rsid w:val="00B6735B"/>
    <w:rsid w:val="00B86BA6"/>
    <w:rsid w:val="00C20E22"/>
    <w:rsid w:val="00C2221F"/>
    <w:rsid w:val="00C25867"/>
    <w:rsid w:val="00C305B4"/>
    <w:rsid w:val="00C62620"/>
    <w:rsid w:val="00C63139"/>
    <w:rsid w:val="00C809AA"/>
    <w:rsid w:val="00CC1947"/>
    <w:rsid w:val="00CC673E"/>
    <w:rsid w:val="00CC6EBF"/>
    <w:rsid w:val="00CE3524"/>
    <w:rsid w:val="00CF0E3A"/>
    <w:rsid w:val="00CF3806"/>
    <w:rsid w:val="00D16DD7"/>
    <w:rsid w:val="00D341D0"/>
    <w:rsid w:val="00D42ABC"/>
    <w:rsid w:val="00D87D55"/>
    <w:rsid w:val="00D94F86"/>
    <w:rsid w:val="00DA567B"/>
    <w:rsid w:val="00DA7D8F"/>
    <w:rsid w:val="00DB56C0"/>
    <w:rsid w:val="00DC2B0B"/>
    <w:rsid w:val="00DC6FBF"/>
    <w:rsid w:val="00DD2B4D"/>
    <w:rsid w:val="00DD5414"/>
    <w:rsid w:val="00DE486F"/>
    <w:rsid w:val="00DF4637"/>
    <w:rsid w:val="00E0231C"/>
    <w:rsid w:val="00E302E1"/>
    <w:rsid w:val="00E52328"/>
    <w:rsid w:val="00E600FE"/>
    <w:rsid w:val="00E61E72"/>
    <w:rsid w:val="00E825ED"/>
    <w:rsid w:val="00EA1092"/>
    <w:rsid w:val="00EA1FC0"/>
    <w:rsid w:val="00EB2796"/>
    <w:rsid w:val="00EF0ED9"/>
    <w:rsid w:val="00EF2FF6"/>
    <w:rsid w:val="00F01D7F"/>
    <w:rsid w:val="00F04171"/>
    <w:rsid w:val="00F100E0"/>
    <w:rsid w:val="00F37F64"/>
    <w:rsid w:val="00F72AD7"/>
    <w:rsid w:val="00FA28E2"/>
    <w:rsid w:val="00FD157E"/>
    <w:rsid w:val="053E25DD"/>
    <w:rsid w:val="06077E6F"/>
    <w:rsid w:val="06F14A10"/>
    <w:rsid w:val="07F31225"/>
    <w:rsid w:val="084D1FF9"/>
    <w:rsid w:val="099F7B11"/>
    <w:rsid w:val="0B432F4B"/>
    <w:rsid w:val="0C2D286F"/>
    <w:rsid w:val="0E823830"/>
    <w:rsid w:val="0F7C39B0"/>
    <w:rsid w:val="10304E04"/>
    <w:rsid w:val="10E549A1"/>
    <w:rsid w:val="133E4C87"/>
    <w:rsid w:val="14DC4224"/>
    <w:rsid w:val="1C4226C5"/>
    <w:rsid w:val="1DC5035B"/>
    <w:rsid w:val="1F4C5CAB"/>
    <w:rsid w:val="1F85690D"/>
    <w:rsid w:val="211C3D4C"/>
    <w:rsid w:val="252561EE"/>
    <w:rsid w:val="255B30EF"/>
    <w:rsid w:val="270237C3"/>
    <w:rsid w:val="281D3002"/>
    <w:rsid w:val="2B8A3E01"/>
    <w:rsid w:val="2F1422BD"/>
    <w:rsid w:val="2FAC7A81"/>
    <w:rsid w:val="303D52BB"/>
    <w:rsid w:val="32D56BB5"/>
    <w:rsid w:val="37896B48"/>
    <w:rsid w:val="380A3B51"/>
    <w:rsid w:val="38240D97"/>
    <w:rsid w:val="38647A3B"/>
    <w:rsid w:val="3884708A"/>
    <w:rsid w:val="39D07CE9"/>
    <w:rsid w:val="3BC95DA1"/>
    <w:rsid w:val="3BDB4E6B"/>
    <w:rsid w:val="3CFB6F84"/>
    <w:rsid w:val="425139E4"/>
    <w:rsid w:val="5211523C"/>
    <w:rsid w:val="55FA2478"/>
    <w:rsid w:val="58D304A6"/>
    <w:rsid w:val="590B454D"/>
    <w:rsid w:val="595A40EE"/>
    <w:rsid w:val="59BA4C4C"/>
    <w:rsid w:val="5A7B1263"/>
    <w:rsid w:val="5C9D4E93"/>
    <w:rsid w:val="5FDA3E7F"/>
    <w:rsid w:val="62230D10"/>
    <w:rsid w:val="62E123C8"/>
    <w:rsid w:val="693E7026"/>
    <w:rsid w:val="724E3EEE"/>
    <w:rsid w:val="74B904F6"/>
    <w:rsid w:val="76FC2CDD"/>
    <w:rsid w:val="7762625C"/>
    <w:rsid w:val="7A941B60"/>
    <w:rsid w:val="7B8C3E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qFormat="1" w:uiPriority="99" w:semiHidden="0"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360" w:lineRule="atLeast"/>
      <w:textAlignment w:val="baseline"/>
    </w:pPr>
    <w:rPr>
      <w:rFonts w:ascii="Times New Roman" w:hAnsi="Times New Roman" w:eastAsia="宋体" w:cs="Times New Roman"/>
      <w:kern w:val="2"/>
      <w:sz w:val="21"/>
      <w:szCs w:val="21"/>
      <w:lang w:val="en-US" w:eastAsia="zh-CN" w:bidi="ar-SA"/>
    </w:rPr>
  </w:style>
  <w:style w:type="character" w:default="1" w:styleId="10">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3"/>
    <w:qFormat/>
    <w:uiPriority w:val="0"/>
  </w:style>
  <w:style w:type="paragraph" w:styleId="3">
    <w:name w:val="Plain Text"/>
    <w:basedOn w:val="1"/>
    <w:qFormat/>
    <w:uiPriority w:val="0"/>
    <w:rPr>
      <w:rFonts w:ascii="宋体" w:hAnsi="Courier New"/>
      <w:kern w:val="0"/>
      <w:sz w:val="20"/>
      <w:szCs w:val="20"/>
    </w:rPr>
  </w:style>
  <w:style w:type="paragraph" w:styleId="4">
    <w:name w:val="Balloon Text"/>
    <w:basedOn w:val="1"/>
    <w:link w:val="15"/>
    <w:qFormat/>
    <w:uiPriority w:val="0"/>
    <w:pPr>
      <w:spacing w:line="240" w:lineRule="auto"/>
    </w:pPr>
    <w:rPr>
      <w:sz w:val="18"/>
      <w:szCs w:val="18"/>
    </w:rPr>
  </w:style>
  <w:style w:type="paragraph" w:styleId="5">
    <w:name w:val="footer"/>
    <w:basedOn w:val="1"/>
    <w:link w:val="17"/>
    <w:qFormat/>
    <w:uiPriority w:val="0"/>
    <w:pPr>
      <w:tabs>
        <w:tab w:val="center" w:pos="4153"/>
        <w:tab w:val="right" w:pos="8306"/>
      </w:tabs>
      <w:snapToGrid w:val="0"/>
      <w:spacing w:line="240" w:lineRule="atLeast"/>
    </w:pPr>
    <w:rPr>
      <w:sz w:val="18"/>
      <w:szCs w:val="18"/>
    </w:rPr>
  </w:style>
  <w:style w:type="paragraph" w:styleId="6">
    <w:name w:val="header"/>
    <w:basedOn w:val="1"/>
    <w:link w:val="16"/>
    <w:qFormat/>
    <w:uiPriority w:val="0"/>
    <w:pPr>
      <w:pBdr>
        <w:bottom w:val="single" w:color="auto" w:sz="6" w:space="1"/>
      </w:pBdr>
      <w:tabs>
        <w:tab w:val="center" w:pos="4153"/>
        <w:tab w:val="right" w:pos="8306"/>
      </w:tabs>
      <w:snapToGrid w:val="0"/>
      <w:spacing w:line="240" w:lineRule="atLeast"/>
      <w:jc w:val="center"/>
    </w:pPr>
    <w:rPr>
      <w:sz w:val="18"/>
      <w:szCs w:val="18"/>
    </w:rPr>
  </w:style>
  <w:style w:type="paragraph" w:styleId="7">
    <w:name w:val="annotation subject"/>
    <w:basedOn w:val="2"/>
    <w:next w:val="2"/>
    <w:link w:val="14"/>
    <w:qFormat/>
    <w:uiPriority w:val="0"/>
    <w:rPr>
      <w:b/>
      <w:bCs/>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annotation reference"/>
    <w:qFormat/>
    <w:uiPriority w:val="0"/>
    <w:rPr>
      <w:sz w:val="21"/>
      <w:szCs w:val="21"/>
    </w:rPr>
  </w:style>
  <w:style w:type="character" w:customStyle="1" w:styleId="12">
    <w:name w:val="正文文本 (2) + 间距 0 pt3"/>
    <w:qFormat/>
    <w:uiPriority w:val="99"/>
    <w:rPr>
      <w:rFonts w:ascii="MingLiU" w:eastAsia="MingLiU" w:cs="MingLiU"/>
      <w:spacing w:val="0"/>
      <w:sz w:val="22"/>
      <w:szCs w:val="22"/>
      <w:u w:val="none"/>
    </w:rPr>
  </w:style>
  <w:style w:type="character" w:customStyle="1" w:styleId="13">
    <w:name w:val="批注文字 Char"/>
    <w:link w:val="2"/>
    <w:qFormat/>
    <w:uiPriority w:val="0"/>
    <w:rPr>
      <w:kern w:val="2"/>
      <w:sz w:val="21"/>
      <w:szCs w:val="21"/>
    </w:rPr>
  </w:style>
  <w:style w:type="character" w:customStyle="1" w:styleId="14">
    <w:name w:val="批注主题 Char"/>
    <w:link w:val="7"/>
    <w:qFormat/>
    <w:uiPriority w:val="0"/>
    <w:rPr>
      <w:b/>
      <w:bCs/>
      <w:kern w:val="2"/>
      <w:sz w:val="21"/>
      <w:szCs w:val="21"/>
    </w:rPr>
  </w:style>
  <w:style w:type="character" w:customStyle="1" w:styleId="15">
    <w:name w:val="批注框文本 Char"/>
    <w:link w:val="4"/>
    <w:qFormat/>
    <w:uiPriority w:val="0"/>
    <w:rPr>
      <w:kern w:val="2"/>
      <w:sz w:val="18"/>
      <w:szCs w:val="18"/>
    </w:rPr>
  </w:style>
  <w:style w:type="character" w:customStyle="1" w:styleId="16">
    <w:name w:val="页眉 Char"/>
    <w:link w:val="6"/>
    <w:qFormat/>
    <w:uiPriority w:val="0"/>
    <w:rPr>
      <w:kern w:val="2"/>
      <w:sz w:val="18"/>
      <w:szCs w:val="18"/>
    </w:rPr>
  </w:style>
  <w:style w:type="character" w:customStyle="1" w:styleId="17">
    <w:name w:val="页脚 Char"/>
    <w:link w:val="5"/>
    <w:qFormat/>
    <w:uiPriority w:val="0"/>
    <w:rPr>
      <w:kern w:val="2"/>
      <w:sz w:val="18"/>
      <w:szCs w:val="18"/>
    </w:rPr>
  </w:style>
  <w:style w:type="character" w:customStyle="1" w:styleId="18">
    <w:name w:val="fontstyle01"/>
    <w:qFormat/>
    <w:uiPriority w:val="0"/>
    <w:rPr>
      <w:rFonts w:hint="eastAsia" w:ascii="宋体" w:hAnsi="宋体" w:eastAsia="宋体"/>
      <w:color w:val="000000"/>
      <w:sz w:val="22"/>
      <w:szCs w:val="22"/>
    </w:rPr>
  </w:style>
  <w:style w:type="character" w:styleId="19">
    <w:name w:val="Placeholder Text"/>
    <w:basedOn w:val="10"/>
    <w:unhideWhenUsed/>
    <w:qFormat/>
    <w:uiPriority w:val="99"/>
    <w:rPr>
      <w:color w:val="808080"/>
    </w:rPr>
  </w:style>
  <w:style w:type="character" w:customStyle="1" w:styleId="20">
    <w:name w:val="正文文本 (2)"/>
    <w:basedOn w:val="10"/>
    <w:qFormat/>
    <w:uiPriority w:val="0"/>
    <w:rPr>
      <w:rFonts w:ascii="宋体" w:hAnsi="宋体" w:eastAsia="宋体" w:cs="宋体"/>
      <w:color w:val="000000"/>
      <w:spacing w:val="10"/>
      <w:w w:val="100"/>
      <w:position w:val="0"/>
      <w:sz w:val="22"/>
      <w:szCs w:val="22"/>
      <w:u w:val="none"/>
      <w:lang w:val="zh-CN" w:eastAsia="zh-CN" w:bidi="zh-CN"/>
    </w:rPr>
  </w:style>
  <w:style w:type="paragraph" w:customStyle="1" w:styleId="21">
    <w:name w:val="null3"/>
    <w:hidden/>
    <w:qFormat/>
    <w:uiPriority w:val="0"/>
    <w:rPr>
      <w:rFonts w:hint="eastAsia" w:asciiTheme="minorHAnsi" w:hAnsiTheme="minorHAnsi" w:eastAsiaTheme="minorEastAsia" w:cstheme="minorBidi"/>
      <w:lang w:val="en-US" w:eastAsia="zh-Hans"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A6AFC6B-AF0C-4692-8406-31D37BB3EA62}">
  <ds:schemaRefs/>
</ds:datastoreItem>
</file>

<file path=docProps/app.xml><?xml version="1.0" encoding="utf-8"?>
<Properties xmlns="http://schemas.openxmlformats.org/officeDocument/2006/extended-properties" xmlns:vt="http://schemas.openxmlformats.org/officeDocument/2006/docPropsVTypes">
  <Template>Normal</Template>
  <Company>江门市公路局</Company>
  <Pages>3</Pages>
  <Words>1352</Words>
  <Characters>1388</Characters>
  <Lines>1</Lines>
  <Paragraphs>2</Paragraphs>
  <TotalTime>35</TotalTime>
  <ScaleCrop>false</ScaleCrop>
  <LinksUpToDate>false</LinksUpToDate>
  <CharactersWithSpaces>1419</CharactersWithSpaces>
  <Application>WPS Office_11.8.2.12195_F1E327BC-269C-435d-A152-05C5408002CA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2024-08-15T02:06:00Z</dcterms:created>
  <dc:creator>区展锴</dc:creator>
  <cp:lastModifiedBy>梁红丽</cp:lastModifiedBy>
  <cp:lastPrinted>2024-06-25T07:42:00Z</cp:lastPrinted>
  <dcterms:modified xsi:type="dcterms:W3CDTF">2024-08-21T06:53:53Z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2052-11.8.2.12195</vt:lpwstr>
  </property>
  <property fmtid="{D5CDD505-2E9C-101B-9397-08002B2CF9AE}" pid="3" name="ICV">
    <vt:lpwstr>366643D950BC4AFF962BA1E5E68284EF</vt:lpwstr>
  </property>
</Properties>
</file>