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D7D97D">
      <w:pPr>
        <w:rPr>
          <w:rFonts w:hint="default" w:ascii="Times New Roman" w:hAnsi="Times New Roman" w:eastAsia="方正黑体简体" w:cs="Times New Roman"/>
          <w:i w:val="0"/>
          <w:iCs w:val="0"/>
          <w:caps w:val="0"/>
          <w:color w:val="auto"/>
          <w:spacing w:val="0"/>
          <w:sz w:val="30"/>
          <w:szCs w:val="30"/>
          <w:shd w:val="clear" w:color="auto" w:fill="FFFFFF"/>
          <w:lang w:val="en-US" w:eastAsia="zh-CN"/>
        </w:rPr>
      </w:pPr>
      <w:r>
        <w:rPr>
          <w:rFonts w:hint="default" w:ascii="Times New Roman" w:hAnsi="Times New Roman" w:eastAsia="方正黑体_GBK" w:cs="Times New Roman"/>
          <w:i w:val="0"/>
          <w:iCs w:val="0"/>
          <w:caps w:val="0"/>
          <w:color w:val="auto"/>
          <w:spacing w:val="0"/>
          <w:sz w:val="30"/>
          <w:szCs w:val="30"/>
          <w:shd w:val="clear" w:color="auto" w:fill="FFFFFF"/>
          <w:lang w:eastAsia="zh-CN"/>
        </w:rPr>
        <w:t>附件</w:t>
      </w:r>
      <w:r>
        <w:rPr>
          <w:rFonts w:hint="default" w:ascii="Times New Roman" w:hAnsi="Times New Roman" w:eastAsia="方正黑体_GBK" w:cs="Times New Roman"/>
          <w:i w:val="0"/>
          <w:iCs w:val="0"/>
          <w:caps w:val="0"/>
          <w:color w:val="auto"/>
          <w:spacing w:val="0"/>
          <w:sz w:val="30"/>
          <w:szCs w:val="30"/>
          <w:shd w:val="clear" w:color="auto" w:fill="FFFFFF"/>
          <w:lang w:val="en-US" w:eastAsia="zh-CN"/>
        </w:rPr>
        <w:t>2</w:t>
      </w:r>
      <w:r>
        <w:rPr>
          <w:rFonts w:hint="default" w:ascii="Times New Roman" w:hAnsi="Times New Roman" w:eastAsia="方正黑体简体" w:cs="Times New Roman"/>
          <w:i w:val="0"/>
          <w:iCs w:val="0"/>
          <w:caps w:val="0"/>
          <w:color w:val="auto"/>
          <w:spacing w:val="0"/>
          <w:sz w:val="30"/>
          <w:szCs w:val="30"/>
          <w:shd w:val="clear" w:color="auto" w:fill="FFFFFF"/>
          <w:lang w:val="en-US" w:eastAsia="zh-CN"/>
        </w:rPr>
        <w:t xml:space="preserve">               </w:t>
      </w:r>
    </w:p>
    <w:p w14:paraId="24676026">
      <w:pPr>
        <w:jc w:val="center"/>
        <w:rPr>
          <w:rFonts w:hint="default" w:ascii="Times New Roman" w:hAnsi="Times New Roman" w:eastAsia="方正黑体简体" w:cs="Times New Roman"/>
          <w:i w:val="0"/>
          <w:iCs w:val="0"/>
          <w:caps w:val="0"/>
          <w:color w:val="auto"/>
          <w:spacing w:val="0"/>
          <w:sz w:val="30"/>
          <w:szCs w:val="30"/>
          <w:shd w:val="clear" w:color="auto" w:fill="FFFFFF"/>
          <w:lang w:val="en-US" w:eastAsia="zh-CN"/>
        </w:rPr>
      </w:pPr>
      <w:bookmarkStart w:id="0" w:name="_GoBack"/>
      <w:r>
        <w:rPr>
          <w:rFonts w:hint="default" w:ascii="Times New Roman" w:hAnsi="Times New Roman" w:eastAsia="方正大标宋_GBK" w:cs="Times New Roman"/>
          <w:i w:val="0"/>
          <w:iCs w:val="0"/>
          <w:caps w:val="0"/>
          <w:color w:val="auto"/>
          <w:spacing w:val="0"/>
          <w:sz w:val="42"/>
          <w:szCs w:val="42"/>
          <w:shd w:val="clear" w:color="auto" w:fill="FFFFFF"/>
          <w:lang w:val="en-US" w:eastAsia="zh-CN"/>
        </w:rPr>
        <w:t>评分细则</w:t>
      </w:r>
      <w:bookmarkEnd w:id="0"/>
    </w:p>
    <w:tbl>
      <w:tblPr>
        <w:tblStyle w:val="2"/>
        <w:tblW w:w="9354"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00"/>
        <w:gridCol w:w="1380"/>
        <w:gridCol w:w="1088"/>
        <w:gridCol w:w="5886"/>
      </w:tblGrid>
      <w:tr w14:paraId="797202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82" w:hRule="atLeast"/>
          <w:jc w:val="center"/>
        </w:trPr>
        <w:tc>
          <w:tcPr>
            <w:tcW w:w="1000" w:type="dxa"/>
            <w:noWrap w:val="0"/>
            <w:vAlign w:val="center"/>
          </w:tcPr>
          <w:p w14:paraId="12C8D45C">
            <w:pPr>
              <w:pStyle w:val="4"/>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b/>
                <w:bCs/>
                <w:sz w:val="22"/>
                <w:szCs w:val="22"/>
                <w:lang w:eastAsia="zh-CN"/>
              </w:rPr>
            </w:pPr>
            <w:r>
              <w:rPr>
                <w:rFonts w:hint="default" w:ascii="Times New Roman" w:hAnsi="Times New Roman" w:eastAsia="宋体" w:cs="Times New Roman"/>
                <w:b/>
                <w:bCs/>
                <w:sz w:val="22"/>
                <w:szCs w:val="22"/>
                <w:lang w:eastAsia="zh-CN"/>
              </w:rPr>
              <w:t>序号</w:t>
            </w:r>
          </w:p>
        </w:tc>
        <w:tc>
          <w:tcPr>
            <w:tcW w:w="1380" w:type="dxa"/>
            <w:noWrap w:val="0"/>
            <w:vAlign w:val="center"/>
          </w:tcPr>
          <w:p w14:paraId="4462BE49">
            <w:pPr>
              <w:pStyle w:val="4"/>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b/>
                <w:bCs/>
                <w:sz w:val="22"/>
                <w:szCs w:val="22"/>
                <w:lang w:eastAsia="zh-CN"/>
              </w:rPr>
            </w:pPr>
            <w:r>
              <w:rPr>
                <w:rFonts w:hint="default" w:ascii="Times New Roman" w:hAnsi="Times New Roman" w:eastAsia="宋体" w:cs="Times New Roman"/>
                <w:b/>
                <w:bCs/>
                <w:sz w:val="22"/>
                <w:szCs w:val="22"/>
                <w:lang w:eastAsia="zh-CN"/>
              </w:rPr>
              <w:t>评分项目</w:t>
            </w:r>
          </w:p>
        </w:tc>
        <w:tc>
          <w:tcPr>
            <w:tcW w:w="1088" w:type="dxa"/>
            <w:noWrap w:val="0"/>
            <w:vAlign w:val="center"/>
          </w:tcPr>
          <w:p w14:paraId="5BF1A5D1">
            <w:pPr>
              <w:pStyle w:val="4"/>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b/>
                <w:bCs/>
                <w:sz w:val="22"/>
                <w:szCs w:val="22"/>
                <w:lang w:val="en-US" w:eastAsia="zh-CN"/>
              </w:rPr>
            </w:pPr>
            <w:r>
              <w:rPr>
                <w:rFonts w:hint="default" w:ascii="Times New Roman" w:hAnsi="Times New Roman" w:eastAsia="宋体" w:cs="Times New Roman"/>
                <w:b/>
                <w:bCs/>
                <w:sz w:val="22"/>
                <w:szCs w:val="22"/>
                <w:lang w:val="en-US" w:eastAsia="zh-CN"/>
              </w:rPr>
              <w:t>分值</w:t>
            </w:r>
          </w:p>
        </w:tc>
        <w:tc>
          <w:tcPr>
            <w:tcW w:w="5886" w:type="dxa"/>
            <w:noWrap w:val="0"/>
            <w:vAlign w:val="top"/>
          </w:tcPr>
          <w:p w14:paraId="3956CBE1">
            <w:pPr>
              <w:pStyle w:val="4"/>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b/>
                <w:bCs/>
                <w:sz w:val="22"/>
                <w:szCs w:val="22"/>
                <w:lang w:eastAsia="zh-CN"/>
              </w:rPr>
            </w:pPr>
            <w:r>
              <w:rPr>
                <w:rFonts w:hint="default" w:ascii="Times New Roman" w:hAnsi="Times New Roman" w:eastAsia="宋体" w:cs="Times New Roman"/>
                <w:b/>
                <w:bCs/>
                <w:sz w:val="22"/>
                <w:szCs w:val="22"/>
                <w:lang w:eastAsia="zh-CN"/>
              </w:rPr>
              <w:t>评分细则</w:t>
            </w:r>
          </w:p>
        </w:tc>
      </w:tr>
      <w:tr w14:paraId="7E5861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00" w:type="dxa"/>
            <w:vMerge w:val="restart"/>
            <w:noWrap w:val="0"/>
            <w:vAlign w:val="center"/>
          </w:tcPr>
          <w:p w14:paraId="6C8D1EC9">
            <w:pPr>
              <w:pStyle w:val="4"/>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sz w:val="22"/>
                <w:szCs w:val="22"/>
                <w:lang w:eastAsia="zh-CN"/>
              </w:rPr>
            </w:pPr>
            <w:r>
              <w:rPr>
                <w:rFonts w:hint="default" w:ascii="Times New Roman" w:hAnsi="Times New Roman" w:eastAsia="宋体" w:cs="Times New Roman"/>
                <w:sz w:val="22"/>
                <w:szCs w:val="22"/>
                <w:lang w:eastAsia="zh-CN"/>
              </w:rPr>
              <w:t>技术部分（</w:t>
            </w:r>
            <w:r>
              <w:rPr>
                <w:rFonts w:hint="eastAsia" w:ascii="Times New Roman" w:hAnsi="Times New Roman" w:eastAsia="宋体" w:cs="Times New Roman"/>
                <w:sz w:val="22"/>
                <w:szCs w:val="22"/>
                <w:lang w:val="en-US" w:eastAsia="zh-CN"/>
              </w:rPr>
              <w:t>7</w:t>
            </w:r>
            <w:r>
              <w:rPr>
                <w:rFonts w:hint="default" w:ascii="Times New Roman" w:hAnsi="Times New Roman" w:eastAsia="宋体" w:cs="Times New Roman"/>
                <w:sz w:val="22"/>
                <w:szCs w:val="22"/>
                <w:lang w:val="en-US" w:eastAsia="zh-CN"/>
              </w:rPr>
              <w:t>0分</w:t>
            </w:r>
            <w:r>
              <w:rPr>
                <w:rFonts w:hint="default" w:ascii="Times New Roman" w:hAnsi="Times New Roman" w:eastAsia="宋体" w:cs="Times New Roman"/>
                <w:sz w:val="22"/>
                <w:szCs w:val="22"/>
                <w:lang w:eastAsia="zh-CN"/>
              </w:rPr>
              <w:t>）</w:t>
            </w:r>
          </w:p>
        </w:tc>
        <w:tc>
          <w:tcPr>
            <w:tcW w:w="1380" w:type="dxa"/>
            <w:noWrap w:val="0"/>
            <w:vAlign w:val="center"/>
          </w:tcPr>
          <w:p w14:paraId="62CE7694">
            <w:pPr>
              <w:pStyle w:val="4"/>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sz w:val="22"/>
                <w:szCs w:val="22"/>
              </w:rPr>
            </w:pPr>
            <w:r>
              <w:rPr>
                <w:rFonts w:hint="default" w:ascii="Times New Roman" w:hAnsi="Times New Roman" w:eastAsia="宋体" w:cs="Times New Roman"/>
                <w:sz w:val="22"/>
                <w:szCs w:val="22"/>
              </w:rPr>
              <w:t>服务方案</w:t>
            </w:r>
          </w:p>
        </w:tc>
        <w:tc>
          <w:tcPr>
            <w:tcW w:w="1088" w:type="dxa"/>
            <w:noWrap w:val="0"/>
            <w:vAlign w:val="center"/>
          </w:tcPr>
          <w:p w14:paraId="73460383">
            <w:pPr>
              <w:pStyle w:val="4"/>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20</w:t>
            </w:r>
          </w:p>
        </w:tc>
        <w:tc>
          <w:tcPr>
            <w:tcW w:w="5886" w:type="dxa"/>
            <w:noWrap w:val="0"/>
            <w:vAlign w:val="top"/>
          </w:tcPr>
          <w:p w14:paraId="3C6B5BAB">
            <w:pPr>
              <w:pStyle w:val="4"/>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sz w:val="22"/>
                <w:szCs w:val="22"/>
              </w:rPr>
            </w:pPr>
            <w:r>
              <w:rPr>
                <w:rFonts w:hint="default" w:ascii="Times New Roman" w:hAnsi="Times New Roman" w:eastAsia="宋体" w:cs="Times New Roman"/>
                <w:sz w:val="22"/>
                <w:szCs w:val="22"/>
              </w:rPr>
              <w:t>根据供应商提供的项目服务方案（包括但不限于项目理解与分析、工作内容、重难点分析等）进行综合评审：1.对本项目需求理解非常到位,服务内容全面、服务技术掌握全面、清晰，能够准确、清晰把握项目的重点难点，方案总体详实、全面、清晰，可行性强，在各方面优于采购需求的，得20分；2.对本项目需求理解到位，服务内容及服务技术掌握较为全面，重难点分析准确，方案内容详尽，满足采购需求的，得15分；3.对本项目需求理解较到位，重难点分析不到位，方案内容基本完整、基本合理可行，部分满足采购需求的，得10分；4.对本项目需求理解不足，重难点分析不到位，方案内容简单，合理性、可行性不强，基本满足采购需求的，得5分；5.对本项目需求理解不足，重难点分析简陋，方案内容简单，合理性、可行性不强，不满足采购需求的，不得分。 本项最高得20分。</w:t>
            </w:r>
          </w:p>
        </w:tc>
      </w:tr>
      <w:tr w14:paraId="3DCA19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00" w:type="dxa"/>
            <w:vMerge w:val="continue"/>
            <w:noWrap w:val="0"/>
            <w:vAlign w:val="center"/>
          </w:tcPr>
          <w:p w14:paraId="4D5AD79B">
            <w:pPr>
              <w:pStyle w:val="4"/>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sz w:val="22"/>
                <w:szCs w:val="22"/>
              </w:rPr>
            </w:pPr>
          </w:p>
        </w:tc>
        <w:tc>
          <w:tcPr>
            <w:tcW w:w="1380" w:type="dxa"/>
            <w:noWrap w:val="0"/>
            <w:vAlign w:val="center"/>
          </w:tcPr>
          <w:p w14:paraId="4E351905">
            <w:pPr>
              <w:pStyle w:val="4"/>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sz w:val="22"/>
                <w:szCs w:val="22"/>
              </w:rPr>
            </w:pPr>
            <w:r>
              <w:rPr>
                <w:rFonts w:hint="default" w:ascii="Times New Roman" w:hAnsi="Times New Roman" w:eastAsia="宋体" w:cs="Times New Roman"/>
                <w:sz w:val="22"/>
                <w:szCs w:val="22"/>
              </w:rPr>
              <w:t>质量保证措施</w:t>
            </w:r>
          </w:p>
        </w:tc>
        <w:tc>
          <w:tcPr>
            <w:tcW w:w="1088" w:type="dxa"/>
            <w:noWrap w:val="0"/>
            <w:vAlign w:val="center"/>
          </w:tcPr>
          <w:p w14:paraId="7DDD910A">
            <w:pPr>
              <w:pStyle w:val="4"/>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1</w:t>
            </w:r>
            <w:r>
              <w:rPr>
                <w:rFonts w:hint="eastAsia" w:ascii="Times New Roman" w:hAnsi="Times New Roman" w:eastAsia="宋体" w:cs="Times New Roman"/>
                <w:sz w:val="22"/>
                <w:szCs w:val="22"/>
                <w:lang w:val="en-US" w:eastAsia="zh-CN"/>
              </w:rPr>
              <w:t>5</w:t>
            </w:r>
          </w:p>
        </w:tc>
        <w:tc>
          <w:tcPr>
            <w:tcW w:w="5886" w:type="dxa"/>
            <w:noWrap w:val="0"/>
            <w:vAlign w:val="top"/>
          </w:tcPr>
          <w:p w14:paraId="1CDDD6AD">
            <w:pPr>
              <w:pStyle w:val="4"/>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sz w:val="22"/>
                <w:szCs w:val="22"/>
              </w:rPr>
            </w:pPr>
            <w:r>
              <w:rPr>
                <w:rFonts w:hint="default" w:ascii="Times New Roman" w:hAnsi="Times New Roman" w:eastAsia="宋体" w:cs="Times New Roman"/>
                <w:sz w:val="22"/>
                <w:szCs w:val="22"/>
              </w:rPr>
              <w:t>根据供应商提供的质量保证措施等进行综合评审：1.质量保证措施具体完善，可有效保障演习高质量完成，在各方面完全满足或优于采购需求的</w:t>
            </w:r>
            <w:r>
              <w:rPr>
                <w:rFonts w:hint="eastAsia" w:ascii="Times New Roman" w:hAnsi="Times New Roman" w:eastAsia="宋体" w:cs="Times New Roman"/>
                <w:sz w:val="22"/>
                <w:szCs w:val="22"/>
                <w:lang w:eastAsia="zh-CN"/>
              </w:rPr>
              <w:t>，</w:t>
            </w:r>
            <w:r>
              <w:rPr>
                <w:rFonts w:hint="default" w:ascii="Times New Roman" w:hAnsi="Times New Roman" w:eastAsia="宋体" w:cs="Times New Roman"/>
                <w:sz w:val="22"/>
                <w:szCs w:val="22"/>
              </w:rPr>
              <w:t>得</w:t>
            </w:r>
            <w:r>
              <w:rPr>
                <w:rFonts w:hint="eastAsia" w:ascii="Times New Roman" w:hAnsi="Times New Roman" w:eastAsia="宋体" w:cs="Times New Roman"/>
                <w:sz w:val="22"/>
                <w:szCs w:val="22"/>
                <w:lang w:val="en-US" w:eastAsia="zh-CN"/>
              </w:rPr>
              <w:t>15</w:t>
            </w:r>
            <w:r>
              <w:rPr>
                <w:rFonts w:hint="default" w:ascii="Times New Roman" w:hAnsi="Times New Roman" w:eastAsia="宋体" w:cs="Times New Roman"/>
                <w:sz w:val="22"/>
                <w:szCs w:val="22"/>
              </w:rPr>
              <w:t>分；2.质量保证措施</w:t>
            </w:r>
            <w:r>
              <w:rPr>
                <w:rFonts w:hint="eastAsia" w:ascii="Times New Roman" w:hAnsi="Times New Roman" w:eastAsia="宋体" w:cs="Times New Roman"/>
                <w:sz w:val="22"/>
                <w:szCs w:val="22"/>
                <w:lang w:eastAsia="zh-CN"/>
              </w:rPr>
              <w:t>较为</w:t>
            </w:r>
            <w:r>
              <w:rPr>
                <w:rFonts w:hint="default" w:ascii="Times New Roman" w:hAnsi="Times New Roman" w:eastAsia="宋体" w:cs="Times New Roman"/>
                <w:sz w:val="22"/>
                <w:szCs w:val="22"/>
              </w:rPr>
              <w:t>完善，可有效保障演习完成，在各方面</w:t>
            </w:r>
            <w:r>
              <w:rPr>
                <w:rFonts w:hint="eastAsia" w:ascii="Times New Roman" w:hAnsi="Times New Roman" w:eastAsia="宋体" w:cs="Times New Roman"/>
                <w:sz w:val="22"/>
                <w:szCs w:val="22"/>
                <w:lang w:eastAsia="zh-CN"/>
              </w:rPr>
              <w:t>符合</w:t>
            </w:r>
            <w:r>
              <w:rPr>
                <w:rFonts w:hint="default" w:ascii="Times New Roman" w:hAnsi="Times New Roman" w:eastAsia="宋体" w:cs="Times New Roman"/>
                <w:sz w:val="22"/>
                <w:szCs w:val="22"/>
              </w:rPr>
              <w:t>采购需求的，得</w:t>
            </w:r>
            <w:r>
              <w:rPr>
                <w:rFonts w:hint="eastAsia" w:ascii="Times New Roman" w:hAnsi="Times New Roman" w:eastAsia="宋体" w:cs="Times New Roman"/>
                <w:sz w:val="22"/>
                <w:szCs w:val="22"/>
                <w:lang w:val="en-US" w:eastAsia="zh-CN"/>
              </w:rPr>
              <w:t>10</w:t>
            </w:r>
            <w:r>
              <w:rPr>
                <w:rFonts w:hint="default" w:ascii="Times New Roman" w:hAnsi="Times New Roman" w:eastAsia="宋体" w:cs="Times New Roman"/>
                <w:sz w:val="22"/>
                <w:szCs w:val="22"/>
              </w:rPr>
              <w:t>分；3.质量保证措施</w:t>
            </w:r>
            <w:r>
              <w:rPr>
                <w:rFonts w:hint="eastAsia" w:ascii="Times New Roman" w:hAnsi="Times New Roman" w:eastAsia="宋体" w:cs="Times New Roman"/>
                <w:sz w:val="22"/>
                <w:szCs w:val="22"/>
                <w:lang w:eastAsia="zh-CN"/>
              </w:rPr>
              <w:t>不</w:t>
            </w:r>
            <w:r>
              <w:rPr>
                <w:rFonts w:hint="default" w:ascii="Times New Roman" w:hAnsi="Times New Roman" w:eastAsia="宋体" w:cs="Times New Roman"/>
                <w:sz w:val="22"/>
                <w:szCs w:val="22"/>
              </w:rPr>
              <w:t>完善，</w:t>
            </w:r>
            <w:r>
              <w:rPr>
                <w:rFonts w:hint="eastAsia" w:ascii="Times New Roman" w:hAnsi="Times New Roman" w:eastAsia="宋体" w:cs="Times New Roman"/>
                <w:sz w:val="22"/>
                <w:szCs w:val="22"/>
                <w:lang w:eastAsia="zh-CN"/>
              </w:rPr>
              <w:t>不能满足</w:t>
            </w:r>
            <w:r>
              <w:rPr>
                <w:rFonts w:hint="default" w:ascii="Times New Roman" w:hAnsi="Times New Roman" w:eastAsia="宋体" w:cs="Times New Roman"/>
                <w:sz w:val="22"/>
                <w:szCs w:val="22"/>
              </w:rPr>
              <w:t>采购需求的，得</w:t>
            </w:r>
            <w:r>
              <w:rPr>
                <w:rFonts w:hint="eastAsia" w:ascii="Times New Roman" w:hAnsi="Times New Roman" w:eastAsia="宋体" w:cs="Times New Roman"/>
                <w:sz w:val="22"/>
                <w:szCs w:val="22"/>
                <w:lang w:val="en-US" w:eastAsia="zh-CN"/>
              </w:rPr>
              <w:t>5</w:t>
            </w:r>
            <w:r>
              <w:rPr>
                <w:rFonts w:hint="default" w:ascii="Times New Roman" w:hAnsi="Times New Roman" w:eastAsia="宋体" w:cs="Times New Roman"/>
                <w:sz w:val="22"/>
                <w:szCs w:val="22"/>
              </w:rPr>
              <w:t>分。本项最高得1</w:t>
            </w:r>
            <w:r>
              <w:rPr>
                <w:rFonts w:hint="eastAsia" w:ascii="Times New Roman" w:hAnsi="Times New Roman" w:eastAsia="宋体" w:cs="Times New Roman"/>
                <w:sz w:val="22"/>
                <w:szCs w:val="22"/>
                <w:lang w:val="en-US" w:eastAsia="zh-CN"/>
              </w:rPr>
              <w:t>5</w:t>
            </w:r>
            <w:r>
              <w:rPr>
                <w:rFonts w:hint="default" w:ascii="Times New Roman" w:hAnsi="Times New Roman" w:eastAsia="宋体" w:cs="Times New Roman"/>
                <w:sz w:val="22"/>
                <w:szCs w:val="22"/>
              </w:rPr>
              <w:t>分。</w:t>
            </w:r>
          </w:p>
        </w:tc>
      </w:tr>
      <w:tr w14:paraId="1CD718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00" w:type="dxa"/>
            <w:vMerge w:val="continue"/>
            <w:noWrap w:val="0"/>
            <w:vAlign w:val="center"/>
          </w:tcPr>
          <w:p w14:paraId="638B8EB9">
            <w:pPr>
              <w:pStyle w:val="4"/>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sz w:val="22"/>
                <w:szCs w:val="22"/>
              </w:rPr>
            </w:pPr>
          </w:p>
        </w:tc>
        <w:tc>
          <w:tcPr>
            <w:tcW w:w="1380" w:type="dxa"/>
            <w:noWrap w:val="0"/>
            <w:vAlign w:val="center"/>
          </w:tcPr>
          <w:p w14:paraId="0A00B37F">
            <w:pPr>
              <w:pStyle w:val="4"/>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sz w:val="22"/>
                <w:szCs w:val="22"/>
              </w:rPr>
            </w:pPr>
            <w:r>
              <w:rPr>
                <w:rFonts w:hint="default" w:ascii="Times New Roman" w:hAnsi="Times New Roman" w:eastAsia="宋体" w:cs="Times New Roman"/>
                <w:sz w:val="22"/>
                <w:szCs w:val="22"/>
              </w:rPr>
              <w:t>团队实力（项目负责人）</w:t>
            </w:r>
          </w:p>
        </w:tc>
        <w:tc>
          <w:tcPr>
            <w:tcW w:w="1088" w:type="dxa"/>
            <w:noWrap w:val="0"/>
            <w:vAlign w:val="center"/>
          </w:tcPr>
          <w:p w14:paraId="37D5A7C1">
            <w:pPr>
              <w:pStyle w:val="4"/>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14</w:t>
            </w:r>
          </w:p>
        </w:tc>
        <w:tc>
          <w:tcPr>
            <w:tcW w:w="5886" w:type="dxa"/>
            <w:noWrap w:val="0"/>
            <w:vAlign w:val="top"/>
          </w:tcPr>
          <w:p w14:paraId="0F708BC8">
            <w:pPr>
              <w:pStyle w:val="4"/>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sz w:val="22"/>
                <w:szCs w:val="22"/>
              </w:rPr>
            </w:pPr>
            <w:r>
              <w:rPr>
                <w:rFonts w:hint="default" w:ascii="Times New Roman" w:hAnsi="Times New Roman" w:eastAsia="宋体" w:cs="Times New Roman"/>
                <w:sz w:val="22"/>
                <w:szCs w:val="22"/>
              </w:rPr>
              <w:t>供应商拟派本项目的项目负责人：①项目负责人具有</w:t>
            </w:r>
            <w:r>
              <w:rPr>
                <w:rFonts w:hint="eastAsia" w:ascii="Times New Roman" w:hAnsi="Times New Roman" w:eastAsia="宋体" w:cs="Times New Roman"/>
                <w:sz w:val="22"/>
                <w:szCs w:val="22"/>
                <w:lang w:val="en-US" w:eastAsia="zh-CN"/>
              </w:rPr>
              <w:t>生态环境</w:t>
            </w:r>
            <w:r>
              <w:rPr>
                <w:rFonts w:hint="default" w:ascii="Times New Roman" w:hAnsi="Times New Roman" w:eastAsia="宋体" w:cs="Times New Roman"/>
                <w:sz w:val="22"/>
                <w:szCs w:val="22"/>
              </w:rPr>
              <w:t>、核与辐射、物理类高级（或以上）职称的，得</w:t>
            </w:r>
            <w:r>
              <w:rPr>
                <w:rFonts w:hint="eastAsia" w:ascii="Times New Roman" w:hAnsi="Times New Roman" w:eastAsia="宋体" w:cs="Times New Roman"/>
                <w:sz w:val="22"/>
                <w:szCs w:val="22"/>
                <w:lang w:val="en-US" w:eastAsia="zh-CN"/>
              </w:rPr>
              <w:t>6</w:t>
            </w:r>
            <w:r>
              <w:rPr>
                <w:rFonts w:hint="default" w:ascii="Times New Roman" w:hAnsi="Times New Roman" w:eastAsia="宋体" w:cs="Times New Roman"/>
                <w:sz w:val="22"/>
                <w:szCs w:val="22"/>
              </w:rPr>
              <w:t>分；</w:t>
            </w:r>
          </w:p>
          <w:p w14:paraId="3CEF017C">
            <w:pPr>
              <w:pStyle w:val="4"/>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sz w:val="22"/>
                <w:szCs w:val="22"/>
              </w:rPr>
            </w:pPr>
            <w:r>
              <w:rPr>
                <w:rFonts w:hint="default" w:ascii="Times New Roman" w:hAnsi="Times New Roman" w:eastAsia="宋体" w:cs="Times New Roman"/>
                <w:sz w:val="22"/>
                <w:szCs w:val="22"/>
              </w:rPr>
              <w:t>②项目负责人具有环境保护、核与辐射、物理类中级职称，得</w:t>
            </w:r>
            <w:r>
              <w:rPr>
                <w:rFonts w:hint="eastAsia" w:ascii="Times New Roman" w:hAnsi="Times New Roman" w:eastAsia="宋体" w:cs="Times New Roman"/>
                <w:sz w:val="22"/>
                <w:szCs w:val="22"/>
                <w:lang w:val="en-US" w:eastAsia="zh-CN"/>
              </w:rPr>
              <w:t>5</w:t>
            </w:r>
            <w:r>
              <w:rPr>
                <w:rFonts w:hint="default" w:ascii="Times New Roman" w:hAnsi="Times New Roman" w:eastAsia="宋体" w:cs="Times New Roman"/>
                <w:sz w:val="22"/>
                <w:szCs w:val="22"/>
              </w:rPr>
              <w:t>分；</w:t>
            </w:r>
          </w:p>
          <w:p w14:paraId="4957AB44">
            <w:pPr>
              <w:pStyle w:val="4"/>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sz w:val="22"/>
                <w:szCs w:val="22"/>
              </w:rPr>
            </w:pPr>
            <w:r>
              <w:rPr>
                <w:rFonts w:hint="default" w:ascii="Times New Roman" w:hAnsi="Times New Roman" w:eastAsia="宋体" w:cs="Times New Roman"/>
                <w:sz w:val="22"/>
                <w:szCs w:val="22"/>
              </w:rPr>
              <w:t>③在①、②基础上，项目负责人具有5年以上</w:t>
            </w:r>
            <w:r>
              <w:rPr>
                <w:rFonts w:hint="eastAsia" w:ascii="Times New Roman" w:hAnsi="Times New Roman" w:eastAsia="宋体" w:cs="Times New Roman"/>
                <w:sz w:val="22"/>
                <w:szCs w:val="22"/>
                <w:lang w:eastAsia="zh-CN"/>
              </w:rPr>
              <w:t>（含</w:t>
            </w:r>
            <w:r>
              <w:rPr>
                <w:rFonts w:hint="eastAsia" w:ascii="Times New Roman" w:hAnsi="Times New Roman" w:eastAsia="宋体" w:cs="Times New Roman"/>
                <w:sz w:val="22"/>
                <w:szCs w:val="22"/>
                <w:lang w:val="en-US" w:eastAsia="zh-CN"/>
              </w:rPr>
              <w:t>5年</w:t>
            </w:r>
            <w:r>
              <w:rPr>
                <w:rFonts w:hint="eastAsia" w:ascii="Times New Roman" w:hAnsi="Times New Roman" w:eastAsia="宋体" w:cs="Times New Roman"/>
                <w:sz w:val="22"/>
                <w:szCs w:val="22"/>
                <w:lang w:eastAsia="zh-CN"/>
              </w:rPr>
              <w:t>）</w:t>
            </w:r>
            <w:r>
              <w:rPr>
                <w:rFonts w:hint="default" w:ascii="Times New Roman" w:hAnsi="Times New Roman" w:eastAsia="宋体" w:cs="Times New Roman"/>
                <w:sz w:val="22"/>
                <w:szCs w:val="22"/>
              </w:rPr>
              <w:t>核与辐射行业从业经验的，得</w:t>
            </w:r>
            <w:r>
              <w:rPr>
                <w:rFonts w:hint="eastAsia" w:ascii="Times New Roman" w:hAnsi="Times New Roman" w:eastAsia="宋体" w:cs="Times New Roman"/>
                <w:sz w:val="22"/>
                <w:szCs w:val="22"/>
                <w:lang w:val="en-US" w:eastAsia="zh-CN"/>
              </w:rPr>
              <w:t>4</w:t>
            </w:r>
            <w:r>
              <w:rPr>
                <w:rFonts w:hint="default" w:ascii="Times New Roman" w:hAnsi="Times New Roman" w:eastAsia="宋体" w:cs="Times New Roman"/>
                <w:sz w:val="22"/>
                <w:szCs w:val="22"/>
              </w:rPr>
              <w:t>分；</w:t>
            </w:r>
            <w:r>
              <w:rPr>
                <w:rFonts w:hint="eastAsia" w:ascii="Times New Roman" w:hAnsi="Times New Roman" w:eastAsia="宋体" w:cs="Times New Roman"/>
                <w:sz w:val="22"/>
                <w:szCs w:val="22"/>
                <w:lang w:eastAsia="zh-CN"/>
              </w:rPr>
              <w:t>具有</w:t>
            </w:r>
            <w:r>
              <w:rPr>
                <w:rFonts w:hint="eastAsia" w:ascii="Times New Roman" w:hAnsi="Times New Roman" w:eastAsia="宋体" w:cs="Times New Roman"/>
                <w:sz w:val="22"/>
                <w:szCs w:val="22"/>
                <w:lang w:val="en-US" w:eastAsia="zh-CN"/>
              </w:rPr>
              <w:t>3-5年（不含5年）从业经验的，得2分；1-3年（不含3年）的，得1分</w:t>
            </w:r>
            <w:r>
              <w:rPr>
                <w:rFonts w:hint="eastAsia" w:ascii="Times New Roman" w:hAnsi="Times New Roman" w:cs="Times New Roman"/>
                <w:sz w:val="22"/>
                <w:szCs w:val="22"/>
                <w:lang w:val="en-US" w:eastAsia="zh-CN"/>
              </w:rPr>
              <w:t>；</w:t>
            </w:r>
            <w:r>
              <w:rPr>
                <w:rFonts w:hint="default" w:ascii="Times New Roman" w:hAnsi="Times New Roman" w:eastAsia="宋体" w:cs="Times New Roman"/>
                <w:sz w:val="22"/>
                <w:szCs w:val="22"/>
              </w:rPr>
              <w:t xml:space="preserve"> </w:t>
            </w:r>
          </w:p>
          <w:p w14:paraId="03AE0978">
            <w:pPr>
              <w:pStyle w:val="4"/>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④</w:t>
            </w:r>
            <w:r>
              <w:rPr>
                <w:rFonts w:hint="default" w:ascii="Times New Roman" w:hAnsi="Times New Roman" w:eastAsia="宋体" w:cs="Times New Roman"/>
                <w:kern w:val="0"/>
                <w:sz w:val="22"/>
                <w:szCs w:val="22"/>
                <w:lang w:val="en-US" w:eastAsia="zh-CN"/>
              </w:rPr>
              <w:t>具有生态环境主管部门或下属环境辐射监测单位颁发的辐射环境监测人员合格证，且考核合格项目包括X-γ辐射剂量率、α/β表面污染，得</w:t>
            </w:r>
            <w:r>
              <w:rPr>
                <w:rFonts w:hint="eastAsia" w:ascii="Times New Roman" w:hAnsi="Times New Roman" w:eastAsia="宋体" w:cs="Times New Roman"/>
                <w:kern w:val="0"/>
                <w:sz w:val="22"/>
                <w:szCs w:val="22"/>
                <w:lang w:val="en-US" w:eastAsia="zh-CN"/>
              </w:rPr>
              <w:t>4</w:t>
            </w:r>
            <w:r>
              <w:rPr>
                <w:rFonts w:hint="default" w:ascii="Times New Roman" w:hAnsi="Times New Roman" w:eastAsia="宋体" w:cs="Times New Roman"/>
                <w:kern w:val="0"/>
                <w:sz w:val="22"/>
                <w:szCs w:val="22"/>
                <w:lang w:val="en-US" w:eastAsia="zh-CN"/>
              </w:rPr>
              <w:t>分。</w:t>
            </w:r>
          </w:p>
          <w:p w14:paraId="58DECAA9">
            <w:pPr>
              <w:pStyle w:val="4"/>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sz w:val="22"/>
                <w:szCs w:val="22"/>
              </w:rPr>
            </w:pPr>
            <w:r>
              <w:rPr>
                <w:rFonts w:hint="default" w:ascii="Times New Roman" w:hAnsi="Times New Roman" w:eastAsia="宋体" w:cs="Times New Roman"/>
                <w:sz w:val="22"/>
                <w:szCs w:val="22"/>
              </w:rPr>
              <w:t>以上</w:t>
            </w:r>
            <w:r>
              <w:rPr>
                <w:rFonts w:hint="eastAsia" w:ascii="Times New Roman" w:hAnsi="Times New Roman" w:eastAsia="宋体" w:cs="Times New Roman"/>
                <w:sz w:val="22"/>
                <w:szCs w:val="22"/>
                <w:lang w:val="en-US" w:eastAsia="zh-CN"/>
              </w:rPr>
              <w:t>4</w:t>
            </w:r>
            <w:r>
              <w:rPr>
                <w:rFonts w:hint="default" w:ascii="Times New Roman" w:hAnsi="Times New Roman" w:eastAsia="宋体" w:cs="Times New Roman"/>
                <w:sz w:val="22"/>
                <w:szCs w:val="22"/>
              </w:rPr>
              <w:t>项累计分最高得1</w:t>
            </w:r>
            <w:r>
              <w:rPr>
                <w:rFonts w:hint="eastAsia" w:ascii="Times New Roman" w:hAnsi="Times New Roman" w:eastAsia="宋体" w:cs="Times New Roman"/>
                <w:sz w:val="22"/>
                <w:szCs w:val="22"/>
                <w:lang w:val="en-US" w:eastAsia="zh-CN"/>
              </w:rPr>
              <w:t>4</w:t>
            </w:r>
            <w:r>
              <w:rPr>
                <w:rFonts w:hint="default" w:ascii="Times New Roman" w:hAnsi="Times New Roman" w:eastAsia="宋体" w:cs="Times New Roman"/>
                <w:sz w:val="22"/>
                <w:szCs w:val="22"/>
              </w:rPr>
              <w:t>分。</w:t>
            </w:r>
          </w:p>
          <w:p w14:paraId="257FFDBF">
            <w:pPr>
              <w:pStyle w:val="4"/>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sz w:val="22"/>
                <w:szCs w:val="22"/>
              </w:rPr>
            </w:pPr>
            <w:r>
              <w:rPr>
                <w:rFonts w:hint="default" w:ascii="Times New Roman" w:hAnsi="Times New Roman" w:eastAsia="宋体" w:cs="Times New Roman"/>
                <w:sz w:val="22"/>
                <w:szCs w:val="22"/>
              </w:rPr>
              <w:t>注：1.项目负责人必须为供应商的正式员工，并提供投标截止时间前六个月内任意一月社会保险缴交证明，加盖投标供应商公章，否则不得分。 2.提供项目负责人个人履历表（履历表上需注明项目负责人工作年限）、相关专业技术职称或学历、学位证书等复印件并加盖投标供应商公章。说明：须提供人员相关证书及投标截止时间前六个月内任意一月社会保险缴交证明，没有提供不计分。</w:t>
            </w:r>
          </w:p>
        </w:tc>
      </w:tr>
      <w:tr w14:paraId="4E4847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00" w:type="dxa"/>
            <w:vMerge w:val="continue"/>
            <w:noWrap w:val="0"/>
            <w:vAlign w:val="center"/>
          </w:tcPr>
          <w:p w14:paraId="2DAF1B74">
            <w:pPr>
              <w:pStyle w:val="4"/>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sz w:val="22"/>
                <w:szCs w:val="22"/>
              </w:rPr>
            </w:pPr>
          </w:p>
        </w:tc>
        <w:tc>
          <w:tcPr>
            <w:tcW w:w="1380" w:type="dxa"/>
            <w:noWrap w:val="0"/>
            <w:vAlign w:val="center"/>
          </w:tcPr>
          <w:p w14:paraId="034B4777">
            <w:pPr>
              <w:pStyle w:val="4"/>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sz w:val="22"/>
                <w:szCs w:val="22"/>
              </w:rPr>
            </w:pPr>
          </w:p>
          <w:p w14:paraId="28D6D7D7">
            <w:pPr>
              <w:pStyle w:val="4"/>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sz w:val="22"/>
                <w:szCs w:val="22"/>
              </w:rPr>
            </w:pPr>
          </w:p>
          <w:p w14:paraId="5B344C9C">
            <w:pPr>
              <w:pStyle w:val="4"/>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sz w:val="22"/>
                <w:szCs w:val="22"/>
              </w:rPr>
            </w:pPr>
          </w:p>
          <w:p w14:paraId="1DED39F5">
            <w:pPr>
              <w:pStyle w:val="4"/>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sz w:val="22"/>
                <w:szCs w:val="22"/>
              </w:rPr>
            </w:pPr>
          </w:p>
          <w:p w14:paraId="506B2150">
            <w:pPr>
              <w:pStyle w:val="4"/>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sz w:val="22"/>
                <w:szCs w:val="22"/>
              </w:rPr>
            </w:pPr>
            <w:r>
              <w:rPr>
                <w:rFonts w:hint="default" w:ascii="Times New Roman" w:hAnsi="Times New Roman" w:eastAsia="宋体" w:cs="Times New Roman"/>
                <w:sz w:val="22"/>
                <w:szCs w:val="22"/>
              </w:rPr>
              <w:t>团队实力（团队成员（不含项目负责人））</w:t>
            </w:r>
          </w:p>
        </w:tc>
        <w:tc>
          <w:tcPr>
            <w:tcW w:w="1088" w:type="dxa"/>
            <w:noWrap w:val="0"/>
            <w:vAlign w:val="center"/>
          </w:tcPr>
          <w:p w14:paraId="45FBE752">
            <w:pPr>
              <w:pStyle w:val="4"/>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21</w:t>
            </w:r>
          </w:p>
        </w:tc>
        <w:tc>
          <w:tcPr>
            <w:tcW w:w="5886" w:type="dxa"/>
            <w:noWrap w:val="0"/>
            <w:vAlign w:val="top"/>
          </w:tcPr>
          <w:p w14:paraId="73CD4878">
            <w:pPr>
              <w:pStyle w:val="4"/>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sz w:val="22"/>
                <w:szCs w:val="22"/>
              </w:rPr>
            </w:pPr>
            <w:r>
              <w:rPr>
                <w:rFonts w:hint="default" w:ascii="Times New Roman" w:hAnsi="Times New Roman" w:eastAsia="宋体" w:cs="Times New Roman"/>
                <w:sz w:val="22"/>
                <w:szCs w:val="22"/>
              </w:rPr>
              <w:t>供应商拟派本项目的团队成员（不含项目负责人）：①具有</w:t>
            </w:r>
            <w:r>
              <w:rPr>
                <w:rFonts w:hint="eastAsia" w:ascii="Times New Roman" w:hAnsi="Times New Roman" w:eastAsia="宋体" w:cs="Times New Roman"/>
                <w:sz w:val="22"/>
                <w:szCs w:val="22"/>
                <w:lang w:val="en-US" w:eastAsia="zh-CN"/>
              </w:rPr>
              <w:t>生态环境</w:t>
            </w:r>
            <w:r>
              <w:rPr>
                <w:rFonts w:hint="default" w:ascii="Times New Roman" w:hAnsi="Times New Roman" w:eastAsia="宋体" w:cs="Times New Roman"/>
                <w:sz w:val="22"/>
                <w:szCs w:val="22"/>
              </w:rPr>
              <w:t>、核与辐射、物理类专业高级及以上工程师职称的，每提供1人得</w:t>
            </w:r>
            <w:r>
              <w:rPr>
                <w:rFonts w:hint="eastAsia" w:ascii="Times New Roman" w:hAnsi="Times New Roman" w:eastAsia="宋体" w:cs="Times New Roman"/>
                <w:sz w:val="22"/>
                <w:szCs w:val="22"/>
                <w:lang w:val="en-US" w:eastAsia="zh-CN"/>
              </w:rPr>
              <w:t>5</w:t>
            </w:r>
            <w:r>
              <w:rPr>
                <w:rFonts w:hint="default" w:ascii="Times New Roman" w:hAnsi="Times New Roman" w:eastAsia="宋体" w:cs="Times New Roman"/>
                <w:sz w:val="22"/>
                <w:szCs w:val="22"/>
              </w:rPr>
              <w:t>分；具有相关专业中级及以上工程师职称的，每提供1人得</w:t>
            </w:r>
            <w:r>
              <w:rPr>
                <w:rFonts w:hint="eastAsia" w:ascii="Times New Roman" w:hAnsi="Times New Roman" w:eastAsia="宋体" w:cs="Times New Roman"/>
                <w:sz w:val="22"/>
                <w:szCs w:val="22"/>
                <w:lang w:val="en-US" w:eastAsia="zh-CN"/>
              </w:rPr>
              <w:t>4</w:t>
            </w:r>
            <w:r>
              <w:rPr>
                <w:rFonts w:hint="default" w:ascii="Times New Roman" w:hAnsi="Times New Roman" w:eastAsia="宋体" w:cs="Times New Roman"/>
                <w:sz w:val="22"/>
                <w:szCs w:val="22"/>
              </w:rPr>
              <w:t>分；本项最高得</w:t>
            </w:r>
            <w:r>
              <w:rPr>
                <w:rFonts w:hint="eastAsia" w:ascii="Times New Roman" w:hAnsi="Times New Roman" w:eastAsia="宋体" w:cs="Times New Roman"/>
                <w:sz w:val="22"/>
                <w:szCs w:val="22"/>
                <w:lang w:val="en-US" w:eastAsia="zh-CN"/>
              </w:rPr>
              <w:t>13</w:t>
            </w:r>
            <w:r>
              <w:rPr>
                <w:rFonts w:hint="default" w:ascii="Times New Roman" w:hAnsi="Times New Roman" w:eastAsia="宋体" w:cs="Times New Roman"/>
                <w:sz w:val="22"/>
                <w:szCs w:val="22"/>
              </w:rPr>
              <w:t>分；②</w:t>
            </w:r>
            <w:r>
              <w:rPr>
                <w:rFonts w:hint="eastAsia" w:ascii="Times New Roman" w:hAnsi="Times New Roman" w:eastAsia="宋体" w:cs="Times New Roman"/>
                <w:sz w:val="22"/>
                <w:szCs w:val="22"/>
                <w:lang w:eastAsia="zh-CN"/>
              </w:rPr>
              <w:t>满足</w:t>
            </w:r>
            <w:r>
              <w:rPr>
                <w:rFonts w:hint="default" w:ascii="Times New Roman" w:hAnsi="Times New Roman" w:eastAsia="宋体" w:cs="Times New Roman"/>
                <w:sz w:val="22"/>
                <w:szCs w:val="22"/>
              </w:rPr>
              <w:t>①</w:t>
            </w:r>
            <w:r>
              <w:rPr>
                <w:rFonts w:hint="eastAsia" w:ascii="Times New Roman" w:hAnsi="Times New Roman" w:eastAsia="宋体" w:cs="Times New Roman"/>
                <w:sz w:val="22"/>
                <w:szCs w:val="22"/>
                <w:lang w:eastAsia="zh-CN"/>
              </w:rPr>
              <w:t>的基础上，</w:t>
            </w:r>
            <w:r>
              <w:rPr>
                <w:rFonts w:hint="default" w:ascii="Times New Roman" w:hAnsi="Times New Roman" w:eastAsia="宋体" w:cs="Times New Roman"/>
                <w:sz w:val="22"/>
                <w:szCs w:val="22"/>
              </w:rPr>
              <w:t>团队成员具有省级（含）以上生态环境主管部门或下属环境辐射监测</w:t>
            </w:r>
            <w:r>
              <w:rPr>
                <w:rFonts w:hint="eastAsia" w:ascii="Times New Roman" w:hAnsi="Times New Roman" w:eastAsia="宋体" w:cs="Times New Roman"/>
                <w:sz w:val="22"/>
                <w:szCs w:val="22"/>
                <w:lang w:val="en-US" w:eastAsia="zh-CN"/>
              </w:rPr>
              <w:t>单位</w:t>
            </w:r>
            <w:r>
              <w:rPr>
                <w:rFonts w:hint="default" w:ascii="Times New Roman" w:hAnsi="Times New Roman" w:eastAsia="宋体" w:cs="Times New Roman"/>
                <w:sz w:val="22"/>
                <w:szCs w:val="22"/>
              </w:rPr>
              <w:t>颁发的辐射环境监测人员技术考核合格证，</w:t>
            </w:r>
            <w:r>
              <w:rPr>
                <w:rFonts w:hint="default" w:ascii="Times New Roman" w:hAnsi="Times New Roman" w:eastAsia="宋体" w:cs="Times New Roman"/>
                <w:b w:val="0"/>
                <w:bCs w:val="0"/>
                <w:i w:val="0"/>
                <w:iCs w:val="0"/>
                <w:sz w:val="22"/>
                <w:szCs w:val="22"/>
                <w:lang w:val="en-US" w:eastAsia="zh-CN"/>
              </w:rPr>
              <w:t>且考核合格项目包括X-γ辐射剂量率、α</w:t>
            </w:r>
            <w:r>
              <w:rPr>
                <w:rFonts w:hint="default" w:ascii="Times New Roman" w:hAnsi="Times New Roman" w:eastAsia="宋体" w:cs="Times New Roman"/>
                <w:kern w:val="0"/>
                <w:sz w:val="22"/>
                <w:szCs w:val="22"/>
                <w:lang w:val="en-US" w:eastAsia="zh-CN"/>
              </w:rPr>
              <w:t>/</w:t>
            </w:r>
            <w:r>
              <w:rPr>
                <w:rFonts w:hint="default" w:ascii="Times New Roman" w:hAnsi="Times New Roman" w:eastAsia="宋体" w:cs="Times New Roman"/>
                <w:b w:val="0"/>
                <w:bCs w:val="0"/>
                <w:i w:val="0"/>
                <w:iCs w:val="0"/>
                <w:sz w:val="22"/>
                <w:szCs w:val="22"/>
                <w:lang w:val="en-US" w:eastAsia="zh-CN"/>
              </w:rPr>
              <w:t>β表面污染的，</w:t>
            </w:r>
            <w:r>
              <w:rPr>
                <w:rFonts w:hint="default" w:ascii="Times New Roman" w:hAnsi="Times New Roman" w:eastAsia="宋体" w:cs="Times New Roman"/>
                <w:sz w:val="22"/>
                <w:szCs w:val="22"/>
              </w:rPr>
              <w:t>每提供1个得</w:t>
            </w:r>
            <w:r>
              <w:rPr>
                <w:rFonts w:hint="eastAsia" w:ascii="Times New Roman" w:hAnsi="Times New Roman" w:eastAsia="宋体" w:cs="Times New Roman"/>
                <w:sz w:val="22"/>
                <w:szCs w:val="22"/>
                <w:lang w:val="en-US" w:eastAsia="zh-CN"/>
              </w:rPr>
              <w:t>4</w:t>
            </w:r>
            <w:r>
              <w:rPr>
                <w:rFonts w:hint="default" w:ascii="Times New Roman" w:hAnsi="Times New Roman" w:eastAsia="宋体" w:cs="Times New Roman"/>
                <w:sz w:val="22"/>
                <w:szCs w:val="22"/>
              </w:rPr>
              <w:t>分，最高得</w:t>
            </w:r>
            <w:r>
              <w:rPr>
                <w:rFonts w:hint="eastAsia" w:ascii="Times New Roman" w:hAnsi="Times New Roman" w:eastAsia="宋体" w:cs="Times New Roman"/>
                <w:sz w:val="22"/>
                <w:szCs w:val="22"/>
                <w:lang w:val="en-US" w:eastAsia="zh-CN"/>
              </w:rPr>
              <w:t>8</w:t>
            </w:r>
            <w:r>
              <w:rPr>
                <w:rFonts w:hint="default" w:ascii="Times New Roman" w:hAnsi="Times New Roman" w:eastAsia="宋体" w:cs="Times New Roman"/>
                <w:sz w:val="22"/>
                <w:szCs w:val="22"/>
              </w:rPr>
              <w:t>分。</w:t>
            </w:r>
          </w:p>
          <w:p w14:paraId="190DA124">
            <w:pPr>
              <w:pStyle w:val="4"/>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sz w:val="22"/>
                <w:szCs w:val="22"/>
              </w:rPr>
            </w:pPr>
            <w:r>
              <w:rPr>
                <w:rFonts w:hint="default" w:ascii="Times New Roman" w:hAnsi="Times New Roman" w:eastAsia="宋体" w:cs="Times New Roman"/>
                <w:sz w:val="22"/>
                <w:szCs w:val="22"/>
              </w:rPr>
              <w:t>本项最高得</w:t>
            </w:r>
            <w:r>
              <w:rPr>
                <w:rFonts w:hint="eastAsia" w:ascii="Times New Roman" w:hAnsi="Times New Roman" w:eastAsia="宋体" w:cs="Times New Roman"/>
                <w:sz w:val="22"/>
                <w:szCs w:val="22"/>
                <w:lang w:val="en-US" w:eastAsia="zh-CN"/>
              </w:rPr>
              <w:t>21</w:t>
            </w:r>
            <w:r>
              <w:rPr>
                <w:rFonts w:hint="default" w:ascii="Times New Roman" w:hAnsi="Times New Roman" w:eastAsia="宋体" w:cs="Times New Roman"/>
                <w:sz w:val="22"/>
                <w:szCs w:val="22"/>
              </w:rPr>
              <w:t>分。注：1.项目团队成员必须为供应商的正式员工，并提供投标截止时间前六个月内任意一月社会保险缴交证明，加盖投标供应商公章，否则不得分。2.提供相关专业技术职称或培训证书等复印件并加盖投标供应商公章。</w:t>
            </w:r>
          </w:p>
        </w:tc>
      </w:tr>
      <w:tr w14:paraId="46B19E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00" w:type="dxa"/>
            <w:vMerge w:val="restart"/>
            <w:noWrap w:val="0"/>
            <w:vAlign w:val="center"/>
          </w:tcPr>
          <w:p w14:paraId="1D5D7321">
            <w:pPr>
              <w:pStyle w:val="4"/>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sz w:val="22"/>
                <w:szCs w:val="22"/>
                <w:lang w:eastAsia="zh-CN"/>
              </w:rPr>
            </w:pPr>
            <w:r>
              <w:rPr>
                <w:rFonts w:hint="default" w:ascii="Times New Roman" w:hAnsi="Times New Roman" w:eastAsia="宋体" w:cs="Times New Roman"/>
                <w:sz w:val="22"/>
                <w:szCs w:val="22"/>
                <w:lang w:eastAsia="zh-CN"/>
              </w:rPr>
              <w:t>商务部分（</w:t>
            </w:r>
            <w:r>
              <w:rPr>
                <w:rFonts w:hint="eastAsia" w:ascii="Times New Roman" w:hAnsi="Times New Roman" w:eastAsia="宋体" w:cs="Times New Roman"/>
                <w:sz w:val="22"/>
                <w:szCs w:val="22"/>
                <w:lang w:val="en-US" w:eastAsia="zh-CN"/>
              </w:rPr>
              <w:t>1</w:t>
            </w:r>
            <w:r>
              <w:rPr>
                <w:rFonts w:hint="default" w:ascii="Times New Roman" w:hAnsi="Times New Roman" w:eastAsia="宋体" w:cs="Times New Roman"/>
                <w:sz w:val="22"/>
                <w:szCs w:val="22"/>
                <w:lang w:val="en-US" w:eastAsia="zh-CN"/>
              </w:rPr>
              <w:t>5分</w:t>
            </w:r>
            <w:r>
              <w:rPr>
                <w:rFonts w:hint="default" w:ascii="Times New Roman" w:hAnsi="Times New Roman" w:eastAsia="宋体" w:cs="Times New Roman"/>
                <w:sz w:val="22"/>
                <w:szCs w:val="22"/>
                <w:lang w:eastAsia="zh-CN"/>
              </w:rPr>
              <w:t>）</w:t>
            </w:r>
          </w:p>
        </w:tc>
        <w:tc>
          <w:tcPr>
            <w:tcW w:w="1380" w:type="dxa"/>
            <w:noWrap w:val="0"/>
            <w:vAlign w:val="center"/>
          </w:tcPr>
          <w:p w14:paraId="585D4CB6">
            <w:pPr>
              <w:pStyle w:val="4"/>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sz w:val="22"/>
                <w:szCs w:val="22"/>
              </w:rPr>
            </w:pPr>
            <w:r>
              <w:rPr>
                <w:rFonts w:hint="default" w:ascii="Times New Roman" w:hAnsi="Times New Roman" w:eastAsia="宋体" w:cs="Times New Roman"/>
                <w:sz w:val="22"/>
                <w:szCs w:val="22"/>
              </w:rPr>
              <w:t>同类业绩</w:t>
            </w:r>
          </w:p>
        </w:tc>
        <w:tc>
          <w:tcPr>
            <w:tcW w:w="1088" w:type="dxa"/>
            <w:noWrap w:val="0"/>
            <w:vAlign w:val="center"/>
          </w:tcPr>
          <w:p w14:paraId="5E3ED641">
            <w:pPr>
              <w:pStyle w:val="4"/>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10</w:t>
            </w:r>
          </w:p>
        </w:tc>
        <w:tc>
          <w:tcPr>
            <w:tcW w:w="5886" w:type="dxa"/>
            <w:noWrap w:val="0"/>
            <w:vAlign w:val="top"/>
          </w:tcPr>
          <w:p w14:paraId="6AFE330C">
            <w:pPr>
              <w:pStyle w:val="4"/>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sz w:val="22"/>
                <w:szCs w:val="22"/>
              </w:rPr>
            </w:pPr>
            <w:r>
              <w:rPr>
                <w:rFonts w:hint="default" w:ascii="Times New Roman" w:hAnsi="Times New Roman" w:eastAsia="宋体" w:cs="Times New Roman"/>
                <w:sz w:val="22"/>
                <w:szCs w:val="22"/>
              </w:rPr>
              <w:t>202</w:t>
            </w:r>
            <w:r>
              <w:rPr>
                <w:rFonts w:hint="eastAsia" w:ascii="Times New Roman" w:hAnsi="Times New Roman" w:eastAsia="宋体" w:cs="Times New Roman"/>
                <w:sz w:val="22"/>
                <w:szCs w:val="22"/>
                <w:lang w:val="en-US" w:eastAsia="zh-CN"/>
              </w:rPr>
              <w:t>3</w:t>
            </w:r>
            <w:r>
              <w:rPr>
                <w:rFonts w:hint="default" w:ascii="Times New Roman" w:hAnsi="Times New Roman" w:eastAsia="宋体" w:cs="Times New Roman"/>
                <w:sz w:val="22"/>
                <w:szCs w:val="22"/>
              </w:rPr>
              <w:t>年1月1日以来，供应商具有核应急预案编制、核与辐射事故应急演习业绩的，每个得5分；本项最高得</w:t>
            </w:r>
            <w:r>
              <w:rPr>
                <w:rFonts w:hint="eastAsia" w:ascii="Times New Roman" w:hAnsi="Times New Roman" w:eastAsia="宋体" w:cs="Times New Roman"/>
                <w:sz w:val="22"/>
                <w:szCs w:val="22"/>
                <w:lang w:val="en-US" w:eastAsia="zh-CN"/>
              </w:rPr>
              <w:t>1</w:t>
            </w:r>
            <w:r>
              <w:rPr>
                <w:rFonts w:hint="default" w:ascii="Times New Roman" w:hAnsi="Times New Roman" w:eastAsia="宋体" w:cs="Times New Roman"/>
                <w:sz w:val="22"/>
                <w:szCs w:val="22"/>
              </w:rPr>
              <w:t>0分。说明：须提供中标通知书（成交通知书）或合同关键页（含签订合同双方的单位名称、合同项目名称、金额与含签订合同双方的落款盖章、签订日期的关键页）复印件，没有提供不计分</w:t>
            </w:r>
          </w:p>
        </w:tc>
      </w:tr>
      <w:tr w14:paraId="43020D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00" w:type="dxa"/>
            <w:vMerge w:val="continue"/>
            <w:noWrap w:val="0"/>
            <w:vAlign w:val="center"/>
          </w:tcPr>
          <w:p w14:paraId="51335371">
            <w:pPr>
              <w:pStyle w:val="4"/>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sz w:val="22"/>
                <w:szCs w:val="22"/>
              </w:rPr>
            </w:pPr>
          </w:p>
        </w:tc>
        <w:tc>
          <w:tcPr>
            <w:tcW w:w="1380" w:type="dxa"/>
            <w:noWrap w:val="0"/>
            <w:vAlign w:val="center"/>
          </w:tcPr>
          <w:p w14:paraId="7F4B81D0">
            <w:pPr>
              <w:pStyle w:val="4"/>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sz w:val="22"/>
                <w:szCs w:val="22"/>
              </w:rPr>
            </w:pPr>
            <w:r>
              <w:rPr>
                <w:rFonts w:hint="default" w:ascii="Times New Roman" w:hAnsi="Times New Roman" w:eastAsia="宋体" w:cs="Times New Roman"/>
                <w:sz w:val="22"/>
                <w:szCs w:val="22"/>
              </w:rPr>
              <w:t>认证情况</w:t>
            </w:r>
          </w:p>
        </w:tc>
        <w:tc>
          <w:tcPr>
            <w:tcW w:w="1088" w:type="dxa"/>
            <w:noWrap w:val="0"/>
            <w:vAlign w:val="center"/>
          </w:tcPr>
          <w:p w14:paraId="78F44309">
            <w:pPr>
              <w:pStyle w:val="4"/>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5</w:t>
            </w:r>
          </w:p>
        </w:tc>
        <w:tc>
          <w:tcPr>
            <w:tcW w:w="5886" w:type="dxa"/>
            <w:noWrap w:val="0"/>
            <w:vAlign w:val="top"/>
          </w:tcPr>
          <w:p w14:paraId="6A8C3B56">
            <w:pPr>
              <w:pStyle w:val="4"/>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sz w:val="22"/>
                <w:szCs w:val="22"/>
              </w:rPr>
            </w:pPr>
            <w:r>
              <w:rPr>
                <w:rFonts w:hint="default" w:ascii="Times New Roman" w:hAnsi="Times New Roman" w:eastAsia="宋体" w:cs="Times New Roman"/>
                <w:sz w:val="22"/>
                <w:szCs w:val="22"/>
              </w:rPr>
              <w:t>供应商具有ISO9001质量管理体系认证证书、ISO14001环境管理体系认证证书，且认证证书在有效期内，每个得2.5分；本项最高得5分。注：需提供相应证书有效复印件，并加盖投标供应商公章，未提供的不得分。</w:t>
            </w:r>
          </w:p>
        </w:tc>
      </w:tr>
      <w:tr w14:paraId="3F7E08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00" w:type="dxa"/>
            <w:noWrap w:val="0"/>
            <w:vAlign w:val="center"/>
          </w:tcPr>
          <w:p w14:paraId="26250A82">
            <w:pPr>
              <w:pStyle w:val="4"/>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sz w:val="22"/>
                <w:szCs w:val="22"/>
                <w:lang w:eastAsia="zh-CN"/>
              </w:rPr>
            </w:pPr>
            <w:r>
              <w:rPr>
                <w:rFonts w:hint="default" w:ascii="Times New Roman" w:hAnsi="Times New Roman" w:eastAsia="宋体" w:cs="Times New Roman"/>
                <w:sz w:val="22"/>
                <w:szCs w:val="22"/>
                <w:lang w:eastAsia="zh-CN"/>
              </w:rPr>
              <w:t>价格部分（</w:t>
            </w:r>
            <w:r>
              <w:rPr>
                <w:rFonts w:hint="default" w:ascii="Times New Roman" w:hAnsi="Times New Roman" w:eastAsia="宋体" w:cs="Times New Roman"/>
                <w:sz w:val="22"/>
                <w:szCs w:val="22"/>
                <w:lang w:val="en-US" w:eastAsia="zh-CN"/>
              </w:rPr>
              <w:t>15分</w:t>
            </w:r>
            <w:r>
              <w:rPr>
                <w:rFonts w:hint="default" w:ascii="Times New Roman" w:hAnsi="Times New Roman" w:eastAsia="宋体" w:cs="Times New Roman"/>
                <w:sz w:val="22"/>
                <w:szCs w:val="22"/>
                <w:lang w:eastAsia="zh-CN"/>
              </w:rPr>
              <w:t>）</w:t>
            </w:r>
          </w:p>
        </w:tc>
        <w:tc>
          <w:tcPr>
            <w:tcW w:w="1380" w:type="dxa"/>
            <w:noWrap w:val="0"/>
            <w:vAlign w:val="center"/>
          </w:tcPr>
          <w:p w14:paraId="2BD389B5">
            <w:pPr>
              <w:pStyle w:val="4"/>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sz w:val="22"/>
                <w:szCs w:val="22"/>
              </w:rPr>
            </w:pPr>
            <w:r>
              <w:rPr>
                <w:rFonts w:hint="default" w:ascii="Times New Roman" w:hAnsi="Times New Roman" w:eastAsia="宋体" w:cs="Times New Roman"/>
                <w:sz w:val="22"/>
                <w:szCs w:val="22"/>
              </w:rPr>
              <w:t>投标报价</w:t>
            </w:r>
          </w:p>
        </w:tc>
        <w:tc>
          <w:tcPr>
            <w:tcW w:w="1088" w:type="dxa"/>
            <w:noWrap w:val="0"/>
            <w:vAlign w:val="center"/>
          </w:tcPr>
          <w:p w14:paraId="4B69D507">
            <w:pPr>
              <w:pStyle w:val="4"/>
              <w:keepNext w:val="0"/>
              <w:keepLines w:val="0"/>
              <w:pageBreakBefore w:val="0"/>
              <w:widowControl/>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15</w:t>
            </w:r>
          </w:p>
        </w:tc>
        <w:tc>
          <w:tcPr>
            <w:tcW w:w="5886" w:type="dxa"/>
            <w:noWrap w:val="0"/>
            <w:vAlign w:val="top"/>
          </w:tcPr>
          <w:p w14:paraId="3506C3C6">
            <w:pPr>
              <w:pStyle w:val="4"/>
              <w:keepNext w:val="0"/>
              <w:keepLines w:val="0"/>
              <w:pageBreakBefore w:val="0"/>
              <w:widowControl/>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sz w:val="22"/>
                <w:szCs w:val="22"/>
              </w:rPr>
            </w:pPr>
            <w:r>
              <w:rPr>
                <w:rFonts w:hint="default" w:ascii="Times New Roman" w:hAnsi="Times New Roman" w:eastAsia="宋体" w:cs="Times New Roman"/>
                <w:sz w:val="22"/>
                <w:szCs w:val="22"/>
              </w:rPr>
              <w:t>取满足采购文件要求且价格扣除后的最低投标报价作为评标基准价，其价格分为满分。其他供应商的价格分统一按照下列公式计算：价格扣除后的投标报价得分=（评标基准价/价格扣除后的投标报价）×15（对符合规定的小型和微型企业（监狱企业、残疾人福利单位视同小型、微型企业）报价给予10%的价格扣除）</w:t>
            </w:r>
          </w:p>
        </w:tc>
      </w:tr>
    </w:tbl>
    <w:p w14:paraId="6A86669C">
      <w:r>
        <w:rPr>
          <w:rFonts w:ascii="Times New Roman" w:hAnsi="Times New Roman" w:eastAsia="黑体" w:cs="Times New Roman"/>
          <w:sz w:val="28"/>
          <w:szCs w:val="28"/>
        </w:rPr>
        <w:br w:type="page"/>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黑体简体">
    <w:altName w:val="Arial Unicode MS"/>
    <w:panose1 w:val="02010601030101010101"/>
    <w:charset w:val="86"/>
    <w:family w:val="auto"/>
    <w:pitch w:val="default"/>
    <w:sig w:usb0="00000000" w:usb1="0000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大标宋_GBK">
    <w:panose1 w:val="03000509000000000000"/>
    <w:charset w:val="86"/>
    <w:family w:val="auto"/>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BE3227"/>
    <w:rsid w:val="0FBE32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null3"/>
    <w:qFormat/>
    <w:uiPriority w:val="0"/>
    <w:rPr>
      <w:rFonts w:hint="eastAsia" w:ascii="Calibri" w:hAnsi="Calibri" w:eastAsia="宋体" w:cs="Times New Roman"/>
      <w:lang w:val="en-US" w:eastAsia="zh-Han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2026-09-09T08:55:00Z</dcterms:created>
  <dc:creator>李耀明</dc:creator>
  <cp:lastModifiedBy>李耀明</cp:lastModifiedBy>
  <dcterms:modified xsi:type="dcterms:W3CDTF">2026-09-09T08:55:55Z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EE8914056F6F418C86E1617BD1E76F7B_11</vt:lpwstr>
  </property>
  <property fmtid="{D5CDD505-2E9C-101B-9397-08002B2CF9AE}" pid="4" name="KSOTemplateDocerSaveRecord">
    <vt:lpwstr>eyJoZGlkIjoiMDM3NGU3YmU1ODYyYjdmN2E3ZWRhMmM0MjY3M2IwZTIiLCJ1c2VySWQiOiIzNDIwMDI0OTEifQ==</vt:lpwstr>
  </property>
</Properties>
</file>