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C2A51">
      <w:pPr>
        <w:pStyle w:val="18"/>
        <w:keepNext w:val="0"/>
        <w:keepLines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60" w:lineRule="exact"/>
        <w:ind w:right="0"/>
        <w:jc w:val="center"/>
        <w:rPr>
          <w:rFonts w:hint="default" w:ascii="Times New Roman" w:hAnsi="Times New Roman" w:eastAsia="方正大标宋_GBK" w:cs="Times New Roman"/>
          <w:b w:val="0"/>
          <w:bCs w:val="0"/>
          <w:i w:val="0"/>
          <w:iCs w:val="0"/>
          <w:caps w:val="0"/>
          <w:color w:val="auto"/>
          <w:spacing w:val="0"/>
          <w:sz w:val="42"/>
          <w:szCs w:val="42"/>
          <w:shd w:val="clear" w:fill="FFFFFF"/>
          <w:lang w:val="en-US" w:eastAsia="zh-CN"/>
        </w:rPr>
      </w:pPr>
      <w:r>
        <w:rPr>
          <w:rFonts w:hint="default" w:ascii="Times New Roman" w:hAnsi="Times New Roman" w:eastAsia="方正大标宋_GBK" w:cs="Times New Roman"/>
          <w:b w:val="0"/>
          <w:bCs w:val="0"/>
          <w:i w:val="0"/>
          <w:iCs w:val="0"/>
          <w:caps w:val="0"/>
          <w:color w:val="auto"/>
          <w:spacing w:val="0"/>
          <w:sz w:val="42"/>
          <w:szCs w:val="42"/>
          <w:shd w:val="clear" w:fill="FFFFFF"/>
          <w:lang w:val="en-US" w:eastAsia="zh-CN"/>
        </w:rPr>
        <w:t>技术规格、参数及要求</w:t>
      </w:r>
    </w:p>
    <w:p w14:paraId="140B1A2A">
      <w:pPr>
        <w:pStyle w:val="3"/>
        <w:shd w:val="clear"/>
        <w:kinsoku/>
        <w:wordWrap/>
        <w:overflowPunct/>
        <w:topLinePunct w:val="0"/>
        <w:autoSpaceDE/>
        <w:autoSpaceDN/>
        <w:bidi w:val="0"/>
        <w:spacing w:line="560" w:lineRule="exact"/>
        <w:ind w:left="0" w:leftChars="0" w:firstLine="0" w:firstLineChars="0"/>
        <w:jc w:val="center"/>
        <w:rPr>
          <w:rFonts w:hint="default" w:ascii="Times New Roman" w:hAnsi="Times New Roman" w:eastAsia="方正黑体_GBK" w:cs="Times New Roman"/>
          <w:b w:val="0"/>
          <w:bCs/>
          <w:color w:val="auto"/>
          <w:sz w:val="30"/>
          <w:szCs w:val="30"/>
        </w:rPr>
      </w:pPr>
      <w:bookmarkStart w:id="0" w:name="_Toc31703"/>
      <w:r>
        <w:rPr>
          <w:rFonts w:hint="default" w:ascii="Times New Roman" w:hAnsi="Times New Roman" w:eastAsia="方正黑体_GBK" w:cs="Times New Roman"/>
          <w:b w:val="0"/>
          <w:bCs/>
          <w:color w:val="auto"/>
          <w:sz w:val="30"/>
          <w:szCs w:val="30"/>
          <w:lang w:val="en-US" w:eastAsia="zh-CN"/>
        </w:rPr>
        <w:t>项目概述</w:t>
      </w:r>
      <w:bookmarkEnd w:id="0"/>
    </w:p>
    <w:p w14:paraId="7AABFD96">
      <w:pPr>
        <w:pStyle w:val="4"/>
        <w:shd w:val="clear"/>
        <w:kinsoku/>
        <w:wordWrap/>
        <w:overflowPunct/>
        <w:topLinePunct w:val="0"/>
        <w:autoSpaceDE/>
        <w:autoSpaceDN/>
        <w:bidi w:val="0"/>
        <w:spacing w:line="560" w:lineRule="exact"/>
        <w:rPr>
          <w:rFonts w:hint="default" w:ascii="Times New Roman" w:hAnsi="Times New Roman" w:eastAsia="方正仿宋_GBK" w:cs="Times New Roman"/>
          <w:b/>
          <w:bCs w:val="0"/>
          <w:color w:val="auto"/>
          <w:sz w:val="30"/>
          <w:szCs w:val="30"/>
          <w:lang w:val="en-US" w:eastAsia="zh-CN"/>
        </w:rPr>
      </w:pPr>
      <w:bookmarkStart w:id="1" w:name="_Toc1835"/>
      <w:r>
        <w:rPr>
          <w:rFonts w:hint="default" w:ascii="Times New Roman" w:hAnsi="Times New Roman" w:eastAsia="方正仿宋_GBK" w:cs="Times New Roman"/>
          <w:b/>
          <w:bCs w:val="0"/>
          <w:color w:val="auto"/>
          <w:sz w:val="30"/>
          <w:szCs w:val="30"/>
          <w:lang w:val="en-US" w:eastAsia="zh-CN"/>
        </w:rPr>
        <w:t>项目建设背景</w:t>
      </w:r>
      <w:bookmarkEnd w:id="1"/>
    </w:p>
    <w:p w14:paraId="4FB87E13">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为了贯彻落实基本医疗保险参保长效机制、进一步做好医疗保障定点医药机构相关人员医保支付资格管理工作，促进医疗保障基金合理使用，持续提升经办管理标准化、深入推进全民参保计划，优化参保缴费服务，进一步提高参保质量，保障参保人合法权益，根据《广东省医疗保障局关于贯彻落实基本医疗保险参保长效机制的通知粤医保规〔2024〕9号》、广东省医疗保障局 广东省卫生健康委员会 广东省药品监督管理局关于印发《广东省定点医药机构相关人员医保支付资格管理实施细则（试行）》的通知粤医保规〔2025〕2号等法律法规及有关规定，结合我市实际，开展基本医疗保险长效机制、建立医保支付资格管理制度等政策调整升级改造</w:t>
      </w:r>
      <w:r>
        <w:rPr>
          <w:rFonts w:hint="default" w:ascii="Times New Roman" w:hAnsi="Times New Roman" w:eastAsia="方正仿宋_GBK" w:cs="Times New Roman"/>
          <w:color w:val="auto"/>
          <w:sz w:val="30"/>
          <w:szCs w:val="30"/>
          <w:lang w:val="en-GB" w:eastAsia="zh-CN"/>
        </w:rPr>
        <w:t>。</w:t>
      </w:r>
    </w:p>
    <w:p w14:paraId="4C763437">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为保障以上两项即将实施的新政策在江门市的顺利实施，全方位支撑江门市医保业务办理，推动江门市医保业务不断向前发展，需要通过政策调整系统改造升级的方式，来确保我市医保新政按时落地实施，为江门市医疗保障工作提供系统性、及时性和持续性信息化服务。</w:t>
      </w:r>
    </w:p>
    <w:p w14:paraId="2058631C">
      <w:pPr>
        <w:pStyle w:val="4"/>
        <w:shd w:val="clear"/>
        <w:kinsoku/>
        <w:wordWrap/>
        <w:overflowPunct/>
        <w:topLinePunct w:val="0"/>
        <w:autoSpaceDE/>
        <w:autoSpaceDN/>
        <w:bidi w:val="0"/>
        <w:spacing w:line="560" w:lineRule="exact"/>
        <w:rPr>
          <w:rFonts w:hint="default" w:ascii="Times New Roman" w:hAnsi="Times New Roman" w:eastAsia="方正仿宋_GBK" w:cs="Times New Roman"/>
          <w:b/>
          <w:bCs w:val="0"/>
          <w:color w:val="auto"/>
          <w:sz w:val="30"/>
          <w:szCs w:val="30"/>
          <w:lang w:val="en-US" w:eastAsia="zh-CN"/>
        </w:rPr>
      </w:pPr>
      <w:bookmarkStart w:id="2" w:name="_Toc16118"/>
      <w:r>
        <w:rPr>
          <w:rFonts w:hint="default" w:ascii="Times New Roman" w:hAnsi="Times New Roman" w:eastAsia="方正仿宋_GBK" w:cs="Times New Roman"/>
          <w:b/>
          <w:bCs w:val="0"/>
          <w:color w:val="auto"/>
          <w:sz w:val="30"/>
          <w:szCs w:val="30"/>
          <w:lang w:val="en-US" w:eastAsia="zh-CN"/>
        </w:rPr>
        <w:t>信息化现状</w:t>
      </w:r>
      <w:bookmarkEnd w:id="2"/>
    </w:p>
    <w:p w14:paraId="7839E6DA">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zh-CN" w:eastAsia="zh-CN"/>
        </w:rPr>
      </w:pPr>
      <w:bookmarkStart w:id="3" w:name="_Toc25882"/>
      <w:r>
        <w:rPr>
          <w:rFonts w:hint="default" w:ascii="Times New Roman" w:hAnsi="Times New Roman" w:eastAsia="方正仿宋_GBK" w:cs="Times New Roman"/>
          <w:color w:val="auto"/>
          <w:sz w:val="30"/>
          <w:szCs w:val="30"/>
          <w:lang w:val="en-US" w:eastAsia="zh-CN"/>
        </w:rPr>
        <w:t>目前我市主要业务已上线省医保信息平台，本项目提供的服务也是基于省医保信息平台进行本地化配置和改造服务等</w:t>
      </w:r>
      <w:r>
        <w:rPr>
          <w:rFonts w:hint="default" w:ascii="Times New Roman" w:hAnsi="Times New Roman" w:eastAsia="方正仿宋_GBK" w:cs="Times New Roman"/>
          <w:color w:val="auto"/>
          <w:sz w:val="30"/>
          <w:szCs w:val="30"/>
          <w:lang w:val="zh-CN" w:eastAsia="zh-CN"/>
        </w:rPr>
        <w:t>，</w:t>
      </w:r>
      <w:r>
        <w:rPr>
          <w:rFonts w:hint="default" w:ascii="Times New Roman" w:hAnsi="Times New Roman" w:eastAsia="方正仿宋_GBK" w:cs="Times New Roman"/>
          <w:color w:val="auto"/>
          <w:sz w:val="30"/>
          <w:szCs w:val="30"/>
          <w:lang w:val="en-US" w:eastAsia="zh-CN"/>
        </w:rPr>
        <w:t>平台</w:t>
      </w:r>
      <w:r>
        <w:rPr>
          <w:rFonts w:hint="default" w:ascii="Times New Roman" w:hAnsi="Times New Roman" w:eastAsia="方正仿宋_GBK" w:cs="Times New Roman"/>
          <w:color w:val="auto"/>
          <w:sz w:val="30"/>
          <w:szCs w:val="30"/>
          <w:lang w:val="zh-CN" w:eastAsia="zh-CN"/>
        </w:rPr>
        <w:t>应用架构按照统一规划和建设的原则，采用“云+中台”设计模式，分为核心业务区、公共服务区。</w:t>
      </w:r>
    </w:p>
    <w:p w14:paraId="397DC91B">
      <w:pPr>
        <w:pStyle w:val="4"/>
        <w:shd w:val="clear"/>
        <w:kinsoku/>
        <w:wordWrap/>
        <w:overflowPunct/>
        <w:topLinePunct w:val="0"/>
        <w:autoSpaceDE/>
        <w:autoSpaceDN/>
        <w:bidi w:val="0"/>
        <w:spacing w:line="560" w:lineRule="exact"/>
        <w:rPr>
          <w:rFonts w:hint="default" w:ascii="Times New Roman" w:hAnsi="Times New Roman" w:eastAsia="方正仿宋_GBK" w:cs="Times New Roman"/>
          <w:b/>
          <w:bCs w:val="0"/>
          <w:color w:val="auto"/>
          <w:sz w:val="30"/>
          <w:szCs w:val="30"/>
          <w:lang w:val="en-US" w:eastAsia="zh-CN"/>
        </w:rPr>
      </w:pPr>
      <w:r>
        <w:rPr>
          <w:rFonts w:hint="default" w:ascii="Times New Roman" w:hAnsi="Times New Roman" w:eastAsia="方正仿宋_GBK" w:cs="Times New Roman"/>
          <w:b/>
          <w:bCs w:val="0"/>
          <w:color w:val="auto"/>
          <w:sz w:val="30"/>
          <w:szCs w:val="30"/>
          <w:lang w:val="en-US" w:eastAsia="zh-CN"/>
        </w:rPr>
        <w:t>项目建设目标</w:t>
      </w:r>
      <w:bookmarkEnd w:id="3"/>
    </w:p>
    <w:p w14:paraId="59092454">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主要是对于即将实施的基本医疗保险长效机制、建立医保支付资格管理制度2项政策，在现有省医疗保障信息平台基础上对医保业务基础子系统、支付方式管理子系统相关功能进行本地化政策适配与调试，为我市医疗保障新政策提供信息化支撑，促进新政策在我市有条不紊地按政策执行时间落地实施，保障参保人享受合法合规的医保待遇，杜绝医保基金流失。</w:t>
      </w:r>
    </w:p>
    <w:p w14:paraId="70674A01">
      <w:pPr>
        <w:pStyle w:val="4"/>
        <w:shd w:val="clear"/>
        <w:kinsoku/>
        <w:wordWrap/>
        <w:overflowPunct/>
        <w:topLinePunct w:val="0"/>
        <w:autoSpaceDE/>
        <w:autoSpaceDN/>
        <w:bidi w:val="0"/>
        <w:spacing w:line="560" w:lineRule="exact"/>
        <w:rPr>
          <w:rFonts w:hint="default" w:ascii="Times New Roman" w:hAnsi="Times New Roman" w:eastAsia="方正仿宋_GBK" w:cs="Times New Roman"/>
          <w:b/>
          <w:bCs w:val="0"/>
          <w:color w:val="auto"/>
          <w:sz w:val="30"/>
          <w:szCs w:val="30"/>
          <w:lang w:val="en-US" w:eastAsia="zh-CN"/>
        </w:rPr>
      </w:pPr>
      <w:bookmarkStart w:id="4" w:name="_Toc306"/>
      <w:r>
        <w:rPr>
          <w:rFonts w:hint="default" w:ascii="Times New Roman" w:hAnsi="Times New Roman" w:eastAsia="方正仿宋_GBK" w:cs="Times New Roman"/>
          <w:b/>
          <w:bCs w:val="0"/>
          <w:color w:val="auto"/>
          <w:sz w:val="30"/>
          <w:szCs w:val="30"/>
          <w:lang w:val="en-US" w:eastAsia="zh-CN"/>
        </w:rPr>
        <w:t>项目建设工期</w:t>
      </w:r>
      <w:bookmarkEnd w:id="4"/>
    </w:p>
    <w:p w14:paraId="245F5F57">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rPr>
        <w:t>本项目自合同签订之日起</w:t>
      </w:r>
      <w:r>
        <w:rPr>
          <w:rFonts w:hint="default" w:ascii="Times New Roman" w:hAnsi="Times New Roman" w:eastAsia="方正仿宋_GBK" w:cs="Times New Roman"/>
          <w:color w:val="auto"/>
          <w:sz w:val="30"/>
          <w:szCs w:val="30"/>
          <w:highlight w:val="none"/>
          <w:lang w:val="en-US" w:eastAsia="zh-CN"/>
        </w:rPr>
        <w:t>4</w:t>
      </w:r>
      <w:r>
        <w:rPr>
          <w:rFonts w:hint="default" w:ascii="Times New Roman" w:hAnsi="Times New Roman" w:eastAsia="方正仿宋_GBK" w:cs="Times New Roman"/>
          <w:color w:val="auto"/>
          <w:sz w:val="30"/>
          <w:szCs w:val="30"/>
          <w:highlight w:val="none"/>
        </w:rPr>
        <w:t>个</w:t>
      </w:r>
      <w:r>
        <w:rPr>
          <w:rFonts w:hint="default" w:ascii="Times New Roman" w:hAnsi="Times New Roman" w:eastAsia="方正仿宋_GBK" w:cs="Times New Roman"/>
          <w:color w:val="auto"/>
          <w:sz w:val="30"/>
          <w:szCs w:val="30"/>
        </w:rPr>
        <w:t>月内完成</w:t>
      </w:r>
      <w:r>
        <w:rPr>
          <w:rFonts w:hint="default" w:ascii="Times New Roman" w:hAnsi="Times New Roman" w:eastAsia="方正仿宋_GBK" w:cs="Times New Roman"/>
          <w:color w:val="auto"/>
          <w:sz w:val="30"/>
          <w:szCs w:val="30"/>
          <w:lang w:val="en-US" w:eastAsia="zh-CN"/>
        </w:rPr>
        <w:t>上线与验收工作</w:t>
      </w:r>
      <w:r>
        <w:rPr>
          <w:rFonts w:hint="default" w:ascii="Times New Roman" w:hAnsi="Times New Roman" w:eastAsia="方正仿宋_GBK" w:cs="Times New Roman"/>
          <w:color w:val="auto"/>
          <w:sz w:val="30"/>
          <w:szCs w:val="30"/>
        </w:rPr>
        <w:t>。</w:t>
      </w:r>
    </w:p>
    <w:p w14:paraId="5CB3823E">
      <w:pPr>
        <w:pStyle w:val="4"/>
        <w:shd w:val="clear"/>
        <w:kinsoku/>
        <w:wordWrap/>
        <w:overflowPunct/>
        <w:topLinePunct w:val="0"/>
        <w:autoSpaceDE/>
        <w:autoSpaceDN/>
        <w:bidi w:val="0"/>
        <w:spacing w:line="560" w:lineRule="exact"/>
        <w:rPr>
          <w:rFonts w:hint="default" w:ascii="Times New Roman" w:hAnsi="Times New Roman" w:eastAsia="方正仿宋_GBK" w:cs="Times New Roman"/>
          <w:b/>
          <w:bCs w:val="0"/>
          <w:color w:val="auto"/>
          <w:sz w:val="30"/>
          <w:szCs w:val="30"/>
          <w:lang w:val="en-US" w:eastAsia="zh-CN"/>
        </w:rPr>
      </w:pPr>
      <w:bookmarkStart w:id="5" w:name="_Toc9694"/>
      <w:r>
        <w:rPr>
          <w:rFonts w:hint="default" w:ascii="Times New Roman" w:hAnsi="Times New Roman" w:eastAsia="方正仿宋_GBK" w:cs="Times New Roman"/>
          <w:b/>
          <w:bCs w:val="0"/>
          <w:color w:val="auto"/>
          <w:sz w:val="30"/>
          <w:szCs w:val="30"/>
          <w:lang w:val="en-US" w:eastAsia="zh-CN"/>
        </w:rPr>
        <w:t>项目建设内容</w:t>
      </w:r>
      <w:bookmarkEnd w:id="5"/>
    </w:p>
    <w:p w14:paraId="2990D51B">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eastAsia="zh-CN"/>
        </w:rPr>
      </w:pPr>
      <w:r>
        <w:rPr>
          <w:rFonts w:hint="default" w:ascii="Times New Roman" w:hAnsi="Times New Roman" w:eastAsia="方正仿宋_GBK" w:cs="Times New Roman"/>
          <w:color w:val="auto"/>
          <w:sz w:val="30"/>
          <w:szCs w:val="30"/>
          <w:lang w:eastAsia="zh-CN"/>
        </w:rPr>
        <w:t>实现对国家医保信息平台政策调整改造，具体建设内容如下：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0"/>
        <w:gridCol w:w="2721"/>
        <w:gridCol w:w="3571"/>
      </w:tblGrid>
      <w:tr w14:paraId="7B3D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308" w:type="pct"/>
            <w:noWrap w:val="0"/>
            <w:vAlign w:val="center"/>
          </w:tcPr>
          <w:p w14:paraId="09D5F2B5">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top"/>
              <w:rPr>
                <w:rFonts w:hint="default" w:ascii="Times New Roman" w:hAnsi="Times New Roman" w:eastAsia="方正黑体_GBK" w:cs="Times New Roman"/>
                <w:b w:val="0"/>
                <w:bCs w:val="0"/>
                <w:i w:val="0"/>
                <w:iCs w:val="0"/>
                <w:color w:val="000000"/>
                <w:sz w:val="28"/>
                <w:szCs w:val="28"/>
                <w:u w:val="none"/>
                <w:lang w:val="en-US" w:eastAsia="zh-CN"/>
              </w:rPr>
            </w:pPr>
            <w:r>
              <w:rPr>
                <w:rFonts w:hint="default" w:ascii="Times New Roman" w:hAnsi="Times New Roman" w:eastAsia="方正黑体_GBK" w:cs="Times New Roman"/>
                <w:b w:val="0"/>
                <w:bCs w:val="0"/>
                <w:i w:val="0"/>
                <w:iCs w:val="0"/>
                <w:color w:val="000000"/>
                <w:sz w:val="28"/>
                <w:szCs w:val="28"/>
                <w:u w:val="none"/>
                <w:lang w:val="en-US" w:eastAsia="zh-CN"/>
              </w:rPr>
              <w:t>项目名称</w:t>
            </w:r>
          </w:p>
        </w:tc>
        <w:tc>
          <w:tcPr>
            <w:tcW w:w="1596" w:type="pct"/>
            <w:noWrap w:val="0"/>
            <w:vAlign w:val="center"/>
          </w:tcPr>
          <w:p w14:paraId="46877DCD">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top"/>
              <w:rPr>
                <w:rFonts w:hint="default" w:ascii="Times New Roman" w:hAnsi="Times New Roman" w:eastAsia="方正黑体_GBK" w:cs="Times New Roman"/>
                <w:b w:val="0"/>
                <w:bCs w:val="0"/>
                <w:i w:val="0"/>
                <w:iCs w:val="0"/>
                <w:color w:val="000000"/>
                <w:sz w:val="28"/>
                <w:szCs w:val="28"/>
                <w:u w:val="none"/>
              </w:rPr>
            </w:pPr>
            <w:r>
              <w:rPr>
                <w:rFonts w:hint="default" w:ascii="Times New Roman" w:hAnsi="Times New Roman" w:eastAsia="方正黑体_GBK" w:cs="Times New Roman"/>
                <w:b w:val="0"/>
                <w:bCs w:val="0"/>
                <w:i w:val="0"/>
                <w:iCs w:val="0"/>
                <w:color w:val="000000"/>
                <w:kern w:val="0"/>
                <w:sz w:val="28"/>
                <w:szCs w:val="28"/>
                <w:u w:val="none"/>
                <w:lang w:val="en-US" w:eastAsia="zh-CN" w:bidi="ar"/>
              </w:rPr>
              <w:t>建设内容</w:t>
            </w:r>
          </w:p>
        </w:tc>
        <w:tc>
          <w:tcPr>
            <w:tcW w:w="2095" w:type="pct"/>
            <w:noWrap w:val="0"/>
            <w:vAlign w:val="center"/>
          </w:tcPr>
          <w:p w14:paraId="0F2E0F7C">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top"/>
              <w:rPr>
                <w:rFonts w:hint="default" w:ascii="Times New Roman" w:hAnsi="Times New Roman" w:eastAsia="方正黑体_GBK" w:cs="Times New Roman"/>
                <w:b w:val="0"/>
                <w:bCs w:val="0"/>
                <w:i w:val="0"/>
                <w:iCs w:val="0"/>
                <w:color w:val="000000"/>
                <w:sz w:val="28"/>
                <w:szCs w:val="28"/>
                <w:u w:val="none"/>
              </w:rPr>
            </w:pPr>
            <w:r>
              <w:rPr>
                <w:rFonts w:hint="default" w:ascii="Times New Roman" w:hAnsi="Times New Roman" w:eastAsia="方正黑体_GBK" w:cs="Times New Roman"/>
                <w:b w:val="0"/>
                <w:bCs w:val="0"/>
                <w:i w:val="0"/>
                <w:iCs w:val="0"/>
                <w:color w:val="000000"/>
                <w:kern w:val="0"/>
                <w:sz w:val="28"/>
                <w:szCs w:val="28"/>
                <w:u w:val="none"/>
                <w:lang w:val="en-US" w:eastAsia="zh-CN" w:bidi="ar"/>
              </w:rPr>
              <w:t>内容说明</w:t>
            </w:r>
          </w:p>
        </w:tc>
      </w:tr>
      <w:tr w14:paraId="2C7F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08" w:type="pct"/>
            <w:vMerge w:val="restart"/>
            <w:noWrap/>
            <w:vAlign w:val="center"/>
          </w:tcPr>
          <w:p w14:paraId="14298A36">
            <w:pPr>
              <w:keepNext w:val="0"/>
              <w:keepLines w:val="0"/>
              <w:pageBreakBefore w:val="0"/>
              <w:shd w:val="clear"/>
              <w:kinsoku/>
              <w:wordWrap/>
              <w:overflowPunct/>
              <w:topLinePunct w:val="0"/>
              <w:autoSpaceDE/>
              <w:autoSpaceDN/>
              <w:bidi w:val="0"/>
              <w:adjustRightInd/>
              <w:snapToGrid/>
              <w:spacing w:line="500" w:lineRule="exac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市医保局国家医保信息平台政策调整改造（2026年）项目</w:t>
            </w:r>
          </w:p>
        </w:tc>
        <w:tc>
          <w:tcPr>
            <w:tcW w:w="1596" w:type="pct"/>
            <w:noWrap/>
            <w:vAlign w:val="center"/>
          </w:tcPr>
          <w:p w14:paraId="24E002D6">
            <w:pPr>
              <w:keepNext w:val="0"/>
              <w:keepLines w:val="0"/>
              <w:pageBreakBefore w:val="0"/>
              <w:shd w:val="clear"/>
              <w:kinsoku/>
              <w:wordWrap/>
              <w:overflowPunct/>
              <w:topLinePunct w:val="0"/>
              <w:autoSpaceDE/>
              <w:autoSpaceDN/>
              <w:bidi w:val="0"/>
              <w:adjustRightInd/>
              <w:snapToGrid/>
              <w:spacing w:line="500" w:lineRule="exac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基本医疗保险长效机制政策升级改造</w:t>
            </w:r>
          </w:p>
        </w:tc>
        <w:tc>
          <w:tcPr>
            <w:tcW w:w="2095" w:type="pct"/>
            <w:noWrap w:val="0"/>
            <w:vAlign w:val="center"/>
          </w:tcPr>
          <w:p w14:paraId="3CDB85BA">
            <w:pPr>
              <w:keepNext w:val="0"/>
              <w:keepLines w:val="0"/>
              <w:pageBreakBefore w:val="0"/>
              <w:shd w:val="clear"/>
              <w:kinsoku/>
              <w:wordWrap/>
              <w:overflowPunct/>
              <w:topLinePunct w:val="0"/>
              <w:autoSpaceDE/>
              <w:autoSpaceDN/>
              <w:bidi w:val="0"/>
              <w:adjustRightInd/>
              <w:snapToGrid/>
              <w:spacing w:line="500" w:lineRule="exac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需求分析、本地化改造、系统验证测试、系统上线等运营服务</w:t>
            </w:r>
          </w:p>
        </w:tc>
      </w:tr>
      <w:tr w14:paraId="06C68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1308" w:type="pct"/>
            <w:vMerge w:val="continue"/>
            <w:noWrap/>
            <w:vAlign w:val="center"/>
          </w:tcPr>
          <w:p w14:paraId="4FD3B527">
            <w:pPr>
              <w:keepNext w:val="0"/>
              <w:keepLines w:val="0"/>
              <w:pageBreakBefore w:val="0"/>
              <w:shd w:val="clear"/>
              <w:kinsoku/>
              <w:wordWrap/>
              <w:overflowPunct/>
              <w:topLinePunct w:val="0"/>
              <w:autoSpaceDE/>
              <w:autoSpaceDN/>
              <w:bidi w:val="0"/>
              <w:adjustRightInd/>
              <w:snapToGrid/>
              <w:spacing w:line="500" w:lineRule="exact"/>
              <w:rPr>
                <w:rFonts w:hint="default" w:ascii="Times New Roman" w:hAnsi="Times New Roman" w:eastAsia="方正仿宋_GBK" w:cs="Times New Roman"/>
                <w:color w:val="auto"/>
                <w:sz w:val="28"/>
                <w:szCs w:val="28"/>
                <w:lang w:val="en-US" w:eastAsia="zh-CN"/>
              </w:rPr>
            </w:pPr>
          </w:p>
        </w:tc>
        <w:tc>
          <w:tcPr>
            <w:tcW w:w="1596" w:type="pct"/>
            <w:noWrap/>
            <w:vAlign w:val="center"/>
          </w:tcPr>
          <w:p w14:paraId="693D96BA">
            <w:pPr>
              <w:keepNext w:val="0"/>
              <w:keepLines w:val="0"/>
              <w:pageBreakBefore w:val="0"/>
              <w:shd w:val="clear"/>
              <w:kinsoku/>
              <w:wordWrap/>
              <w:overflowPunct/>
              <w:topLinePunct w:val="0"/>
              <w:autoSpaceDE/>
              <w:autoSpaceDN/>
              <w:bidi w:val="0"/>
              <w:adjustRightInd/>
              <w:snapToGrid/>
              <w:spacing w:line="500" w:lineRule="exac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建立医保支付资格管理制度升级改造</w:t>
            </w:r>
          </w:p>
        </w:tc>
        <w:tc>
          <w:tcPr>
            <w:tcW w:w="2095" w:type="pct"/>
            <w:noWrap w:val="0"/>
            <w:vAlign w:val="center"/>
          </w:tcPr>
          <w:p w14:paraId="18DF9F51">
            <w:pPr>
              <w:keepNext w:val="0"/>
              <w:keepLines w:val="0"/>
              <w:pageBreakBefore w:val="0"/>
              <w:shd w:val="clear"/>
              <w:kinsoku/>
              <w:wordWrap/>
              <w:overflowPunct/>
              <w:topLinePunct w:val="0"/>
              <w:autoSpaceDE/>
              <w:autoSpaceDN/>
              <w:bidi w:val="0"/>
              <w:adjustRightInd/>
              <w:snapToGrid/>
              <w:spacing w:line="500" w:lineRule="exact"/>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需求分析、本地化改造、系统验证测试、系统上线等运营服务</w:t>
            </w:r>
          </w:p>
        </w:tc>
      </w:tr>
    </w:tbl>
    <w:p w14:paraId="4A980CC6">
      <w:pPr>
        <w:pStyle w:val="19"/>
        <w:kinsoku/>
        <w:wordWrap/>
        <w:overflowPunct/>
        <w:topLinePunct w:val="0"/>
        <w:autoSpaceDE/>
        <w:autoSpaceDN/>
        <w:bidi w:val="0"/>
        <w:spacing w:line="560" w:lineRule="exact"/>
        <w:rPr>
          <w:rFonts w:hint="default" w:ascii="Times New Roman" w:hAnsi="Times New Roman" w:cs="Times New Roman"/>
          <w:lang w:eastAsia="zh-CN"/>
        </w:rPr>
      </w:pPr>
    </w:p>
    <w:p w14:paraId="590FB6A7">
      <w:pPr>
        <w:pStyle w:val="3"/>
        <w:keepNext/>
        <w:keepLines/>
        <w:pageBreakBefore/>
        <w:widowControl w:val="0"/>
        <w:shd w:val="clear"/>
        <w:kinsoku/>
        <w:wordWrap/>
        <w:overflowPunct/>
        <w:topLinePunct w:val="0"/>
        <w:autoSpaceDE/>
        <w:autoSpaceDN/>
        <w:bidi w:val="0"/>
        <w:adjustRightInd/>
        <w:snapToGrid/>
        <w:spacing w:line="560" w:lineRule="exact"/>
        <w:ind w:left="431" w:hanging="431"/>
        <w:jc w:val="center"/>
        <w:textAlignment w:val="auto"/>
        <w:rPr>
          <w:rFonts w:hint="default" w:ascii="Times New Roman" w:hAnsi="Times New Roman" w:eastAsia="方正黑体_GBK" w:cs="Times New Roman"/>
          <w:b w:val="0"/>
          <w:bCs/>
          <w:color w:val="auto"/>
          <w:sz w:val="30"/>
          <w:szCs w:val="30"/>
          <w:lang w:val="en-US" w:eastAsia="zh-CN"/>
        </w:rPr>
      </w:pPr>
      <w:bookmarkStart w:id="6" w:name="_Toc9538"/>
      <w:r>
        <w:rPr>
          <w:rFonts w:hint="default" w:ascii="Times New Roman" w:hAnsi="Times New Roman" w:eastAsia="方正黑体_GBK" w:cs="Times New Roman"/>
          <w:b w:val="0"/>
          <w:bCs/>
          <w:color w:val="auto"/>
          <w:sz w:val="30"/>
          <w:szCs w:val="30"/>
          <w:lang w:val="en-US" w:eastAsia="zh-CN"/>
        </w:rPr>
        <w:t>项目建设需求</w:t>
      </w:r>
      <w:bookmarkEnd w:id="6"/>
    </w:p>
    <w:p w14:paraId="4961DB96">
      <w:pPr>
        <w:pStyle w:val="4"/>
        <w:shd w:val="clear"/>
        <w:kinsoku/>
        <w:wordWrap/>
        <w:overflowPunct/>
        <w:topLinePunct w:val="0"/>
        <w:autoSpaceDE/>
        <w:autoSpaceDN/>
        <w:bidi w:val="0"/>
        <w:spacing w:line="560" w:lineRule="exact"/>
        <w:jc w:val="center"/>
        <w:rPr>
          <w:rFonts w:hint="default" w:ascii="Times New Roman" w:hAnsi="Times New Roman" w:eastAsia="方正黑体_GBK" w:cs="Times New Roman"/>
          <w:b w:val="0"/>
          <w:bCs/>
          <w:color w:val="auto"/>
          <w:sz w:val="30"/>
          <w:szCs w:val="30"/>
          <w:lang w:val="en-US" w:eastAsia="zh-CN"/>
        </w:rPr>
      </w:pPr>
      <w:bookmarkStart w:id="7" w:name="_Toc4216"/>
      <w:r>
        <w:rPr>
          <w:rFonts w:hint="default" w:ascii="Times New Roman" w:hAnsi="Times New Roman" w:eastAsia="方正黑体_GBK" w:cs="Times New Roman"/>
          <w:b w:val="0"/>
          <w:bCs/>
          <w:color w:val="auto"/>
          <w:sz w:val="30"/>
          <w:szCs w:val="30"/>
          <w:lang w:val="en-US" w:eastAsia="zh-CN"/>
        </w:rPr>
        <w:t>系统建设需求</w:t>
      </w:r>
      <w:bookmarkEnd w:id="7"/>
    </w:p>
    <w:p w14:paraId="474EB71E">
      <w:pPr>
        <w:pStyle w:val="6"/>
        <w:kinsoku/>
        <w:wordWrap/>
        <w:overflowPunct/>
        <w:topLinePunct w:val="0"/>
        <w:autoSpaceDE/>
        <w:autoSpaceDN/>
        <w:bidi w:val="0"/>
        <w:spacing w:line="560" w:lineRule="exact"/>
        <w:ind w:left="720" w:leftChars="0" w:hanging="720" w:firstLineChars="0"/>
        <w:rPr>
          <w:rFonts w:hint="default" w:ascii="Times New Roman" w:hAnsi="Times New Roman" w:eastAsia="方正仿宋_GBK" w:cs="Times New Roman"/>
          <w:b/>
          <w:bCs w:val="0"/>
          <w:sz w:val="30"/>
          <w:szCs w:val="30"/>
          <w:lang w:val="en-US" w:eastAsia="zh-CN"/>
        </w:rPr>
      </w:pPr>
      <w:bookmarkStart w:id="8" w:name="_Toc15757"/>
      <w:bookmarkStart w:id="9" w:name="_Toc31359"/>
      <w:r>
        <w:rPr>
          <w:rFonts w:hint="default" w:ascii="Times New Roman" w:hAnsi="Times New Roman" w:eastAsia="方正仿宋_GBK" w:cs="Times New Roman"/>
          <w:b/>
          <w:bCs w:val="0"/>
          <w:sz w:val="30"/>
          <w:szCs w:val="30"/>
          <w:lang w:val="en-US" w:eastAsia="zh-CN"/>
        </w:rPr>
        <w:t>基本医疗保险长效机制政策升级改造</w:t>
      </w:r>
      <w:bookmarkEnd w:id="8"/>
    </w:p>
    <w:p w14:paraId="04231C05">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进一步放开放宽在常住地、就业地参加基本医保的户籍限制。特大城市、超大城市要切实落实持居住证参保政策，推动外地户籍中小学生、学龄前儿童在常住地参加居民医保。超大城市要取消灵活就业人员、农民工、新就业形态人员在就业地参加基本医保的户籍限制，做好在就业地参加职工医保工作。鼓励大学生在学籍地参加居民医保，落实参保相关政策，抓好大学生参加居民医保扩面工作。主要包含内容有：①政策分析；②居民参保登记配置及改造；③我的医保档案功能改造；④单位网厅功能改造；⑤一人一档功能配置及改造；⑥城乡居民参保登记优化配置及改造；⑦居民缴费到账优化配置及改造；⑧普通居民享受时间系统改造；⑨居民延缴期享受条件系统改造；⑩资助参保人员享受条件系统改造；⑪新生儿享受条件系统改造；⑫大学新生享受条件系统改造。</w:t>
      </w:r>
    </w:p>
    <w:p w14:paraId="752AEA05">
      <w:pPr>
        <w:pStyle w:val="6"/>
        <w:kinsoku/>
        <w:wordWrap/>
        <w:overflowPunct/>
        <w:topLinePunct w:val="0"/>
        <w:autoSpaceDE/>
        <w:autoSpaceDN/>
        <w:bidi w:val="0"/>
        <w:spacing w:line="560" w:lineRule="exact"/>
        <w:ind w:left="720" w:leftChars="0" w:hanging="720" w:firstLineChars="0"/>
        <w:rPr>
          <w:rFonts w:hint="default" w:ascii="Times New Roman" w:hAnsi="Times New Roman" w:eastAsia="方正仿宋_GBK" w:cs="Times New Roman"/>
          <w:b/>
          <w:bCs w:val="0"/>
          <w:sz w:val="30"/>
          <w:szCs w:val="30"/>
          <w:lang w:val="en-US" w:eastAsia="zh-CN"/>
        </w:rPr>
      </w:pPr>
      <w:bookmarkStart w:id="10" w:name="_Toc13037"/>
      <w:r>
        <w:rPr>
          <w:rFonts w:hint="default" w:ascii="Times New Roman" w:hAnsi="Times New Roman" w:eastAsia="方正仿宋_GBK" w:cs="Times New Roman"/>
          <w:b/>
          <w:bCs w:val="0"/>
          <w:sz w:val="30"/>
          <w:szCs w:val="30"/>
          <w:lang w:val="en-US" w:eastAsia="zh-CN"/>
        </w:rPr>
        <w:t>建立医保支付资格管理制度升级改造</w:t>
      </w:r>
      <w:bookmarkEnd w:id="10"/>
    </w:p>
    <w:p w14:paraId="47A43DF2">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color w:val="auto"/>
          <w:sz w:val="30"/>
          <w:szCs w:val="30"/>
          <w:lang w:val="en-US" w:eastAsia="zh-CN"/>
        </w:rPr>
        <w:t>建立医保支付资格管理制度，业务需求主要集中在规范定点机构与人员管理。一方面，需明确纳入管理的人员范围，涵盖定点医药机构相关责任人及医保服务人员。另一方面，要构建动态管理机制，对违规行为及时记录、处理，如暂停或终止支付资格，形成有效震慑。同时，搭建信息化管理平台，实现数据实时更新与共享，便于监管部门精准掌握情况。此外，还需完善配套政策，明确处理标准与流程，保障制度公平公正实施，确保医保基金安全高效使用。主要包含内容有：①政策分析；②承诺书上传功能配置及改造；③记分维护功能配置及改造；④陈述申辩业务配置及改造；⑤记分修复业务配置及改造；⑥资格恢复业务配置及改造。</w:t>
      </w:r>
    </w:p>
    <w:p w14:paraId="44804F0C">
      <w:pPr>
        <w:pStyle w:val="4"/>
        <w:shd w:val="clear"/>
        <w:kinsoku/>
        <w:wordWrap/>
        <w:overflowPunct/>
        <w:topLinePunct w:val="0"/>
        <w:autoSpaceDE/>
        <w:autoSpaceDN/>
        <w:bidi w:val="0"/>
        <w:spacing w:line="560" w:lineRule="exact"/>
        <w:rPr>
          <w:rFonts w:hint="default" w:ascii="Times New Roman" w:hAnsi="Times New Roman" w:eastAsia="方正仿宋_GBK" w:cs="Times New Roman"/>
          <w:b/>
          <w:bCs w:val="0"/>
          <w:color w:val="auto"/>
          <w:sz w:val="30"/>
          <w:szCs w:val="30"/>
          <w:lang w:val="en-US" w:eastAsia="zh-CN"/>
        </w:rPr>
      </w:pPr>
      <w:r>
        <w:rPr>
          <w:rFonts w:hint="default" w:ascii="Times New Roman" w:hAnsi="Times New Roman" w:eastAsia="方正仿宋_GBK" w:cs="Times New Roman"/>
          <w:b/>
          <w:bCs w:val="0"/>
          <w:color w:val="auto"/>
          <w:sz w:val="30"/>
          <w:szCs w:val="30"/>
          <w:lang w:val="en-US" w:eastAsia="zh-CN"/>
        </w:rPr>
        <w:t>性能需求</w:t>
      </w:r>
      <w:bookmarkEnd w:id="9"/>
    </w:p>
    <w:p w14:paraId="47756C91">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本项目要求系统能够实现快速响应，同时应充分考虑业务的特殊性和复杂性，确保系统的总体性能满足要求，不发生长时间业务中断、阻塞、死锁等情况。并保证在今后一段时间内业务增长的情况下，系统需要具有较高的性能。</w:t>
      </w:r>
    </w:p>
    <w:p w14:paraId="69409A6F">
      <w:pPr>
        <w:pStyle w:val="4"/>
        <w:shd w:val="clear"/>
        <w:kinsoku/>
        <w:wordWrap/>
        <w:overflowPunct/>
        <w:topLinePunct w:val="0"/>
        <w:autoSpaceDE/>
        <w:autoSpaceDN/>
        <w:bidi w:val="0"/>
        <w:spacing w:line="560" w:lineRule="exact"/>
        <w:rPr>
          <w:rFonts w:hint="default" w:ascii="Times New Roman" w:hAnsi="Times New Roman" w:eastAsia="方正仿宋_GBK" w:cs="Times New Roman"/>
          <w:b/>
          <w:bCs w:val="0"/>
          <w:color w:val="auto"/>
          <w:sz w:val="30"/>
          <w:szCs w:val="30"/>
          <w:lang w:val="en-US" w:eastAsia="zh-CN"/>
        </w:rPr>
      </w:pPr>
      <w:bookmarkStart w:id="11" w:name="_Toc31328"/>
      <w:r>
        <w:rPr>
          <w:rFonts w:hint="default" w:ascii="Times New Roman" w:hAnsi="Times New Roman" w:eastAsia="方正仿宋_GBK" w:cs="Times New Roman"/>
          <w:b/>
          <w:bCs w:val="0"/>
          <w:color w:val="auto"/>
          <w:sz w:val="30"/>
          <w:szCs w:val="30"/>
          <w:lang w:val="en-US" w:eastAsia="zh-CN"/>
        </w:rPr>
        <w:t>安全需求</w:t>
      </w:r>
      <w:bookmarkEnd w:id="11"/>
    </w:p>
    <w:p w14:paraId="51C023C3">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bookmarkStart w:id="12" w:name="_Toc24770"/>
      <w:r>
        <w:rPr>
          <w:rFonts w:hint="default" w:ascii="Times New Roman" w:hAnsi="Times New Roman" w:eastAsia="方正仿宋_GBK" w:cs="Times New Roman"/>
          <w:color w:val="auto"/>
          <w:sz w:val="30"/>
          <w:szCs w:val="30"/>
          <w:lang w:val="en-US" w:eastAsia="zh-CN"/>
        </w:rPr>
        <w:t>应用软件必须对每一位使用应用软件的操作人员，都要验证其身份和权限。</w:t>
      </w:r>
    </w:p>
    <w:p w14:paraId="54F6D9DB">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应用软件对于启动任何一个有潜在风险的功能，至少有两个或两个以上的确认动作，给业务经办人以纠正错误的机会，借以避免偶然的误操作造成不可恢复错误。</w:t>
      </w:r>
    </w:p>
    <w:p w14:paraId="1B921A61">
      <w:pPr>
        <w:pStyle w:val="4"/>
        <w:kinsoku/>
        <w:wordWrap/>
        <w:overflowPunct/>
        <w:topLinePunct w:val="0"/>
        <w:autoSpaceDE/>
        <w:autoSpaceDN/>
        <w:bidi w:val="0"/>
        <w:spacing w:line="560" w:lineRule="exact"/>
        <w:rPr>
          <w:rFonts w:hint="default" w:ascii="Times New Roman" w:hAnsi="Times New Roman" w:eastAsia="方正仿宋_GBK" w:cs="Times New Roman"/>
          <w:b/>
          <w:bCs w:val="0"/>
          <w:sz w:val="30"/>
          <w:szCs w:val="30"/>
          <w:lang w:val="en-US" w:eastAsia="zh-CN"/>
        </w:rPr>
      </w:pPr>
      <w:r>
        <w:rPr>
          <w:rFonts w:hint="default" w:ascii="Times New Roman" w:hAnsi="Times New Roman" w:eastAsia="方正仿宋_GBK" w:cs="Times New Roman"/>
          <w:b/>
          <w:bCs w:val="0"/>
          <w:sz w:val="30"/>
          <w:szCs w:val="30"/>
          <w:lang w:val="en-US" w:eastAsia="zh-CN"/>
        </w:rPr>
        <w:t>其他</w:t>
      </w:r>
    </w:p>
    <w:p w14:paraId="3D6CC8FF">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本项目需要采购人在</w:t>
      </w:r>
      <w:r>
        <w:rPr>
          <w:rFonts w:hint="default" w:ascii="Times New Roman" w:hAnsi="Times New Roman" w:eastAsia="方正仿宋_GBK" w:cs="Times New Roman"/>
          <w:sz w:val="30"/>
          <w:szCs w:val="30"/>
          <w:lang w:val="en-US" w:eastAsia="zh-CN"/>
        </w:rPr>
        <w:t>国家</w:t>
      </w:r>
      <w:r>
        <w:rPr>
          <w:rFonts w:hint="default" w:ascii="Times New Roman" w:hAnsi="Times New Roman" w:eastAsia="方正仿宋_GBK" w:cs="Times New Roman"/>
          <w:sz w:val="30"/>
          <w:szCs w:val="30"/>
        </w:rPr>
        <w:t>医保信息平台基础上进行政策适配，</w:t>
      </w:r>
      <w:r>
        <w:rPr>
          <w:rFonts w:hint="default" w:ascii="Times New Roman" w:hAnsi="Times New Roman" w:eastAsia="方正仿宋_GBK" w:cs="Times New Roman"/>
          <w:sz w:val="30"/>
          <w:szCs w:val="30"/>
          <w:lang w:val="en-US" w:eastAsia="zh-CN"/>
        </w:rPr>
        <w:t>供应商</w:t>
      </w:r>
      <w:r>
        <w:rPr>
          <w:rFonts w:hint="default" w:ascii="Times New Roman" w:hAnsi="Times New Roman" w:eastAsia="方正仿宋_GBK" w:cs="Times New Roman"/>
          <w:sz w:val="30"/>
          <w:szCs w:val="30"/>
        </w:rPr>
        <w:t>如需</w:t>
      </w:r>
      <w:r>
        <w:rPr>
          <w:rFonts w:hint="default" w:ascii="Times New Roman" w:hAnsi="Times New Roman" w:eastAsia="方正仿宋_GBK" w:cs="Times New Roman"/>
          <w:sz w:val="30"/>
          <w:szCs w:val="30"/>
          <w:lang w:val="en-US" w:eastAsia="zh-CN"/>
        </w:rPr>
        <w:t>国家</w:t>
      </w:r>
      <w:r>
        <w:rPr>
          <w:rFonts w:hint="default" w:ascii="Times New Roman" w:hAnsi="Times New Roman" w:eastAsia="方正仿宋_GBK" w:cs="Times New Roman"/>
          <w:sz w:val="30"/>
          <w:szCs w:val="30"/>
        </w:rPr>
        <w:t>医保信息平台项目组提供配合的，由</w:t>
      </w:r>
      <w:r>
        <w:rPr>
          <w:rFonts w:hint="default" w:ascii="Times New Roman" w:hAnsi="Times New Roman" w:eastAsia="方正仿宋_GBK" w:cs="Times New Roman"/>
          <w:sz w:val="30"/>
          <w:szCs w:val="30"/>
          <w:lang w:val="en-US" w:eastAsia="zh-CN"/>
        </w:rPr>
        <w:t>供应商</w:t>
      </w:r>
      <w:r>
        <w:rPr>
          <w:rFonts w:hint="default" w:ascii="Times New Roman" w:hAnsi="Times New Roman" w:eastAsia="方正仿宋_GBK" w:cs="Times New Roman"/>
          <w:sz w:val="30"/>
          <w:szCs w:val="30"/>
        </w:rPr>
        <w:t>自行与</w:t>
      </w:r>
      <w:r>
        <w:rPr>
          <w:rFonts w:hint="default" w:ascii="Times New Roman" w:hAnsi="Times New Roman" w:eastAsia="方正仿宋_GBK" w:cs="Times New Roman"/>
          <w:sz w:val="30"/>
          <w:szCs w:val="30"/>
          <w:lang w:val="en-US" w:eastAsia="zh-CN"/>
        </w:rPr>
        <w:t>国家</w:t>
      </w:r>
      <w:r>
        <w:rPr>
          <w:rFonts w:hint="default" w:ascii="Times New Roman" w:hAnsi="Times New Roman" w:eastAsia="方正仿宋_GBK" w:cs="Times New Roman"/>
          <w:sz w:val="30"/>
          <w:szCs w:val="30"/>
        </w:rPr>
        <w:t>医保信息平台项目组协商并承担相关费用，采购人不再另行支付费用。（须提供承诺函，格式自拟）</w:t>
      </w:r>
    </w:p>
    <w:p w14:paraId="112CC10A">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仿宋_GBK" w:cs="Times New Roman"/>
          <w:sz w:val="30"/>
          <w:szCs w:val="30"/>
        </w:rPr>
      </w:pPr>
    </w:p>
    <w:p w14:paraId="56CF4E71">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黑体_GBK" w:cs="Times New Roman"/>
          <w:b w:val="0"/>
          <w:bCs w:val="0"/>
          <w:color w:val="auto"/>
          <w:sz w:val="30"/>
          <w:szCs w:val="30"/>
          <w:lang w:val="en-US" w:eastAsia="zh-CN"/>
        </w:rPr>
      </w:pPr>
      <w:r>
        <w:rPr>
          <w:rFonts w:hint="default" w:ascii="Times New Roman" w:hAnsi="Times New Roman" w:eastAsia="方正黑体_GBK" w:cs="Times New Roman"/>
          <w:b w:val="0"/>
          <w:bCs w:val="0"/>
          <w:color w:val="auto"/>
          <w:sz w:val="30"/>
          <w:szCs w:val="30"/>
          <w:lang w:val="en-US" w:eastAsia="zh-CN"/>
        </w:rPr>
        <w:t>第三章  项目实施要求</w:t>
      </w:r>
      <w:bookmarkEnd w:id="12"/>
    </w:p>
    <w:p w14:paraId="481F5CBB">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bookmarkStart w:id="13" w:name="_Toc8725"/>
      <w:r>
        <w:rPr>
          <w:rFonts w:hint="default" w:ascii="Times New Roman" w:hAnsi="Times New Roman" w:eastAsia="方正仿宋_GBK" w:cs="Times New Roman"/>
          <w:color w:val="auto"/>
          <w:sz w:val="30"/>
          <w:szCs w:val="30"/>
          <w:lang w:val="en-US" w:eastAsia="zh-CN"/>
        </w:rPr>
        <w:t>项目组织管理要求</w:t>
      </w:r>
      <w:bookmarkEnd w:id="13"/>
    </w:p>
    <w:p w14:paraId="1F319310">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1、供应商应充分考虑满足投标项目的建设要求，提出完整的项目组织管理方案，包括项目组织架构、人力资源管理等，并阐述项目建设中业主方的职责。</w:t>
      </w:r>
    </w:p>
    <w:p w14:paraId="3DA38392">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2、项目核心人员的更替需要提出书面申请，并征得业主方同意后方可替换。</w:t>
      </w:r>
    </w:p>
    <w:p w14:paraId="01A82B4C">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ab/>
      </w:r>
      <w:bookmarkStart w:id="14" w:name="_Toc12690"/>
      <w:r>
        <w:rPr>
          <w:rFonts w:hint="default" w:ascii="Times New Roman" w:hAnsi="Times New Roman" w:eastAsia="方正仿宋_GBK" w:cs="Times New Roman"/>
          <w:color w:val="auto"/>
          <w:sz w:val="30"/>
          <w:szCs w:val="30"/>
          <w:lang w:val="en-US" w:eastAsia="zh-CN"/>
        </w:rPr>
        <w:t>项目进度管理要求</w:t>
      </w:r>
      <w:bookmarkEnd w:id="14"/>
    </w:p>
    <w:p w14:paraId="24512FBB">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1、供应商需要根据项目工期要求，提出项目实施进度计划，列出详细的工程进度安排表，并提出相应的保障措施。</w:t>
      </w:r>
    </w:p>
    <w:p w14:paraId="73403451">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2、供应商在项目实施过程中需要分别按周、月提交进度报告，对项目问题及进度延迟原因进行说明，制定合理的解决措施并有效执行。</w:t>
      </w:r>
    </w:p>
    <w:p w14:paraId="42A9BAE3">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bookmarkStart w:id="15" w:name="_Toc23404"/>
      <w:r>
        <w:rPr>
          <w:rFonts w:hint="default" w:ascii="Times New Roman" w:hAnsi="Times New Roman" w:eastAsia="方正仿宋_GBK" w:cs="Times New Roman"/>
          <w:color w:val="auto"/>
          <w:sz w:val="30"/>
          <w:szCs w:val="30"/>
          <w:lang w:val="en-US" w:eastAsia="zh-CN"/>
        </w:rPr>
        <w:t>项目质量管理要求</w:t>
      </w:r>
      <w:bookmarkEnd w:id="15"/>
    </w:p>
    <w:p w14:paraId="7CB1948E">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1、供应商应按ISO9001及CMM质量管理体系规范要求，针对招标项目实施过程及交付结果进行质量规划、管理、控制。</w:t>
      </w:r>
    </w:p>
    <w:p w14:paraId="23E3EE37">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2、符合国家标准有关软件开发技术规范、软件文档管理和软件验收标准的要求。</w:t>
      </w:r>
    </w:p>
    <w:p w14:paraId="04AF505F">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3、供应商应提供详细的质量保证、质量控制措施，明确质量保证、控制内容与活动。</w:t>
      </w:r>
    </w:p>
    <w:p w14:paraId="42A666F4">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4、供应商一旦被选中，需要接受业主方的质量监督检查，提供真实有效的相关质量活动记录、证据，无条件接受业主方提出的质量问题整改要求，承担因质量问题导致的进度延迟责任。</w:t>
      </w:r>
    </w:p>
    <w:p w14:paraId="41208D53">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项目风险管理要求</w:t>
      </w:r>
    </w:p>
    <w:p w14:paraId="6A64CA77">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供应商应充分认识到项目风险管理的重要性，在投标文件中必须识别分析项目中的各类风险因素，并提出相应的对策。</w:t>
      </w:r>
    </w:p>
    <w:p w14:paraId="49F2FB9D">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项目测试要求</w:t>
      </w:r>
    </w:p>
    <w:p w14:paraId="0E57E66F">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1、供应商必须提供详细测试方案，包括采用测试目的、测试方法与技术以及测试流程等，并能对测试问题进行有效处理。</w:t>
      </w:r>
    </w:p>
    <w:p w14:paraId="2C28B315">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2、在工程实施过程中，供应商应先拟出一个测试方案，具体到每一个测试步骤，与用户讨论通过后，方可按计划进行测试。</w:t>
      </w:r>
    </w:p>
    <w:p w14:paraId="27ED9144">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项目培训要求</w:t>
      </w:r>
    </w:p>
    <w:p w14:paraId="090F38BB">
      <w:pPr>
        <w:numPr>
          <w:ilvl w:val="0"/>
          <w:numId w:val="3"/>
        </w:num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rPr>
      </w:pPr>
      <w:r>
        <w:rPr>
          <w:rFonts w:hint="default" w:ascii="Times New Roman" w:hAnsi="Times New Roman" w:eastAsia="方正仿宋_GBK" w:cs="Times New Roman"/>
          <w:color w:val="auto"/>
          <w:sz w:val="30"/>
          <w:szCs w:val="30"/>
        </w:rPr>
        <w:t>培训目的：</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负责对</w:t>
      </w:r>
      <w:r>
        <w:rPr>
          <w:rFonts w:hint="default" w:ascii="Times New Roman" w:hAnsi="Times New Roman" w:eastAsia="方正仿宋_GBK" w:cs="Times New Roman"/>
          <w:color w:val="auto"/>
          <w:sz w:val="30"/>
          <w:szCs w:val="30"/>
          <w:lang w:eastAsia="zh-CN"/>
        </w:rPr>
        <w:t>甲方</w:t>
      </w:r>
      <w:r>
        <w:rPr>
          <w:rFonts w:hint="default" w:ascii="Times New Roman" w:hAnsi="Times New Roman" w:eastAsia="方正仿宋_GBK" w:cs="Times New Roman"/>
          <w:color w:val="auto"/>
          <w:sz w:val="30"/>
          <w:szCs w:val="30"/>
        </w:rPr>
        <w:t>进行全面的技术培训（培训费用包含在投标报价中），使</w:t>
      </w:r>
      <w:r>
        <w:rPr>
          <w:rFonts w:hint="default" w:ascii="Times New Roman" w:hAnsi="Times New Roman" w:eastAsia="方正仿宋_GBK" w:cs="Times New Roman"/>
          <w:color w:val="auto"/>
          <w:sz w:val="30"/>
          <w:szCs w:val="30"/>
          <w:lang w:eastAsia="zh-CN"/>
        </w:rPr>
        <w:t>甲方</w:t>
      </w:r>
      <w:r>
        <w:rPr>
          <w:rFonts w:hint="default" w:ascii="Times New Roman" w:hAnsi="Times New Roman" w:eastAsia="方正仿宋_GBK" w:cs="Times New Roman"/>
          <w:color w:val="auto"/>
          <w:sz w:val="30"/>
          <w:szCs w:val="30"/>
        </w:rPr>
        <w:t>达到能独立进行管理、维护和故障处理等工作，以便</w:t>
      </w:r>
      <w:r>
        <w:rPr>
          <w:rFonts w:hint="default" w:ascii="Times New Roman" w:hAnsi="Times New Roman" w:eastAsia="方正仿宋_GBK" w:cs="Times New Roman"/>
          <w:color w:val="auto"/>
          <w:sz w:val="30"/>
          <w:szCs w:val="30"/>
          <w:lang w:eastAsia="zh-CN"/>
        </w:rPr>
        <w:t>甲方</w:t>
      </w:r>
      <w:r>
        <w:rPr>
          <w:rFonts w:hint="default" w:ascii="Times New Roman" w:hAnsi="Times New Roman" w:eastAsia="方正仿宋_GBK" w:cs="Times New Roman"/>
          <w:color w:val="auto"/>
          <w:sz w:val="30"/>
          <w:szCs w:val="30"/>
        </w:rPr>
        <w:t>所使用的软件产品能够正常、安全地运行。</w:t>
      </w:r>
    </w:p>
    <w:p w14:paraId="30B564EA">
      <w:pPr>
        <w:numPr>
          <w:ilvl w:val="0"/>
          <w:numId w:val="3"/>
        </w:num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rPr>
      </w:pPr>
      <w:r>
        <w:rPr>
          <w:rFonts w:hint="default" w:ascii="Times New Roman" w:hAnsi="Times New Roman" w:eastAsia="方正仿宋_GBK" w:cs="Times New Roman"/>
          <w:color w:val="auto"/>
          <w:sz w:val="30"/>
          <w:szCs w:val="30"/>
        </w:rPr>
        <w:t>培训对象及资料：系统管理员和系统使用人员，由</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提供培训教材。</w:t>
      </w:r>
    </w:p>
    <w:p w14:paraId="734B1A73">
      <w:pPr>
        <w:numPr>
          <w:ilvl w:val="0"/>
          <w:numId w:val="3"/>
        </w:num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rPr>
      </w:pPr>
      <w:r>
        <w:rPr>
          <w:rFonts w:hint="default" w:ascii="Times New Roman" w:hAnsi="Times New Roman" w:eastAsia="方正仿宋_GBK" w:cs="Times New Roman"/>
          <w:color w:val="auto"/>
          <w:sz w:val="30"/>
          <w:szCs w:val="30"/>
        </w:rPr>
        <w:t>培训要求：</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除了对业务经办人员的专项培训以外，应对</w:t>
      </w:r>
      <w:r>
        <w:rPr>
          <w:rFonts w:hint="default" w:ascii="Times New Roman" w:hAnsi="Times New Roman" w:eastAsia="方正仿宋_GBK" w:cs="Times New Roman"/>
          <w:color w:val="auto"/>
          <w:sz w:val="30"/>
          <w:szCs w:val="30"/>
          <w:lang w:eastAsia="zh-CN"/>
        </w:rPr>
        <w:t>甲方</w:t>
      </w:r>
      <w:r>
        <w:rPr>
          <w:rFonts w:hint="default" w:ascii="Times New Roman" w:hAnsi="Times New Roman" w:eastAsia="方正仿宋_GBK" w:cs="Times New Roman"/>
          <w:color w:val="auto"/>
          <w:sz w:val="30"/>
          <w:szCs w:val="30"/>
        </w:rPr>
        <w:t>的系统维护人员进行系统维护培训。</w:t>
      </w:r>
    </w:p>
    <w:p w14:paraId="318D659A">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rPr>
      </w:pPr>
      <w:r>
        <w:rPr>
          <w:rFonts w:hint="default" w:ascii="Times New Roman" w:hAnsi="Times New Roman" w:eastAsia="方正仿宋_GBK" w:cs="Times New Roman"/>
          <w:color w:val="auto"/>
          <w:kern w:val="0"/>
          <w:sz w:val="30"/>
          <w:szCs w:val="30"/>
        </w:rPr>
        <w:t>对于所有培训，</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kern w:val="0"/>
          <w:sz w:val="30"/>
          <w:szCs w:val="30"/>
        </w:rPr>
        <w:t>必须派出具有相应专业资格和实际工作、教育经验的教师和相应的辅导人员进行培训，主要培训教员应至少具有三年的教学经验，培训所使用的语言必须是中文，否则</w:t>
      </w:r>
      <w:r>
        <w:rPr>
          <w:rFonts w:hint="default" w:ascii="Times New Roman" w:hAnsi="Times New Roman" w:eastAsia="方正仿宋_GBK" w:cs="Times New Roman"/>
          <w:color w:val="auto"/>
          <w:kern w:val="0"/>
          <w:sz w:val="30"/>
          <w:szCs w:val="30"/>
          <w:lang w:eastAsia="zh-CN"/>
        </w:rPr>
        <w:t>乙方</w:t>
      </w:r>
      <w:r>
        <w:rPr>
          <w:rFonts w:hint="default" w:ascii="Times New Roman" w:hAnsi="Times New Roman" w:eastAsia="方正仿宋_GBK" w:cs="Times New Roman"/>
          <w:color w:val="auto"/>
          <w:kern w:val="0"/>
          <w:sz w:val="30"/>
          <w:szCs w:val="30"/>
        </w:rPr>
        <w:t>必须提供相应的翻译。</w:t>
      </w:r>
    </w:p>
    <w:p w14:paraId="39ECFB9F">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rPr>
      </w:pP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kern w:val="0"/>
          <w:sz w:val="30"/>
          <w:szCs w:val="30"/>
        </w:rPr>
        <w:t>应将所有培训费用（含培训教材费）及各项支出列入培训费用价格中，计入总价。</w:t>
      </w:r>
    </w:p>
    <w:p w14:paraId="5AE063A9">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rPr>
      </w:pPr>
      <w:r>
        <w:rPr>
          <w:rFonts w:hint="default" w:ascii="Times New Roman" w:hAnsi="Times New Roman" w:eastAsia="方正仿宋_GBK" w:cs="Times New Roman"/>
          <w:color w:val="auto"/>
          <w:kern w:val="0"/>
          <w:sz w:val="30"/>
          <w:szCs w:val="30"/>
        </w:rPr>
        <w:t>所有的培训资料必须是中文书写。</w:t>
      </w:r>
    </w:p>
    <w:p w14:paraId="6BABA143">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bookmarkStart w:id="16" w:name="_Toc7386"/>
      <w:r>
        <w:rPr>
          <w:rFonts w:hint="default" w:ascii="Times New Roman" w:hAnsi="Times New Roman" w:eastAsia="方正仿宋_GBK" w:cs="Times New Roman"/>
          <w:color w:val="auto"/>
          <w:sz w:val="30"/>
          <w:szCs w:val="30"/>
          <w:lang w:val="en-US" w:eastAsia="zh-CN"/>
        </w:rPr>
        <w:t>项目验收要求</w:t>
      </w:r>
      <w:bookmarkEnd w:id="16"/>
    </w:p>
    <w:p w14:paraId="0DCDBF9C">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1、验收安排</w:t>
      </w:r>
    </w:p>
    <w:p w14:paraId="76807665">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上线前，供应商需独立对系统进行为期一周的连续运行，未出现较大问题（影响系统正常使用）后通知用户方，发布到正式环境，系统正常运行15天后供应商可提出验收申请，由用户方组织验收。</w:t>
      </w:r>
    </w:p>
    <w:p w14:paraId="4E0E0643">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在运行期间，供应商应对运行期间所出现的问题及时进行解决、调整，并做好记录，此记录将作为验收的依据之一。</w:t>
      </w:r>
    </w:p>
    <w:p w14:paraId="648CD428">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2、文档交付要求</w:t>
      </w:r>
    </w:p>
    <w:p w14:paraId="6419AE53">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供应商应于验收时向业主方提供完整的信息系统改造技术资料，包括验收报告、完整的技术文档（技术文档要求进行整理、归档及提交）。</w:t>
      </w:r>
    </w:p>
    <w:p w14:paraId="523DB449">
      <w:pPr>
        <w:pStyle w:val="4"/>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lang w:val="en-US" w:eastAsia="zh-CN"/>
        </w:rPr>
        <w:t>付款方式</w:t>
      </w:r>
    </w:p>
    <w:p w14:paraId="576F5EC3">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1期：支付比例30%，合同签订生效后，采购人收到成交供应商开具符合国家财务规定的发票且收到财政下达指标后的15个工作日内，确认并启动首期款支付流程，将项目合同总金额的30%支付到成交供应商账户。</w:t>
      </w:r>
    </w:p>
    <w:p w14:paraId="30839E27">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2期：支付比例50%，</w:t>
      </w:r>
      <w:bookmarkStart w:id="17" w:name="OLE_LINK1"/>
      <w:r>
        <w:rPr>
          <w:rFonts w:hint="default" w:ascii="Times New Roman" w:hAnsi="Times New Roman" w:eastAsia="方正仿宋_GBK" w:cs="Times New Roman"/>
          <w:color w:val="auto"/>
          <w:kern w:val="0"/>
          <w:sz w:val="30"/>
          <w:szCs w:val="30"/>
          <w:lang w:val="en-US" w:eastAsia="zh-CN"/>
        </w:rPr>
        <w:t>项目上线并经采购人确认，</w:t>
      </w:r>
      <w:bookmarkEnd w:id="17"/>
      <w:r>
        <w:rPr>
          <w:rFonts w:hint="default" w:ascii="Times New Roman" w:hAnsi="Times New Roman" w:eastAsia="方正仿宋_GBK" w:cs="Times New Roman"/>
          <w:color w:val="auto"/>
          <w:kern w:val="0"/>
          <w:sz w:val="30"/>
          <w:szCs w:val="30"/>
          <w:lang w:val="en-US" w:eastAsia="zh-CN"/>
        </w:rPr>
        <w:t>成交供应商可向采购人提供符合国家财务规定的发票和申请付款手续。采购人收到财政下达指标后15个工作日内，确认并启动二期款支付流程，视实际资金到位情况，向成交供应商支付项目进度款合同总金额的50%支付到成交供应商账户。</w:t>
      </w:r>
    </w:p>
    <w:p w14:paraId="51F64E85">
      <w:pPr>
        <w:shd w:val="clear"/>
        <w:kinsoku/>
        <w:wordWrap/>
        <w:overflowPunct/>
        <w:topLinePunct w:val="0"/>
        <w:autoSpaceDE/>
        <w:autoSpaceDN/>
        <w:bidi w:val="0"/>
        <w:spacing w:before="0" w:beforeLines="0" w:line="560" w:lineRule="exact"/>
        <w:ind w:firstLine="600" w:firstLineChars="200"/>
        <w:rPr>
          <w:rFonts w:hint="default" w:ascii="Times New Roman" w:hAnsi="Times New Roman" w:eastAsia="方正仿宋_GBK" w:cs="Times New Roman"/>
          <w:color w:val="auto"/>
          <w:kern w:val="0"/>
          <w:sz w:val="30"/>
          <w:szCs w:val="30"/>
          <w:lang w:val="en-US" w:eastAsia="zh-CN"/>
        </w:rPr>
      </w:pPr>
      <w:r>
        <w:rPr>
          <w:rFonts w:hint="default" w:ascii="Times New Roman" w:hAnsi="Times New Roman" w:eastAsia="方正仿宋_GBK" w:cs="Times New Roman"/>
          <w:color w:val="auto"/>
          <w:kern w:val="0"/>
          <w:sz w:val="30"/>
          <w:szCs w:val="30"/>
          <w:lang w:val="en-US" w:eastAsia="zh-CN"/>
        </w:rPr>
        <w:t>3期：支付比例20%，项目终验合格并经采购人确认，且成交供应商向采购人提供符合国家财务规定的发票后，采购人收到财政拨付资金后15个工作日内，将余下款项项目合同总金额的20%支付到成交供应商账户。</w:t>
      </w:r>
    </w:p>
    <w:p w14:paraId="70EFCF7E">
      <w:pPr>
        <w:shd w:val="clear"/>
        <w:kinsoku/>
        <w:wordWrap/>
        <w:overflowPunct/>
        <w:topLinePunct w:val="0"/>
        <w:autoSpaceDE/>
        <w:autoSpaceDN/>
        <w:bidi w:val="0"/>
        <w:spacing w:before="0" w:beforeLines="0" w:line="560" w:lineRule="exact"/>
        <w:ind w:firstLine="600" w:firstLineChars="200"/>
        <w:jc w:val="center"/>
        <w:rPr>
          <w:rFonts w:hint="default" w:ascii="Times New Roman" w:hAnsi="Times New Roman" w:eastAsia="方正仿宋_GBK" w:cs="Times New Roman"/>
          <w:color w:val="auto"/>
          <w:kern w:val="0"/>
          <w:sz w:val="30"/>
          <w:szCs w:val="30"/>
          <w:lang w:val="en-US" w:eastAsia="zh-CN"/>
        </w:rPr>
      </w:pPr>
    </w:p>
    <w:p w14:paraId="365F3FE4">
      <w:pPr>
        <w:shd w:val="clear"/>
        <w:kinsoku/>
        <w:wordWrap/>
        <w:overflowPunct/>
        <w:topLinePunct w:val="0"/>
        <w:autoSpaceDE/>
        <w:autoSpaceDN/>
        <w:bidi w:val="0"/>
        <w:spacing w:before="0" w:beforeLines="0" w:line="560" w:lineRule="exact"/>
        <w:jc w:val="center"/>
        <w:rPr>
          <w:rFonts w:hint="default" w:ascii="Times New Roman" w:hAnsi="Times New Roman" w:eastAsia="方正黑体_GBK" w:cs="Times New Roman"/>
          <w:b w:val="0"/>
          <w:bCs/>
          <w:color w:val="auto"/>
          <w:sz w:val="30"/>
          <w:szCs w:val="30"/>
          <w:lang w:val="en-US" w:eastAsia="zh-CN"/>
        </w:rPr>
      </w:pPr>
      <w:r>
        <w:rPr>
          <w:rFonts w:hint="eastAsia" w:ascii="Times New Roman" w:hAnsi="Times New Roman" w:eastAsia="方正黑体_GBK" w:cs="Times New Roman"/>
          <w:b w:val="0"/>
          <w:bCs/>
          <w:color w:val="auto"/>
          <w:sz w:val="30"/>
          <w:szCs w:val="30"/>
          <w:lang w:val="en-US" w:eastAsia="zh-CN"/>
        </w:rPr>
        <w:t xml:space="preserve">第四章  </w:t>
      </w:r>
      <w:r>
        <w:rPr>
          <w:rFonts w:hint="default" w:ascii="Times New Roman" w:hAnsi="Times New Roman" w:eastAsia="方正黑体_GBK" w:cs="Times New Roman"/>
          <w:b w:val="0"/>
          <w:bCs/>
          <w:color w:val="auto"/>
          <w:sz w:val="30"/>
          <w:szCs w:val="30"/>
          <w:lang w:val="en-US" w:eastAsia="zh-CN"/>
        </w:rPr>
        <w:t>评分表</w:t>
      </w:r>
    </w:p>
    <w:p w14:paraId="3BF61749">
      <w:pPr>
        <w:pStyle w:val="2"/>
        <w:rPr>
          <w:rFonts w:hint="default"/>
          <w:lang w:val="en-US" w:eastAsia="zh-CN"/>
        </w:rPr>
      </w:pPr>
    </w:p>
    <w:p w14:paraId="503467D9">
      <w:pPr>
        <w:shd w:val="clear"/>
        <w:kinsoku/>
        <w:wordWrap/>
        <w:overflowPunct/>
        <w:topLinePunct w:val="0"/>
        <w:autoSpaceDE/>
        <w:autoSpaceDN/>
        <w:bidi w:val="0"/>
        <w:spacing w:line="560" w:lineRule="exact"/>
        <w:ind w:firstLine="600" w:firstLineChars="200"/>
        <w:rPr>
          <w:rFonts w:hint="default" w:ascii="Times New Roman" w:hAnsi="Times New Roman" w:eastAsia="方正仿宋_GBK" w:cs="Times New Roman"/>
          <w:color w:val="auto"/>
          <w:sz w:val="30"/>
          <w:szCs w:val="30"/>
        </w:rPr>
      </w:pPr>
      <w:r>
        <w:rPr>
          <w:rFonts w:hint="default" w:ascii="Times New Roman" w:hAnsi="Times New Roman" w:eastAsia="方正仿宋_GBK" w:cs="Times New Roman"/>
          <w:color w:val="auto"/>
          <w:sz w:val="30"/>
          <w:szCs w:val="30"/>
        </w:rPr>
        <w:t>本次</w:t>
      </w:r>
      <w:r>
        <w:rPr>
          <w:rFonts w:hint="eastAsia" w:eastAsia="方正仿宋_GBK" w:cs="Times New Roman"/>
          <w:color w:val="auto"/>
          <w:sz w:val="30"/>
          <w:szCs w:val="30"/>
          <w:lang w:eastAsia="zh-CN"/>
        </w:rPr>
        <w:t>评审</w:t>
      </w:r>
      <w:r>
        <w:rPr>
          <w:rFonts w:hint="default" w:ascii="Times New Roman" w:hAnsi="Times New Roman" w:eastAsia="方正仿宋_GBK" w:cs="Times New Roman"/>
          <w:color w:val="auto"/>
          <w:sz w:val="30"/>
          <w:szCs w:val="30"/>
        </w:rPr>
        <w:t>采用综合评分法，即对通过初审的各</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的价格、技术、商务进行评审、比较，并量化打分，最后根据各项得分之和（其中价格评分占</w:t>
      </w:r>
      <w:r>
        <w:rPr>
          <w:rFonts w:hint="default" w:ascii="Times New Roman" w:hAnsi="Times New Roman" w:eastAsia="方正仿宋_GBK" w:cs="Times New Roman"/>
          <w:color w:val="auto"/>
          <w:sz w:val="30"/>
          <w:szCs w:val="30"/>
          <w:lang w:val="en-US" w:eastAsia="zh-CN"/>
        </w:rPr>
        <w:t>1</w:t>
      </w:r>
      <w:r>
        <w:rPr>
          <w:rFonts w:hint="default" w:ascii="Times New Roman" w:hAnsi="Times New Roman" w:eastAsia="方正仿宋_GBK" w:cs="Times New Roman"/>
          <w:color w:val="auto"/>
          <w:sz w:val="30"/>
          <w:szCs w:val="30"/>
        </w:rPr>
        <w:t>0分，技术、商务评分占</w:t>
      </w:r>
      <w:r>
        <w:rPr>
          <w:rFonts w:hint="default" w:ascii="Times New Roman" w:hAnsi="Times New Roman" w:eastAsia="方正仿宋_GBK" w:cs="Times New Roman"/>
          <w:color w:val="auto"/>
          <w:sz w:val="30"/>
          <w:szCs w:val="30"/>
          <w:lang w:val="en-US" w:eastAsia="zh-CN"/>
        </w:rPr>
        <w:t>9</w:t>
      </w:r>
      <w:r>
        <w:rPr>
          <w:rFonts w:hint="default" w:ascii="Times New Roman" w:hAnsi="Times New Roman" w:eastAsia="方正仿宋_GBK" w:cs="Times New Roman"/>
          <w:color w:val="auto"/>
          <w:sz w:val="30"/>
          <w:szCs w:val="30"/>
        </w:rPr>
        <w:t>0分）计算出通过初审</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的综合评价得分。</w:t>
      </w:r>
      <w:r>
        <w:rPr>
          <w:rFonts w:hint="eastAsia" w:eastAsia="方正仿宋_GBK" w:cs="Times New Roman"/>
          <w:color w:val="auto"/>
          <w:sz w:val="30"/>
          <w:szCs w:val="30"/>
          <w:lang w:eastAsia="zh-CN"/>
        </w:rPr>
        <w:t>评审</w:t>
      </w:r>
      <w:r>
        <w:rPr>
          <w:rFonts w:hint="default" w:ascii="Times New Roman" w:hAnsi="Times New Roman" w:eastAsia="方正仿宋_GBK" w:cs="Times New Roman"/>
          <w:color w:val="auto"/>
          <w:sz w:val="30"/>
          <w:szCs w:val="30"/>
        </w:rPr>
        <w:t>委员会将按各</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综合评价得分由高到低的原则对所有通过初审的</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进行排序，推荐排名最前的</w:t>
      </w:r>
      <w:r>
        <w:rPr>
          <w:rFonts w:hint="default" w:ascii="Times New Roman" w:hAnsi="Times New Roman" w:eastAsia="方正仿宋_GBK" w:cs="Times New Roman"/>
          <w:color w:val="auto"/>
          <w:sz w:val="30"/>
          <w:szCs w:val="30"/>
          <w:lang w:eastAsia="zh-CN"/>
        </w:rPr>
        <w:t>供应商</w:t>
      </w:r>
      <w:r>
        <w:rPr>
          <w:rFonts w:hint="default" w:ascii="Times New Roman" w:hAnsi="Times New Roman" w:eastAsia="方正仿宋_GBK" w:cs="Times New Roman"/>
          <w:color w:val="auto"/>
          <w:sz w:val="30"/>
          <w:szCs w:val="30"/>
        </w:rPr>
        <w:t>为第一中标候选人。</w:t>
      </w:r>
    </w:p>
    <w:tbl>
      <w:tblPr>
        <w:tblStyle w:val="21"/>
        <w:tblW w:w="8877"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3154"/>
        <w:gridCol w:w="3155"/>
        <w:gridCol w:w="2568"/>
      </w:tblGrid>
      <w:tr w14:paraId="5FB65E9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3154" w:type="dxa"/>
            <w:tcBorders>
              <w:top w:val="single" w:color="auto" w:sz="6" w:space="0"/>
              <w:left w:val="single" w:color="auto" w:sz="6" w:space="0"/>
              <w:bottom w:val="single" w:color="auto" w:sz="6" w:space="0"/>
              <w:right w:val="single" w:color="auto" w:sz="6" w:space="0"/>
            </w:tcBorders>
            <w:vAlign w:val="center"/>
          </w:tcPr>
          <w:p w14:paraId="3C5DB3C2">
            <w:pPr>
              <w:shd w:val="clear"/>
              <w:kinsoku/>
              <w:wordWrap/>
              <w:overflowPunct/>
              <w:topLinePunct w:val="0"/>
              <w:autoSpaceDE/>
              <w:autoSpaceDN/>
              <w:bidi w:val="0"/>
              <w:spacing w:line="560" w:lineRule="exact"/>
              <w:jc w:val="center"/>
              <w:rPr>
                <w:rFonts w:hint="default" w:ascii="Times New Roman" w:hAnsi="Times New Roman" w:eastAsia="方正黑体_GBK" w:cs="Times New Roman"/>
                <w:color w:val="auto"/>
                <w:sz w:val="21"/>
                <w:szCs w:val="21"/>
              </w:rPr>
            </w:pPr>
            <w:r>
              <w:rPr>
                <w:rFonts w:hint="default" w:ascii="Times New Roman" w:hAnsi="Times New Roman" w:eastAsia="方正黑体_GBK" w:cs="Times New Roman"/>
                <w:color w:val="auto"/>
                <w:sz w:val="21"/>
                <w:szCs w:val="21"/>
              </w:rPr>
              <w:t>商务部分</w:t>
            </w:r>
          </w:p>
        </w:tc>
        <w:tc>
          <w:tcPr>
            <w:tcW w:w="3155" w:type="dxa"/>
            <w:tcBorders>
              <w:top w:val="single" w:color="auto" w:sz="6" w:space="0"/>
              <w:left w:val="single" w:color="auto" w:sz="6" w:space="0"/>
              <w:bottom w:val="single" w:color="auto" w:sz="6" w:space="0"/>
              <w:right w:val="single" w:color="auto" w:sz="6" w:space="0"/>
            </w:tcBorders>
            <w:vAlign w:val="center"/>
          </w:tcPr>
          <w:p w14:paraId="5CC06285">
            <w:pPr>
              <w:shd w:val="clear"/>
              <w:kinsoku/>
              <w:wordWrap/>
              <w:overflowPunct/>
              <w:topLinePunct w:val="0"/>
              <w:autoSpaceDE/>
              <w:autoSpaceDN/>
              <w:bidi w:val="0"/>
              <w:spacing w:line="560" w:lineRule="exact"/>
              <w:jc w:val="center"/>
              <w:rPr>
                <w:rFonts w:hint="default" w:ascii="Times New Roman" w:hAnsi="Times New Roman" w:eastAsia="方正黑体_GBK" w:cs="Times New Roman"/>
                <w:color w:val="auto"/>
                <w:sz w:val="21"/>
                <w:szCs w:val="21"/>
              </w:rPr>
            </w:pPr>
            <w:r>
              <w:rPr>
                <w:rFonts w:hint="default" w:ascii="Times New Roman" w:hAnsi="Times New Roman" w:eastAsia="方正黑体_GBK" w:cs="Times New Roman"/>
                <w:color w:val="auto"/>
                <w:sz w:val="21"/>
                <w:szCs w:val="21"/>
              </w:rPr>
              <w:t>技术部分</w:t>
            </w:r>
          </w:p>
        </w:tc>
        <w:tc>
          <w:tcPr>
            <w:tcW w:w="2568" w:type="dxa"/>
            <w:tcBorders>
              <w:top w:val="single" w:color="auto" w:sz="6" w:space="0"/>
              <w:left w:val="single" w:color="auto" w:sz="6" w:space="0"/>
              <w:bottom w:val="single" w:color="auto" w:sz="6" w:space="0"/>
              <w:right w:val="single" w:color="auto" w:sz="6" w:space="0"/>
            </w:tcBorders>
            <w:vAlign w:val="center"/>
          </w:tcPr>
          <w:p w14:paraId="70A32C9D">
            <w:pPr>
              <w:shd w:val="clear"/>
              <w:kinsoku/>
              <w:wordWrap/>
              <w:overflowPunct/>
              <w:topLinePunct w:val="0"/>
              <w:autoSpaceDE/>
              <w:autoSpaceDN/>
              <w:bidi w:val="0"/>
              <w:spacing w:line="560" w:lineRule="exact"/>
              <w:jc w:val="center"/>
              <w:rPr>
                <w:rFonts w:hint="default" w:ascii="Times New Roman" w:hAnsi="Times New Roman" w:eastAsia="方正黑体_GBK" w:cs="Times New Roman"/>
                <w:color w:val="auto"/>
                <w:sz w:val="21"/>
                <w:szCs w:val="21"/>
              </w:rPr>
            </w:pPr>
            <w:r>
              <w:rPr>
                <w:rFonts w:hint="default" w:ascii="Times New Roman" w:hAnsi="Times New Roman" w:eastAsia="方正黑体_GBK" w:cs="Times New Roman"/>
                <w:color w:val="auto"/>
                <w:sz w:val="21"/>
                <w:szCs w:val="21"/>
              </w:rPr>
              <w:t>价格部分</w:t>
            </w:r>
          </w:p>
        </w:tc>
      </w:tr>
      <w:tr w14:paraId="31FBF54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3154" w:type="dxa"/>
            <w:tcBorders>
              <w:top w:val="single" w:color="auto" w:sz="6" w:space="0"/>
              <w:left w:val="single" w:color="auto" w:sz="6" w:space="0"/>
              <w:bottom w:val="single" w:color="auto" w:sz="6" w:space="0"/>
              <w:right w:val="single" w:color="auto" w:sz="6" w:space="0"/>
            </w:tcBorders>
            <w:vAlign w:val="center"/>
          </w:tcPr>
          <w:p w14:paraId="3E3E2A50">
            <w:pPr>
              <w:shd w:val="clear"/>
              <w:kinsoku/>
              <w:wordWrap/>
              <w:overflowPunct/>
              <w:topLinePunct w:val="0"/>
              <w:autoSpaceDE/>
              <w:autoSpaceDN/>
              <w:bidi w:val="0"/>
              <w:spacing w:line="560" w:lineRule="exact"/>
              <w:jc w:val="center"/>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lang w:val="en-US" w:eastAsia="zh-CN"/>
              </w:rPr>
              <w:t>3</w:t>
            </w:r>
            <w:r>
              <w:rPr>
                <w:rFonts w:hint="default" w:ascii="Times New Roman" w:hAnsi="Times New Roman" w:eastAsia="方正仿宋_GBK" w:cs="Times New Roman"/>
                <w:color w:val="auto"/>
                <w:sz w:val="21"/>
                <w:szCs w:val="21"/>
              </w:rPr>
              <w:t>5.00%</w:t>
            </w:r>
          </w:p>
        </w:tc>
        <w:tc>
          <w:tcPr>
            <w:tcW w:w="3155" w:type="dxa"/>
            <w:tcBorders>
              <w:top w:val="single" w:color="auto" w:sz="6" w:space="0"/>
              <w:left w:val="single" w:color="auto" w:sz="6" w:space="0"/>
              <w:bottom w:val="single" w:color="auto" w:sz="6" w:space="0"/>
              <w:right w:val="single" w:color="auto" w:sz="6" w:space="0"/>
            </w:tcBorders>
            <w:vAlign w:val="center"/>
          </w:tcPr>
          <w:p w14:paraId="6864A545">
            <w:pPr>
              <w:shd w:val="clear"/>
              <w:kinsoku/>
              <w:wordWrap/>
              <w:overflowPunct/>
              <w:topLinePunct w:val="0"/>
              <w:autoSpaceDE/>
              <w:autoSpaceDN/>
              <w:bidi w:val="0"/>
              <w:spacing w:line="560" w:lineRule="exact"/>
              <w:jc w:val="center"/>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lang w:val="en-US" w:eastAsia="zh-CN"/>
              </w:rPr>
              <w:t>5</w:t>
            </w:r>
            <w:r>
              <w:rPr>
                <w:rFonts w:hint="default" w:ascii="Times New Roman" w:hAnsi="Times New Roman" w:eastAsia="方正仿宋_GBK" w:cs="Times New Roman"/>
                <w:color w:val="auto"/>
                <w:sz w:val="21"/>
                <w:szCs w:val="21"/>
              </w:rPr>
              <w:t>5.00%</w:t>
            </w:r>
          </w:p>
        </w:tc>
        <w:tc>
          <w:tcPr>
            <w:tcW w:w="2568" w:type="dxa"/>
            <w:tcBorders>
              <w:top w:val="single" w:color="auto" w:sz="6" w:space="0"/>
              <w:left w:val="single" w:color="auto" w:sz="6" w:space="0"/>
              <w:bottom w:val="single" w:color="auto" w:sz="6" w:space="0"/>
              <w:right w:val="single" w:color="auto" w:sz="6" w:space="0"/>
            </w:tcBorders>
            <w:vAlign w:val="center"/>
          </w:tcPr>
          <w:p w14:paraId="7C282133">
            <w:pPr>
              <w:shd w:val="clear"/>
              <w:kinsoku/>
              <w:wordWrap/>
              <w:overflowPunct/>
              <w:topLinePunct w:val="0"/>
              <w:autoSpaceDE/>
              <w:autoSpaceDN/>
              <w:bidi w:val="0"/>
              <w:spacing w:line="560" w:lineRule="exact"/>
              <w:jc w:val="center"/>
              <w:rPr>
                <w:rFonts w:hint="default" w:ascii="Times New Roman" w:hAnsi="Times New Roman" w:eastAsia="方正仿宋_GBK" w:cs="Times New Roman"/>
                <w:color w:val="auto"/>
                <w:sz w:val="21"/>
                <w:szCs w:val="21"/>
              </w:rPr>
            </w:pPr>
            <w:r>
              <w:rPr>
                <w:rFonts w:hint="default" w:ascii="Times New Roman" w:hAnsi="Times New Roman" w:eastAsia="方正仿宋_GBK" w:cs="Times New Roman"/>
                <w:color w:val="auto"/>
                <w:sz w:val="21"/>
                <w:szCs w:val="21"/>
                <w:lang w:val="en-US" w:eastAsia="zh-CN"/>
              </w:rPr>
              <w:t>10</w:t>
            </w:r>
            <w:r>
              <w:rPr>
                <w:rFonts w:hint="default" w:ascii="Times New Roman" w:hAnsi="Times New Roman" w:eastAsia="方正仿宋_GBK" w:cs="Times New Roman"/>
                <w:color w:val="auto"/>
                <w:sz w:val="21"/>
                <w:szCs w:val="21"/>
              </w:rPr>
              <w:t>.00%</w:t>
            </w:r>
          </w:p>
        </w:tc>
      </w:tr>
    </w:tbl>
    <w:p w14:paraId="36999612">
      <w:pPr>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rPr>
      </w:pPr>
    </w:p>
    <w:p w14:paraId="3833AE27">
      <w:pPr>
        <w:pStyle w:val="2"/>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color w:val="auto"/>
          <w:sz w:val="30"/>
          <w:szCs w:val="30"/>
        </w:rPr>
        <w:t>投标报价得分＝（</w:t>
      </w:r>
      <w:r>
        <w:rPr>
          <w:rFonts w:hint="eastAsia" w:ascii="Times New Roman" w:hAnsi="Times New Roman" w:eastAsia="方正仿宋_GBK" w:cs="Times New Roman"/>
          <w:color w:val="auto"/>
          <w:sz w:val="30"/>
          <w:szCs w:val="30"/>
          <w:lang w:eastAsia="zh-CN"/>
        </w:rPr>
        <w:t>评审</w:t>
      </w:r>
      <w:r>
        <w:rPr>
          <w:rFonts w:hint="default" w:ascii="Times New Roman" w:hAnsi="Times New Roman" w:eastAsia="方正仿宋_GBK" w:cs="Times New Roman"/>
          <w:color w:val="auto"/>
          <w:sz w:val="30"/>
          <w:szCs w:val="30"/>
        </w:rPr>
        <w:t>基准价/投标报价）×价格分值【注：满足招标文件要求且投标价格最低的投标报价为</w:t>
      </w:r>
      <w:r>
        <w:rPr>
          <w:rFonts w:hint="eastAsia" w:ascii="Times New Roman" w:hAnsi="Times New Roman" w:eastAsia="方正仿宋_GBK" w:cs="Times New Roman"/>
          <w:color w:val="auto"/>
          <w:sz w:val="30"/>
          <w:szCs w:val="30"/>
          <w:lang w:eastAsia="zh-CN"/>
        </w:rPr>
        <w:t>评审</w:t>
      </w:r>
      <w:r>
        <w:rPr>
          <w:rFonts w:hint="default" w:ascii="Times New Roman" w:hAnsi="Times New Roman" w:eastAsia="方正仿宋_GBK" w:cs="Times New Roman"/>
          <w:color w:val="auto"/>
          <w:sz w:val="30"/>
          <w:szCs w:val="30"/>
        </w:rPr>
        <w:t>基准价</w:t>
      </w:r>
      <w:r>
        <w:rPr>
          <w:rFonts w:hint="default" w:ascii="Times New Roman" w:hAnsi="Times New Roman" w:eastAsia="方正仿宋_GBK" w:cs="Times New Roman"/>
          <w:color w:val="auto"/>
          <w:sz w:val="30"/>
          <w:szCs w:val="30"/>
          <w:lang w:eastAsia="zh-CN"/>
        </w:rPr>
        <w:t>】</w:t>
      </w:r>
      <w:r>
        <w:rPr>
          <w:rFonts w:hint="default" w:ascii="Times New Roman" w:hAnsi="Times New Roman" w:eastAsia="方正仿宋_GBK" w:cs="Times New Roman"/>
          <w:color w:val="auto"/>
          <w:sz w:val="30"/>
          <w:szCs w:val="30"/>
        </w:rPr>
        <w:t>最低报价不是中标的唯一依据。因落实政府采购政策进行价格调整的，以调整后的价格计算</w:t>
      </w:r>
      <w:r>
        <w:rPr>
          <w:rFonts w:hint="eastAsia" w:ascii="Times New Roman" w:hAnsi="Times New Roman" w:eastAsia="方正仿宋_GBK" w:cs="Times New Roman"/>
          <w:color w:val="auto"/>
          <w:sz w:val="30"/>
          <w:szCs w:val="30"/>
          <w:lang w:eastAsia="zh-CN"/>
        </w:rPr>
        <w:t>评审</w:t>
      </w:r>
      <w:r>
        <w:rPr>
          <w:rFonts w:hint="default" w:ascii="Times New Roman" w:hAnsi="Times New Roman" w:eastAsia="方正仿宋_GBK" w:cs="Times New Roman"/>
          <w:color w:val="auto"/>
          <w:sz w:val="30"/>
          <w:szCs w:val="30"/>
        </w:rPr>
        <w:t>基准价和投标报价。</w:t>
      </w:r>
      <w:r>
        <w:rPr>
          <w:rFonts w:hint="default" w:ascii="Times New Roman" w:hAnsi="Times New Roman" w:eastAsia="方正仿宋_GBK" w:cs="Times New Roman"/>
          <w:color w:val="auto"/>
          <w:sz w:val="30"/>
          <w:szCs w:val="30"/>
          <w:lang w:val="en-US" w:eastAsia="zh-CN"/>
        </w:rPr>
        <w:t>详细评分表如下：</w:t>
      </w:r>
    </w:p>
    <w:p w14:paraId="64D66875">
      <w:pPr>
        <w:pStyle w:val="2"/>
        <w:shd w:val="clear"/>
        <w:kinsoku/>
        <w:wordWrap/>
        <w:overflowPunct/>
        <w:topLinePunct w:val="0"/>
        <w:autoSpaceDE/>
        <w:autoSpaceDN/>
        <w:bidi w:val="0"/>
        <w:spacing w:line="560" w:lineRule="exact"/>
        <w:rPr>
          <w:rFonts w:hint="default" w:ascii="Times New Roman" w:hAnsi="Times New Roman" w:eastAsia="方正仿宋_GBK" w:cs="Times New Roman"/>
          <w:color w:val="auto"/>
          <w:sz w:val="30"/>
          <w:szCs w:val="30"/>
          <w:lang w:val="en-US" w:eastAsia="zh-CN"/>
        </w:rPr>
      </w:pPr>
    </w:p>
    <w:tbl>
      <w:tblPr>
        <w:tblStyle w:val="21"/>
        <w:tblW w:w="5384" w:type="pct"/>
        <w:tblInd w:w="-4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993"/>
        <w:gridCol w:w="1232"/>
        <w:gridCol w:w="5413"/>
        <w:gridCol w:w="938"/>
      </w:tblGrid>
      <w:tr w14:paraId="0CF41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3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5F6BA">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FA4B1">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评审项</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815B5">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评分内容</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97D00">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评分标准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34E5">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分值（分）</w:t>
            </w:r>
          </w:p>
        </w:tc>
      </w:tr>
      <w:tr w14:paraId="06A8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7C6B">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41A2">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价格部分（10分）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9BE28">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价格评定 （10分）</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76965">
            <w:pPr>
              <w:keepNext w:val="0"/>
              <w:keepLines w:val="0"/>
              <w:pageBreakBefore w:val="0"/>
              <w:shd w:val="clear"/>
              <w:kinsoku/>
              <w:wordWrap/>
              <w:overflowPunct/>
              <w:topLinePunct w:val="0"/>
              <w:autoSpaceDE/>
              <w:autoSpaceDN/>
              <w:bidi w:val="0"/>
              <w:snapToGrid/>
              <w:spacing w:line="500" w:lineRule="exact"/>
              <w:jc w:val="left"/>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val="en-US" w:eastAsia="zh-CN" w:bidi="ar"/>
              </w:rPr>
              <w:t>投标报价得分＝（</w:t>
            </w:r>
            <w:r>
              <w:rPr>
                <w:rFonts w:hint="eastAsia" w:cs="Times New Roman"/>
                <w:kern w:val="0"/>
                <w:sz w:val="21"/>
                <w:szCs w:val="21"/>
                <w:lang w:val="en-US" w:eastAsia="zh-CN" w:bidi="ar"/>
              </w:rPr>
              <w:t>评审</w:t>
            </w:r>
            <w:r>
              <w:rPr>
                <w:rFonts w:hint="default" w:ascii="Times New Roman" w:hAnsi="Times New Roman" w:eastAsia="宋体" w:cs="Times New Roman"/>
                <w:kern w:val="0"/>
                <w:sz w:val="21"/>
                <w:szCs w:val="21"/>
                <w:lang w:val="en-US" w:eastAsia="zh-CN" w:bidi="ar"/>
              </w:rPr>
              <w:t>基准价/投标报价）×价格分值【注：满足招标文件要求且投标价格最低的投标报价为</w:t>
            </w:r>
            <w:r>
              <w:rPr>
                <w:rFonts w:hint="eastAsia" w:cs="Times New Roman"/>
                <w:kern w:val="0"/>
                <w:sz w:val="21"/>
                <w:szCs w:val="21"/>
                <w:lang w:val="en-US" w:eastAsia="zh-CN" w:bidi="ar"/>
              </w:rPr>
              <w:t>评审</w:t>
            </w:r>
            <w:r>
              <w:rPr>
                <w:rFonts w:hint="default" w:ascii="Times New Roman" w:hAnsi="Times New Roman" w:eastAsia="宋体" w:cs="Times New Roman"/>
                <w:kern w:val="0"/>
                <w:sz w:val="21"/>
                <w:szCs w:val="21"/>
                <w:lang w:val="en-US" w:eastAsia="zh-CN" w:bidi="ar"/>
              </w:rPr>
              <w:t>基准价】</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804E8">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w:t>
            </w:r>
          </w:p>
        </w:tc>
      </w:tr>
      <w:tr w14:paraId="2E1D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F847">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w:t>
            </w:r>
          </w:p>
        </w:tc>
        <w:tc>
          <w:tcPr>
            <w:tcW w:w="541" w:type="pct"/>
            <w:vMerge w:val="restart"/>
            <w:tcBorders>
              <w:top w:val="single" w:color="000000" w:sz="4" w:space="0"/>
              <w:left w:val="single" w:color="000000" w:sz="4" w:space="0"/>
              <w:right w:val="single" w:color="000000" w:sz="4" w:space="0"/>
            </w:tcBorders>
            <w:shd w:val="clear" w:color="auto" w:fill="auto"/>
            <w:vAlign w:val="center"/>
          </w:tcPr>
          <w:p w14:paraId="2BAE8768">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商务部分（35分）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top"/>
          </w:tcPr>
          <w:p w14:paraId="476D2B92">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aps w:val="0"/>
                <w:color w:val="auto"/>
                <w:spacing w:val="0"/>
                <w:sz w:val="21"/>
                <w:szCs w:val="21"/>
                <w:lang w:eastAsia="zh-CN"/>
              </w:rPr>
            </w:pPr>
            <w:r>
              <w:rPr>
                <w:rFonts w:hint="default" w:ascii="Times New Roman" w:hAnsi="Times New Roman" w:eastAsia="宋体" w:cs="Times New Roman"/>
                <w:color w:val="auto"/>
                <w:kern w:val="0"/>
                <w:sz w:val="21"/>
                <w:szCs w:val="21"/>
                <w:lang w:bidi="ar"/>
              </w:rPr>
              <w:t>企业认证证书 (</w:t>
            </w:r>
            <w:r>
              <w:rPr>
                <w:rFonts w:hint="default" w:ascii="Times New Roman" w:hAnsi="Times New Roman"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分)</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14:paraId="0A9D6BC4">
            <w:pPr>
              <w:keepNext w:val="0"/>
              <w:keepLines w:val="0"/>
              <w:pageBreakBefore w:val="0"/>
              <w:shd w:val="clear"/>
              <w:kinsoku/>
              <w:wordWrap/>
              <w:overflowPunct/>
              <w:topLinePunct w:val="0"/>
              <w:autoSpaceDE/>
              <w:autoSpaceDN/>
              <w:bidi w:val="0"/>
              <w:snapToGrid/>
              <w:spacing w:line="500" w:lineRule="exact"/>
              <w:jc w:val="left"/>
              <w:rPr>
                <w:rFonts w:hint="default" w:ascii="Times New Roman" w:hAnsi="Times New Roman" w:eastAsia="宋体" w:cs="Times New Roman"/>
                <w:kern w:val="0"/>
                <w:sz w:val="21"/>
                <w:szCs w:val="21"/>
                <w:lang w:bidi="ar"/>
              </w:rPr>
            </w:pPr>
            <w:r>
              <w:rPr>
                <w:rFonts w:hint="default" w:ascii="Times New Roman" w:hAnsi="Times New Roman" w:cs="Times New Roman"/>
                <w:kern w:val="0"/>
                <w:sz w:val="21"/>
                <w:szCs w:val="21"/>
                <w:lang w:eastAsia="zh-CN" w:bidi="ar"/>
              </w:rPr>
              <w:t>供应商</w:t>
            </w:r>
            <w:r>
              <w:rPr>
                <w:rFonts w:hint="default" w:ascii="Times New Roman" w:hAnsi="Times New Roman" w:eastAsia="宋体" w:cs="Times New Roman"/>
                <w:kern w:val="0"/>
                <w:sz w:val="21"/>
                <w:szCs w:val="21"/>
                <w:lang w:bidi="ar"/>
              </w:rPr>
              <w:t>具有</w:t>
            </w:r>
            <w:r>
              <w:rPr>
                <w:rFonts w:hint="default" w:ascii="Times New Roman" w:hAnsi="Times New Roman" w:eastAsia="宋体" w:cs="Times New Roman"/>
                <w:kern w:val="0"/>
                <w:sz w:val="21"/>
                <w:szCs w:val="21"/>
                <w:lang w:eastAsia="zh-CN" w:bidi="ar"/>
              </w:rPr>
              <w:t>国家认证认可监督管理委员会</w:t>
            </w:r>
            <w:r>
              <w:rPr>
                <w:rFonts w:hint="default" w:ascii="Times New Roman" w:hAnsi="Times New Roman" w:eastAsia="宋体" w:cs="Times New Roman"/>
                <w:kern w:val="0"/>
                <w:sz w:val="21"/>
                <w:szCs w:val="21"/>
                <w:lang w:bidi="ar"/>
              </w:rPr>
              <w:t>批准设立的认证机构颁发的质量管理体系认证证书</w:t>
            </w:r>
            <w:r>
              <w:rPr>
                <w:rFonts w:hint="default" w:ascii="Times New Roman" w:hAnsi="Times New Roman" w:eastAsia="宋体" w:cs="Times New Roman"/>
                <w:kern w:val="0"/>
                <w:sz w:val="21"/>
                <w:szCs w:val="21"/>
                <w:lang w:eastAsia="zh-CN" w:bidi="ar"/>
              </w:rPr>
              <w:t>，</w:t>
            </w:r>
            <w:r>
              <w:rPr>
                <w:rFonts w:hint="default" w:ascii="Times New Roman" w:hAnsi="Times New Roman" w:eastAsia="宋体" w:cs="Times New Roman"/>
                <w:kern w:val="0"/>
                <w:sz w:val="21"/>
                <w:szCs w:val="21"/>
                <w:lang w:bidi="ar"/>
              </w:rPr>
              <w:t>得</w:t>
            </w:r>
            <w:r>
              <w:rPr>
                <w:rFonts w:hint="default" w:ascii="Times New Roman" w:hAnsi="Times New Roman" w:eastAsia="宋体" w:cs="Times New Roman"/>
                <w:kern w:val="0"/>
                <w:sz w:val="21"/>
                <w:szCs w:val="21"/>
                <w:lang w:val="en-US" w:eastAsia="zh-CN" w:bidi="ar"/>
              </w:rPr>
              <w:t>2</w:t>
            </w:r>
            <w:r>
              <w:rPr>
                <w:rFonts w:hint="default" w:ascii="Times New Roman" w:hAnsi="Times New Roman" w:eastAsia="宋体" w:cs="Times New Roman"/>
                <w:kern w:val="0"/>
                <w:sz w:val="21"/>
                <w:szCs w:val="21"/>
                <w:lang w:bidi="ar"/>
              </w:rPr>
              <w:t>分。 注：须提供以上有效期内的证书复印件并加盖公章，并同时提供以上证书在认监委网站（http://cx.cnca.cn/CertECloud/index/index/page）对该证书的信息查询截图作为评审依据，已失效或撤销的不得分。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AE8FA">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kern w:val="0"/>
                <w:sz w:val="21"/>
                <w:szCs w:val="21"/>
                <w:lang w:val="en-US" w:eastAsia="zh-CN" w:bidi="ar"/>
              </w:rPr>
              <w:t>2</w:t>
            </w:r>
          </w:p>
        </w:tc>
      </w:tr>
      <w:tr w14:paraId="47701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5"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5DC5">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w:t>
            </w:r>
          </w:p>
        </w:tc>
        <w:tc>
          <w:tcPr>
            <w:tcW w:w="541" w:type="pct"/>
            <w:vMerge w:val="continue"/>
            <w:tcBorders>
              <w:left w:val="single" w:color="000000" w:sz="4" w:space="0"/>
              <w:right w:val="single" w:color="000000" w:sz="4" w:space="0"/>
            </w:tcBorders>
            <w:shd w:val="clear" w:color="auto" w:fill="auto"/>
            <w:vAlign w:val="center"/>
          </w:tcPr>
          <w:p w14:paraId="3BA273D6">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color w:val="auto"/>
                <w:sz w:val="21"/>
                <w:szCs w:val="21"/>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A373">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aps w:val="0"/>
                <w:color w:val="auto"/>
                <w:spacing w:val="0"/>
                <w:sz w:val="21"/>
                <w:szCs w:val="21"/>
                <w:lang w:eastAsia="zh-CN"/>
              </w:rPr>
            </w:pPr>
            <w:r>
              <w:rPr>
                <w:rFonts w:hint="default" w:ascii="Times New Roman" w:hAnsi="Times New Roman" w:eastAsia="宋体" w:cs="Times New Roman"/>
                <w:color w:val="auto"/>
                <w:kern w:val="0"/>
                <w:sz w:val="21"/>
                <w:szCs w:val="21"/>
                <w:lang w:val="en-US" w:eastAsia="zh-CN" w:bidi="ar"/>
              </w:rPr>
              <w:t>关键技术能力</w:t>
            </w:r>
            <w:r>
              <w:rPr>
                <w:rFonts w:hint="default" w:ascii="Times New Roman" w:hAnsi="Times New Roman" w:eastAsia="宋体" w:cs="Times New Roman"/>
                <w:color w:val="auto"/>
                <w:kern w:val="0"/>
                <w:sz w:val="21"/>
                <w:szCs w:val="21"/>
                <w:lang w:bidi="ar"/>
              </w:rPr>
              <w:t>(</w:t>
            </w:r>
            <w:r>
              <w:rPr>
                <w:rFonts w:hint="default" w:ascii="Times New Roman" w:hAnsi="Times New Roman"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分)</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D420B">
            <w:pPr>
              <w:keepNext w:val="0"/>
              <w:keepLines w:val="0"/>
              <w:pageBreakBefore w:val="0"/>
              <w:shd w:val="clear"/>
              <w:kinsoku/>
              <w:wordWrap/>
              <w:overflowPunct/>
              <w:topLinePunct w:val="0"/>
              <w:autoSpaceDE/>
              <w:autoSpaceDN/>
              <w:bidi w:val="0"/>
              <w:snapToGrid/>
              <w:spacing w:line="500" w:lineRule="exact"/>
              <w:jc w:val="both"/>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kern w:val="0"/>
                <w:sz w:val="21"/>
                <w:szCs w:val="21"/>
                <w:lang w:eastAsia="zh-CN" w:bidi="ar"/>
              </w:rPr>
              <w:t>供应商</w:t>
            </w:r>
            <w:r>
              <w:rPr>
                <w:rFonts w:hint="default" w:ascii="Times New Roman" w:hAnsi="Times New Roman" w:eastAsia="宋体" w:cs="Times New Roman"/>
                <w:color w:val="auto"/>
                <w:kern w:val="0"/>
                <w:sz w:val="21"/>
                <w:szCs w:val="21"/>
                <w:lang w:val="en-US" w:eastAsia="zh-CN" w:bidi="ar"/>
              </w:rPr>
              <w:t>具有与本项目需求相关的计算机软件著作权登记证书，每提供一项得1分，最高得</w:t>
            </w:r>
            <w:r>
              <w:rPr>
                <w:rFonts w:hint="default" w:ascii="Times New Roman" w:hAnsi="Times New Roman"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val="en-US" w:eastAsia="zh-CN" w:bidi="ar"/>
              </w:rPr>
              <w:t>分.</w:t>
            </w:r>
          </w:p>
          <w:p w14:paraId="1ED326F8">
            <w:pPr>
              <w:keepNext w:val="0"/>
              <w:keepLines w:val="0"/>
              <w:pageBreakBefore w:val="0"/>
              <w:shd w:val="clear"/>
              <w:kinsoku/>
              <w:wordWrap/>
              <w:overflowPunct/>
              <w:topLinePunct w:val="0"/>
              <w:autoSpaceDE/>
              <w:autoSpaceDN/>
              <w:bidi w:val="0"/>
              <w:snapToGrid/>
              <w:spacing w:line="500" w:lineRule="exact"/>
              <w:jc w:val="left"/>
              <w:rPr>
                <w:rFonts w:hint="default" w:ascii="Times New Roman" w:hAnsi="Times New Roman" w:eastAsia="宋体" w:cs="Times New Roman"/>
                <w:kern w:val="0"/>
                <w:sz w:val="21"/>
                <w:szCs w:val="21"/>
                <w:lang w:bidi="ar"/>
              </w:rPr>
            </w:pPr>
            <w:r>
              <w:rPr>
                <w:rFonts w:hint="default" w:ascii="Times New Roman" w:hAnsi="Times New Roman" w:eastAsia="宋体" w:cs="Times New Roman"/>
                <w:color w:val="auto"/>
                <w:kern w:val="0"/>
                <w:sz w:val="21"/>
                <w:szCs w:val="21"/>
                <w:lang w:bidi="ar"/>
              </w:rPr>
              <w:t>注：须提供国家</w:t>
            </w:r>
            <w:r>
              <w:rPr>
                <w:rFonts w:hint="default" w:ascii="Times New Roman" w:hAnsi="Times New Roman" w:eastAsia="宋体" w:cs="Times New Roman"/>
                <w:color w:val="auto"/>
                <w:kern w:val="0"/>
                <w:sz w:val="21"/>
                <w:szCs w:val="21"/>
                <w:lang w:val="en-US" w:eastAsia="zh-CN" w:bidi="ar"/>
              </w:rPr>
              <w:t>版权</w:t>
            </w:r>
            <w:r>
              <w:rPr>
                <w:rFonts w:hint="default" w:ascii="Times New Roman" w:hAnsi="Times New Roman" w:eastAsia="宋体" w:cs="Times New Roman"/>
                <w:color w:val="auto"/>
                <w:kern w:val="0"/>
                <w:sz w:val="21"/>
                <w:szCs w:val="21"/>
                <w:lang w:bidi="ar"/>
              </w:rPr>
              <w:t>局颁发的带有</w:t>
            </w:r>
            <w:r>
              <w:rPr>
                <w:rFonts w:hint="default" w:ascii="Times New Roman" w:hAnsi="Times New Roman" w:eastAsia="宋体" w:cs="Times New Roman"/>
                <w:color w:val="auto"/>
                <w:kern w:val="0"/>
                <w:sz w:val="21"/>
                <w:szCs w:val="21"/>
                <w:lang w:eastAsia="zh-CN" w:bidi="ar"/>
              </w:rPr>
              <w:t>供应商</w:t>
            </w:r>
            <w:r>
              <w:rPr>
                <w:rFonts w:hint="default" w:ascii="Times New Roman" w:hAnsi="Times New Roman" w:eastAsia="宋体" w:cs="Times New Roman"/>
                <w:color w:val="auto"/>
                <w:kern w:val="0"/>
                <w:sz w:val="21"/>
                <w:szCs w:val="21"/>
                <w:lang w:bidi="ar"/>
              </w:rPr>
              <w:t>全称的上述计算机软件的知识产权证明文件或计算机软件的著作权证明文件复印件，不提供不得分。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210D8">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kern w:val="0"/>
                <w:sz w:val="21"/>
                <w:szCs w:val="21"/>
                <w:lang w:val="en-US" w:eastAsia="zh-CN" w:bidi="ar"/>
              </w:rPr>
              <w:t>5</w:t>
            </w:r>
          </w:p>
        </w:tc>
      </w:tr>
      <w:tr w14:paraId="6BAB1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7282">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w:t>
            </w:r>
          </w:p>
        </w:tc>
        <w:tc>
          <w:tcPr>
            <w:tcW w:w="541" w:type="pct"/>
            <w:vMerge w:val="continue"/>
            <w:tcBorders>
              <w:left w:val="single" w:color="000000" w:sz="4" w:space="0"/>
              <w:right w:val="single" w:color="000000" w:sz="4" w:space="0"/>
            </w:tcBorders>
            <w:shd w:val="clear" w:color="auto" w:fill="auto"/>
            <w:vAlign w:val="center"/>
          </w:tcPr>
          <w:p w14:paraId="0692F460">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color w:val="auto"/>
                <w:sz w:val="21"/>
                <w:szCs w:val="21"/>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top"/>
          </w:tcPr>
          <w:p w14:paraId="5D2FC0B1">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color w:val="auto"/>
                <w:kern w:val="0"/>
                <w:sz w:val="21"/>
                <w:szCs w:val="21"/>
                <w:lang w:bidi="ar"/>
              </w:rPr>
              <w:t>项目负责人</w:t>
            </w:r>
            <w:r>
              <w:rPr>
                <w:rFonts w:hint="default" w:ascii="Times New Roman" w:hAnsi="Times New Roman" w:cs="Times New Roman"/>
                <w:color w:val="auto"/>
                <w:kern w:val="0"/>
                <w:sz w:val="21"/>
                <w:szCs w:val="21"/>
                <w:lang w:val="en-US" w:eastAsia="zh-CN" w:bidi="ar"/>
              </w:rPr>
              <w:t>专业能力</w:t>
            </w:r>
            <w:r>
              <w:rPr>
                <w:rFonts w:hint="default" w:ascii="Times New Roman" w:hAnsi="Times New Roman" w:eastAsia="宋体" w:cs="Times New Roman"/>
                <w:color w:val="auto"/>
                <w:kern w:val="0"/>
                <w:sz w:val="21"/>
                <w:szCs w:val="21"/>
                <w:lang w:bidi="ar"/>
              </w:rPr>
              <w:t xml:space="preserve"> (</w:t>
            </w:r>
            <w:r>
              <w:rPr>
                <w:rFonts w:hint="default" w:ascii="Times New Roman" w:hAnsi="Times New Roman" w:cs="Times New Roman"/>
                <w:color w:val="auto"/>
                <w:kern w:val="0"/>
                <w:sz w:val="21"/>
                <w:szCs w:val="21"/>
                <w:lang w:val="en-US" w:eastAsia="zh-CN" w:bidi="ar"/>
              </w:rPr>
              <w:t>8</w:t>
            </w:r>
            <w:r>
              <w:rPr>
                <w:rFonts w:hint="default" w:ascii="Times New Roman" w:hAnsi="Times New Roman" w:eastAsia="宋体" w:cs="Times New Roman"/>
                <w:color w:val="auto"/>
                <w:kern w:val="0"/>
                <w:sz w:val="21"/>
                <w:szCs w:val="21"/>
                <w:lang w:bidi="ar"/>
              </w:rPr>
              <w:t>分)</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14:paraId="2981100F">
            <w:pPr>
              <w:keepNext w:val="0"/>
              <w:keepLines w:val="0"/>
              <w:pageBreakBefore w:val="0"/>
              <w:shd w:val="clear"/>
              <w:kinsoku/>
              <w:wordWrap/>
              <w:overflowPunct/>
              <w:topLinePunct w:val="0"/>
              <w:autoSpaceDE/>
              <w:autoSpaceDN/>
              <w:bidi w:val="0"/>
              <w:snapToGrid/>
              <w:spacing w:line="500" w:lineRule="exact"/>
              <w:jc w:val="left"/>
              <w:rPr>
                <w:rFonts w:hint="default" w:ascii="Times New Roman" w:hAnsi="Times New Roman" w:eastAsia="宋体" w:cs="Times New Roman"/>
                <w:kern w:val="0"/>
                <w:sz w:val="21"/>
                <w:szCs w:val="21"/>
                <w:lang w:bidi="ar"/>
              </w:rPr>
            </w:pPr>
            <w:r>
              <w:rPr>
                <w:rFonts w:hint="default" w:ascii="Times New Roman" w:hAnsi="Times New Roman" w:eastAsia="宋体" w:cs="Times New Roman"/>
                <w:color w:val="auto"/>
                <w:kern w:val="0"/>
                <w:sz w:val="21"/>
                <w:szCs w:val="21"/>
                <w:lang w:bidi="ar"/>
              </w:rPr>
              <w:t>项目负责人具备以下证书：  ①</w:t>
            </w:r>
            <w:r>
              <w:rPr>
                <w:rFonts w:hint="default" w:ascii="Times New Roman" w:hAnsi="Times New Roman" w:cs="Times New Roman"/>
                <w:color w:val="auto"/>
                <w:kern w:val="0"/>
                <w:sz w:val="21"/>
                <w:szCs w:val="21"/>
                <w:lang w:eastAsia="zh-CN" w:bidi="ar"/>
              </w:rPr>
              <w:t>具备计算机相关专业本科及以上学历，</w:t>
            </w:r>
            <w:r>
              <w:rPr>
                <w:rFonts w:hint="default" w:ascii="Times New Roman" w:hAnsi="Times New Roman" w:eastAsia="宋体" w:cs="Times New Roman"/>
                <w:color w:val="auto"/>
                <w:kern w:val="0"/>
                <w:sz w:val="21"/>
                <w:szCs w:val="21"/>
                <w:lang w:bidi="ar"/>
              </w:rPr>
              <w:t>得2分；  ②具备中华人民共和国人力资源和社会保障部、工业和信息化部颁发的</w:t>
            </w:r>
            <w:bookmarkStart w:id="49" w:name="_GoBack"/>
            <w:bookmarkEnd w:id="49"/>
            <w:r>
              <w:rPr>
                <w:rFonts w:hint="default" w:ascii="Times New Roman" w:hAnsi="Times New Roman" w:eastAsia="宋体" w:cs="Times New Roman"/>
                <w:color w:val="auto"/>
                <w:kern w:val="0"/>
                <w:sz w:val="21"/>
                <w:szCs w:val="21"/>
                <w:lang w:bidi="ar"/>
              </w:rPr>
              <w:t>信息系统项目管理</w:t>
            </w:r>
            <w:r>
              <w:rPr>
                <w:rFonts w:hint="default" w:ascii="Times New Roman" w:hAnsi="Times New Roman" w:cs="Times New Roman"/>
                <w:color w:val="auto"/>
                <w:kern w:val="0"/>
                <w:sz w:val="21"/>
                <w:szCs w:val="21"/>
                <w:lang w:eastAsia="zh-CN" w:bidi="ar"/>
              </w:rPr>
              <w:t>工程</w:t>
            </w:r>
            <w:r>
              <w:rPr>
                <w:rFonts w:hint="default" w:ascii="Times New Roman" w:hAnsi="Times New Roman" w:eastAsia="宋体" w:cs="Times New Roman"/>
                <w:color w:val="auto"/>
                <w:kern w:val="0"/>
                <w:sz w:val="21"/>
                <w:szCs w:val="21"/>
                <w:lang w:bidi="ar"/>
              </w:rPr>
              <w:t>师证书，得</w:t>
            </w:r>
            <w:r>
              <w:rPr>
                <w:rFonts w:hint="default" w:ascii="Times New Roman" w:hAnsi="Times New Roman"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分； ③</w:t>
            </w:r>
            <w:r>
              <w:rPr>
                <w:rFonts w:hint="default" w:ascii="Times New Roman" w:hAnsi="Times New Roman" w:eastAsia="宋体" w:cs="Times New Roman"/>
                <w:kern w:val="0"/>
                <w:sz w:val="21"/>
                <w:szCs w:val="21"/>
                <w:lang w:val="en-US" w:eastAsia="zh-CN" w:bidi="ar"/>
              </w:rPr>
              <w:t>具有</w:t>
            </w:r>
            <w:r>
              <w:rPr>
                <w:rFonts w:hint="default" w:ascii="Times New Roman" w:hAnsi="Times New Roman" w:eastAsia="宋体" w:cs="Times New Roman"/>
                <w:kern w:val="0"/>
                <w:sz w:val="21"/>
                <w:szCs w:val="21"/>
                <w:lang w:bidi="ar"/>
              </w:rPr>
              <w:t>医保信息化项目经理经验（《项目合同》或《项目验收报告》或项目建设单位出具的证明上明示为项目经理）的，得</w:t>
            </w:r>
            <w:r>
              <w:rPr>
                <w:rFonts w:hint="default" w:ascii="Times New Roman" w:hAnsi="Times New Roman" w:cs="Times New Roman"/>
                <w:kern w:val="0"/>
                <w:sz w:val="21"/>
                <w:szCs w:val="21"/>
                <w:lang w:val="en-US" w:eastAsia="zh-CN" w:bidi="ar"/>
              </w:rPr>
              <w:t>3</w:t>
            </w:r>
            <w:r>
              <w:rPr>
                <w:rFonts w:hint="default" w:ascii="Times New Roman" w:hAnsi="Times New Roman" w:eastAsia="宋体" w:cs="Times New Roman"/>
                <w:kern w:val="0"/>
                <w:sz w:val="21"/>
                <w:szCs w:val="21"/>
                <w:lang w:bidi="ar"/>
              </w:rPr>
              <w:t>分</w:t>
            </w:r>
            <w:r>
              <w:rPr>
                <w:rFonts w:hint="default" w:ascii="Times New Roman" w:hAnsi="Times New Roman" w:eastAsia="宋体" w:cs="Times New Roman"/>
                <w:kern w:val="0"/>
                <w:sz w:val="21"/>
                <w:szCs w:val="21"/>
                <w:lang w:eastAsia="zh-CN" w:bidi="ar"/>
              </w:rPr>
              <w:t>。</w:t>
            </w:r>
            <w:r>
              <w:rPr>
                <w:rFonts w:hint="default" w:ascii="Times New Roman" w:hAnsi="Times New Roman" w:eastAsia="宋体" w:cs="Times New Roman"/>
                <w:color w:val="auto"/>
                <w:kern w:val="0"/>
                <w:sz w:val="21"/>
                <w:szCs w:val="21"/>
                <w:lang w:bidi="ar"/>
              </w:rPr>
              <w:t>注：1、提供项目负责人的相关资格证书和毕业证书（学位证）复印件；2、提供项目负责人任职证明材料应符合以下两项之一：①本项目响应截止日之前3个月以内任意1个月的人员参保证明，须提供加盖社会保险基金管理中心印章的《投保单》或《社会保险参保人员证明》；②本项目响应截止日之前3个月以内任意1个月的单位代缴个人所得税证明，须提供加盖税务部门印章的单位代缴个人所得税税单复印件</w:t>
            </w:r>
            <w:r>
              <w:rPr>
                <w:rFonts w:hint="default" w:ascii="Times New Roman" w:hAnsi="Times New Roman" w:eastAsia="宋体" w:cs="Times New Roman"/>
                <w:kern w:val="0"/>
                <w:sz w:val="21"/>
                <w:szCs w:val="21"/>
                <w:lang w:bidi="ar"/>
              </w:rPr>
              <w:t>。</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DB4A">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kern w:val="0"/>
                <w:sz w:val="21"/>
                <w:szCs w:val="21"/>
                <w:lang w:val="en-US" w:eastAsia="zh-CN" w:bidi="ar"/>
              </w:rPr>
              <w:t>8</w:t>
            </w:r>
          </w:p>
        </w:tc>
      </w:tr>
      <w:tr w14:paraId="1B681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0FC7">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w:t>
            </w:r>
          </w:p>
        </w:tc>
        <w:tc>
          <w:tcPr>
            <w:tcW w:w="541" w:type="pct"/>
            <w:vMerge w:val="continue"/>
            <w:tcBorders>
              <w:left w:val="single" w:color="000000" w:sz="4" w:space="0"/>
              <w:right w:val="single" w:color="000000" w:sz="4" w:space="0"/>
            </w:tcBorders>
            <w:shd w:val="clear" w:color="auto" w:fill="auto"/>
            <w:vAlign w:val="center"/>
          </w:tcPr>
          <w:p w14:paraId="468039D1">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color w:val="auto"/>
                <w:sz w:val="21"/>
                <w:szCs w:val="21"/>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top"/>
          </w:tcPr>
          <w:p w14:paraId="31512859">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aps w:val="0"/>
                <w:color w:val="auto"/>
                <w:spacing w:val="0"/>
                <w:sz w:val="21"/>
                <w:szCs w:val="21"/>
              </w:rPr>
            </w:pPr>
            <w:r>
              <w:rPr>
                <w:rFonts w:hint="default" w:ascii="Times New Roman" w:hAnsi="Times New Roman" w:cs="Times New Roman"/>
                <w:color w:val="auto"/>
                <w:kern w:val="0"/>
                <w:sz w:val="21"/>
                <w:szCs w:val="21"/>
                <w:lang w:val="en-US" w:eastAsia="zh-CN" w:bidi="ar"/>
              </w:rPr>
              <w:t>技术团队</w:t>
            </w:r>
            <w:r>
              <w:rPr>
                <w:rFonts w:hint="default" w:ascii="Times New Roman" w:hAnsi="Times New Roman" w:eastAsia="宋体" w:cs="Times New Roman"/>
                <w:color w:val="auto"/>
                <w:kern w:val="0"/>
                <w:sz w:val="21"/>
                <w:szCs w:val="21"/>
                <w:lang w:bidi="ar"/>
              </w:rPr>
              <w:t>人员 (</w:t>
            </w:r>
            <w:r>
              <w:rPr>
                <w:rFonts w:hint="default" w:ascii="Times New Roman" w:hAnsi="Times New Roman" w:cs="Times New Roman"/>
                <w:color w:val="auto"/>
                <w:kern w:val="0"/>
                <w:sz w:val="21"/>
                <w:szCs w:val="21"/>
                <w:lang w:val="en-US" w:eastAsia="zh-CN" w:bidi="ar"/>
              </w:rPr>
              <w:t>10</w:t>
            </w:r>
            <w:r>
              <w:rPr>
                <w:rFonts w:hint="default" w:ascii="Times New Roman" w:hAnsi="Times New Roman" w:eastAsia="宋体" w:cs="Times New Roman"/>
                <w:color w:val="auto"/>
                <w:kern w:val="0"/>
                <w:sz w:val="21"/>
                <w:szCs w:val="21"/>
                <w:lang w:bidi="ar"/>
              </w:rPr>
              <w:t>分)</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14:paraId="5B7D9815">
            <w:pPr>
              <w:keepNext w:val="0"/>
              <w:keepLines w:val="0"/>
              <w:pageBreakBefore w:val="0"/>
              <w:shd w:val="clear"/>
              <w:kinsoku/>
              <w:wordWrap/>
              <w:overflowPunct/>
              <w:topLinePunct w:val="0"/>
              <w:autoSpaceDE/>
              <w:autoSpaceDN/>
              <w:bidi w:val="0"/>
              <w:snapToGrid/>
              <w:spacing w:line="500" w:lineRule="exact"/>
              <w:jc w:val="left"/>
              <w:rPr>
                <w:rFonts w:hint="default" w:ascii="Times New Roman" w:hAnsi="Times New Roman" w:eastAsia="宋体" w:cs="Times New Roman"/>
                <w:kern w:val="0"/>
                <w:sz w:val="21"/>
                <w:szCs w:val="21"/>
                <w:lang w:bidi="ar"/>
              </w:rPr>
            </w:pPr>
            <w:r>
              <w:rPr>
                <w:rFonts w:hint="default" w:ascii="Times New Roman" w:hAnsi="Times New Roman" w:cs="Times New Roman"/>
                <w:kern w:val="0"/>
                <w:sz w:val="21"/>
                <w:szCs w:val="21"/>
                <w:lang w:eastAsia="zh-CN" w:bidi="ar"/>
              </w:rPr>
              <w:t>供应商</w:t>
            </w:r>
            <w:r>
              <w:rPr>
                <w:rFonts w:hint="default" w:ascii="Times New Roman" w:hAnsi="Times New Roman" w:eastAsia="宋体" w:cs="Times New Roman"/>
                <w:color w:val="auto"/>
                <w:kern w:val="0"/>
                <w:sz w:val="21"/>
                <w:szCs w:val="21"/>
                <w:lang w:bidi="ar"/>
              </w:rPr>
              <w:t>派驻本项目的实施人员（项目负责人除外）中具有：①软件设计师或数据恢复工程师或系统架构设计师资质的，</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分/人，</w:t>
            </w:r>
            <w:r>
              <w:rPr>
                <w:rFonts w:hint="default" w:ascii="Times New Roman" w:hAnsi="Times New Roman" w:eastAsia="宋体" w:cs="Times New Roman"/>
                <w:kern w:val="0"/>
                <w:sz w:val="21"/>
                <w:szCs w:val="21"/>
                <w:lang w:bidi="ar"/>
              </w:rPr>
              <w:t>本小项</w:t>
            </w:r>
            <w:r>
              <w:rPr>
                <w:rFonts w:hint="default" w:ascii="Times New Roman" w:hAnsi="Times New Roman" w:eastAsia="宋体" w:cs="Times New Roman"/>
                <w:color w:val="auto"/>
                <w:kern w:val="0"/>
                <w:sz w:val="21"/>
                <w:szCs w:val="21"/>
                <w:lang w:bidi="ar"/>
              </w:rPr>
              <w:t>最高</w:t>
            </w:r>
            <w:r>
              <w:rPr>
                <w:rFonts w:hint="default" w:ascii="Times New Roman" w:hAnsi="Times New Roman" w:eastAsia="宋体"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分；②</w:t>
            </w:r>
            <w:r>
              <w:rPr>
                <w:rFonts w:hint="default" w:ascii="Times New Roman" w:hAnsi="Times New Roman" w:eastAsia="宋体" w:cs="Times New Roman"/>
                <w:kern w:val="0"/>
                <w:sz w:val="21"/>
                <w:szCs w:val="21"/>
                <w:lang w:bidi="ar"/>
              </w:rPr>
              <w:t>具体医保信息化项目经验（《项目合同》或《项目验收报告》或项目建设单位出具的证明上明示为项目成员），每一人得</w:t>
            </w:r>
            <w:r>
              <w:rPr>
                <w:rFonts w:hint="default" w:ascii="Times New Roman" w:hAnsi="Times New Roman" w:eastAsia="宋体" w:cs="Times New Roman"/>
                <w:kern w:val="0"/>
                <w:sz w:val="21"/>
                <w:szCs w:val="21"/>
                <w:lang w:val="en-US" w:eastAsia="zh-CN" w:bidi="ar"/>
              </w:rPr>
              <w:t>1</w:t>
            </w:r>
            <w:r>
              <w:rPr>
                <w:rFonts w:hint="default" w:ascii="Times New Roman" w:hAnsi="Times New Roman" w:eastAsia="宋体" w:cs="Times New Roman"/>
                <w:kern w:val="0"/>
                <w:sz w:val="21"/>
                <w:szCs w:val="21"/>
                <w:lang w:bidi="ar"/>
              </w:rPr>
              <w:t>分，本小项最高得</w:t>
            </w:r>
            <w:r>
              <w:rPr>
                <w:rFonts w:hint="default" w:ascii="Times New Roman" w:hAnsi="Times New Roman" w:eastAsia="宋体" w:cs="Times New Roman"/>
                <w:kern w:val="0"/>
                <w:sz w:val="21"/>
                <w:szCs w:val="21"/>
                <w:lang w:val="en-US" w:eastAsia="zh-CN" w:bidi="ar"/>
              </w:rPr>
              <w:t>5</w:t>
            </w:r>
            <w:r>
              <w:rPr>
                <w:rFonts w:hint="default" w:ascii="Times New Roman" w:hAnsi="Times New Roman" w:eastAsia="宋体" w:cs="Times New Roman"/>
                <w:kern w:val="0"/>
                <w:sz w:val="21"/>
                <w:szCs w:val="21"/>
                <w:lang w:bidi="ar"/>
              </w:rPr>
              <w:t>分。</w:t>
            </w:r>
            <w:r>
              <w:rPr>
                <w:rFonts w:hint="default" w:ascii="Times New Roman" w:hAnsi="Times New Roman" w:eastAsia="宋体" w:cs="Times New Roman"/>
                <w:color w:val="auto"/>
                <w:kern w:val="0"/>
                <w:sz w:val="21"/>
                <w:szCs w:val="21"/>
                <w:lang w:bidi="ar"/>
              </w:rPr>
              <w:t>注：1、提供技术人员的技术资格证书或职称证书复印件；2、提供以上实施人员任职证明材料应符合以下两项之一：①本项目投标截止日之前3个月以内任意1个月的人员参保证明，须提供加盖社会保险基金管理中心印章的《投保单》或《社会保险参保人员证明》；②本项目投标截止日之前3个月以内任意1个月的单位代缴个人所得税证明，须提供加盖税务部门印章的单位代缴个人所得税税单复印件。一人多证只计一项。</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5D466">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kern w:val="0"/>
                <w:sz w:val="21"/>
                <w:szCs w:val="21"/>
                <w:lang w:val="en-US" w:eastAsia="zh-CN" w:bidi="ar"/>
              </w:rPr>
              <w:t>10</w:t>
            </w:r>
          </w:p>
        </w:tc>
      </w:tr>
      <w:tr w14:paraId="6AB8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6"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F27B">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6</w:t>
            </w:r>
          </w:p>
        </w:tc>
        <w:tc>
          <w:tcPr>
            <w:tcW w:w="541" w:type="pct"/>
            <w:vMerge w:val="continue"/>
            <w:tcBorders>
              <w:left w:val="single" w:color="000000" w:sz="4" w:space="0"/>
              <w:bottom w:val="single" w:color="000000" w:sz="4" w:space="0"/>
              <w:right w:val="single" w:color="000000" w:sz="4" w:space="0"/>
            </w:tcBorders>
            <w:shd w:val="clear" w:color="auto" w:fill="auto"/>
            <w:vAlign w:val="center"/>
          </w:tcPr>
          <w:p w14:paraId="0C199FB6">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color w:val="auto"/>
                <w:sz w:val="21"/>
                <w:szCs w:val="21"/>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top"/>
          </w:tcPr>
          <w:p w14:paraId="2ABCF826">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color w:val="auto"/>
                <w:kern w:val="0"/>
                <w:sz w:val="21"/>
                <w:szCs w:val="21"/>
                <w:lang w:bidi="ar"/>
              </w:rPr>
              <w:t>同类项目业绩 (10分)</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top"/>
          </w:tcPr>
          <w:p w14:paraId="214835E5">
            <w:pPr>
              <w:keepNext w:val="0"/>
              <w:keepLines w:val="0"/>
              <w:pageBreakBefore w:val="0"/>
              <w:shd w:val="clear"/>
              <w:kinsoku/>
              <w:wordWrap/>
              <w:overflowPunct/>
              <w:topLinePunct w:val="0"/>
              <w:autoSpaceDE/>
              <w:autoSpaceDN/>
              <w:bidi w:val="0"/>
              <w:snapToGrid/>
              <w:spacing w:line="500" w:lineRule="exact"/>
              <w:jc w:val="left"/>
              <w:rPr>
                <w:rFonts w:hint="default" w:ascii="Times New Roman" w:hAnsi="Times New Roman" w:eastAsia="宋体" w:cs="Times New Roman"/>
                <w:kern w:val="0"/>
                <w:sz w:val="21"/>
                <w:szCs w:val="21"/>
                <w:lang w:val="en-US" w:eastAsia="zh-CN" w:bidi="ar"/>
              </w:rPr>
            </w:pPr>
            <w:r>
              <w:rPr>
                <w:rFonts w:hint="default" w:ascii="Times New Roman" w:hAnsi="Times New Roman" w:cs="Times New Roman"/>
                <w:kern w:val="0"/>
                <w:sz w:val="21"/>
                <w:szCs w:val="21"/>
                <w:lang w:val="en-US" w:eastAsia="zh-CN" w:bidi="ar"/>
              </w:rPr>
              <w:t>供应商</w:t>
            </w:r>
            <w:r>
              <w:rPr>
                <w:rFonts w:hint="default" w:ascii="Times New Roman" w:hAnsi="Times New Roman" w:eastAsia="宋体" w:cs="Times New Roman"/>
                <w:kern w:val="0"/>
                <w:sz w:val="21"/>
                <w:szCs w:val="21"/>
                <w:lang w:bidi="ar"/>
              </w:rPr>
              <w:t>202</w:t>
            </w:r>
            <w:r>
              <w:rPr>
                <w:rFonts w:hint="default" w:ascii="Times New Roman" w:hAnsi="Times New Roman" w:cs="Times New Roman"/>
                <w:kern w:val="0"/>
                <w:sz w:val="21"/>
                <w:szCs w:val="21"/>
                <w:lang w:val="en-US" w:eastAsia="zh-CN" w:bidi="ar"/>
              </w:rPr>
              <w:t>3</w:t>
            </w:r>
            <w:r>
              <w:rPr>
                <w:rFonts w:hint="default" w:ascii="Times New Roman" w:hAnsi="Times New Roman" w:eastAsia="宋体" w:cs="Times New Roman"/>
                <w:kern w:val="0"/>
                <w:sz w:val="21"/>
                <w:szCs w:val="21"/>
                <w:lang w:bidi="ar"/>
              </w:rPr>
              <w:t>年1月1日（以合同签订时间为准）至今独立承担的</w:t>
            </w:r>
            <w:r>
              <w:rPr>
                <w:rFonts w:hint="default" w:ascii="Times New Roman" w:hAnsi="Times New Roman" w:eastAsia="宋体" w:cs="Times New Roman"/>
                <w:kern w:val="0"/>
                <w:sz w:val="21"/>
                <w:szCs w:val="21"/>
                <w:lang w:val="en-US" w:eastAsia="zh-CN" w:bidi="ar"/>
              </w:rPr>
              <w:t>同类</w:t>
            </w:r>
            <w:r>
              <w:rPr>
                <w:rFonts w:hint="default" w:ascii="Times New Roman" w:hAnsi="Times New Roman" w:eastAsia="宋体" w:cs="Times New Roman"/>
                <w:kern w:val="0"/>
                <w:sz w:val="21"/>
                <w:szCs w:val="21"/>
                <w:lang w:bidi="ar"/>
              </w:rPr>
              <w:t>项目</w:t>
            </w:r>
            <w:r>
              <w:rPr>
                <w:rFonts w:hint="default" w:ascii="Times New Roman" w:hAnsi="Times New Roman" w:eastAsia="宋体" w:cs="Times New Roman"/>
                <w:kern w:val="0"/>
                <w:sz w:val="21"/>
                <w:szCs w:val="21"/>
                <w:lang w:val="en-US" w:eastAsia="zh-CN" w:bidi="ar"/>
              </w:rPr>
              <w:t>业绩</w:t>
            </w:r>
            <w:r>
              <w:rPr>
                <w:rFonts w:hint="default" w:ascii="Times New Roman" w:hAnsi="Times New Roman" w:eastAsia="宋体" w:cs="Times New Roman"/>
                <w:kern w:val="0"/>
                <w:sz w:val="21"/>
                <w:szCs w:val="21"/>
                <w:lang w:bidi="ar"/>
              </w:rPr>
              <w:t>，提供1份同类业绩得</w:t>
            </w:r>
            <w:r>
              <w:rPr>
                <w:rFonts w:hint="eastAsia" w:cs="Times New Roman"/>
                <w:kern w:val="0"/>
                <w:sz w:val="21"/>
                <w:szCs w:val="21"/>
                <w:lang w:val="en-US" w:eastAsia="zh-CN" w:bidi="ar"/>
              </w:rPr>
              <w:t>2</w:t>
            </w:r>
            <w:r>
              <w:rPr>
                <w:rFonts w:hint="default" w:ascii="Times New Roman" w:hAnsi="Times New Roman" w:eastAsia="宋体" w:cs="Times New Roman"/>
                <w:kern w:val="0"/>
                <w:sz w:val="21"/>
                <w:szCs w:val="21"/>
                <w:lang w:bidi="ar"/>
              </w:rPr>
              <w:t>分，满分10分。 注：需提供合同关键页复印件并加盖供应商公章，（包括但不限于合同封面页、合同双方、服务内容、签字盖章等复印件），未按要求提供不得分</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同一</w:t>
            </w:r>
            <w:r>
              <w:rPr>
                <w:rFonts w:hint="default" w:ascii="Times New Roman" w:hAnsi="Times New Roman" w:eastAsia="宋体" w:cs="Times New Roman"/>
                <w:kern w:val="0"/>
                <w:sz w:val="21"/>
                <w:szCs w:val="21"/>
                <w:lang w:val="en-US" w:eastAsia="zh-CN" w:bidi="ar"/>
              </w:rPr>
              <w:t>用户</w:t>
            </w:r>
            <w:r>
              <w:rPr>
                <w:rFonts w:hint="default" w:ascii="Times New Roman" w:hAnsi="Times New Roman" w:eastAsia="宋体" w:cs="Times New Roman"/>
                <w:kern w:val="0"/>
                <w:sz w:val="21"/>
                <w:szCs w:val="21"/>
                <w:lang w:bidi="ar"/>
              </w:rPr>
              <w:t>具有多</w:t>
            </w:r>
            <w:r>
              <w:rPr>
                <w:rFonts w:hint="default" w:ascii="Times New Roman" w:hAnsi="Times New Roman" w:eastAsia="宋体" w:cs="Times New Roman"/>
                <w:kern w:val="0"/>
                <w:sz w:val="21"/>
                <w:szCs w:val="21"/>
                <w:lang w:val="en-US" w:eastAsia="zh-CN" w:bidi="ar"/>
              </w:rPr>
              <w:t>份合同</w:t>
            </w:r>
            <w:r>
              <w:rPr>
                <w:rFonts w:hint="default" w:ascii="Times New Roman" w:hAnsi="Times New Roman" w:eastAsia="宋体" w:cs="Times New Roman"/>
                <w:kern w:val="0"/>
                <w:sz w:val="21"/>
                <w:szCs w:val="21"/>
                <w:lang w:bidi="ar"/>
              </w:rPr>
              <w:t>不重复</w:t>
            </w:r>
            <w:r>
              <w:rPr>
                <w:rFonts w:hint="default" w:ascii="Times New Roman" w:hAnsi="Times New Roman" w:eastAsia="宋体" w:cs="Times New Roman"/>
                <w:kern w:val="0"/>
                <w:sz w:val="21"/>
                <w:szCs w:val="21"/>
                <w:lang w:val="en-US" w:eastAsia="zh-CN" w:bidi="ar"/>
              </w:rPr>
              <w:t>计</w:t>
            </w:r>
            <w:r>
              <w:rPr>
                <w:rFonts w:hint="default" w:ascii="Times New Roman" w:hAnsi="Times New Roman" w:eastAsia="宋体" w:cs="Times New Roman"/>
                <w:kern w:val="0"/>
                <w:sz w:val="21"/>
                <w:szCs w:val="21"/>
                <w:lang w:bidi="ar"/>
              </w:rPr>
              <w:t>分</w:t>
            </w:r>
            <w:r>
              <w:rPr>
                <w:rFonts w:hint="default" w:ascii="Times New Roman" w:hAnsi="Times New Roman" w:eastAsia="宋体" w:cs="Times New Roman"/>
                <w:kern w:val="0"/>
                <w:sz w:val="21"/>
                <w:szCs w:val="21"/>
                <w:lang w:eastAsia="zh-CN" w:bidi="ar"/>
              </w:rPr>
              <w:t>。</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C68F7">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0"/>
                <w:sz w:val="21"/>
                <w:szCs w:val="21"/>
                <w:lang w:val="en-US" w:eastAsia="zh-CN" w:bidi="ar"/>
              </w:rPr>
              <w:t>10</w:t>
            </w:r>
          </w:p>
        </w:tc>
      </w:tr>
      <w:tr w14:paraId="20FF7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D2F8">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7</w:t>
            </w:r>
          </w:p>
        </w:tc>
        <w:tc>
          <w:tcPr>
            <w:tcW w:w="541" w:type="pct"/>
            <w:vMerge w:val="restart"/>
            <w:tcBorders>
              <w:top w:val="single" w:color="000000" w:sz="4" w:space="0"/>
              <w:left w:val="single" w:color="000000" w:sz="4" w:space="0"/>
              <w:right w:val="single" w:color="000000" w:sz="4" w:space="0"/>
            </w:tcBorders>
            <w:shd w:val="clear" w:color="auto" w:fill="auto"/>
            <w:vAlign w:val="center"/>
          </w:tcPr>
          <w:p w14:paraId="3C75FF9C">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sz w:val="21"/>
                <w:szCs w:val="21"/>
              </w:rPr>
              <w:t>技术</w:t>
            </w:r>
            <w:r>
              <w:rPr>
                <w:rFonts w:hint="default" w:ascii="Times New Roman" w:hAnsi="Times New Roman" w:eastAsia="宋体" w:cs="Times New Roman"/>
                <w:i w:val="0"/>
                <w:iCs w:val="0"/>
                <w:color w:val="auto"/>
                <w:kern w:val="0"/>
                <w:sz w:val="21"/>
                <w:szCs w:val="21"/>
                <w:u w:val="none"/>
                <w:lang w:val="en-US" w:eastAsia="zh-CN" w:bidi="ar"/>
              </w:rPr>
              <w:t>部分（55分）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C769B">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rPr>
              <w:t>现状及需求</w:t>
            </w:r>
            <w:r>
              <w:rPr>
                <w:rFonts w:hint="default" w:ascii="Times New Roman" w:hAnsi="Times New Roman" w:cs="Times New Roman"/>
                <w:lang w:val="en-US" w:eastAsia="zh-CN"/>
              </w:rPr>
              <w:t>方案</w:t>
            </w:r>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B18B2">
            <w:pPr>
              <w:keepNext w:val="0"/>
              <w:keepLines w:val="0"/>
              <w:pageBreakBefore w:val="0"/>
              <w:kinsoku/>
              <w:wordWrap/>
              <w:overflowPunct/>
              <w:topLinePunct w:val="0"/>
              <w:autoSpaceDE/>
              <w:autoSpaceDN/>
              <w:bidi w:val="0"/>
              <w:snapToGrid/>
              <w:spacing w:line="500" w:lineRule="exac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根据</w:t>
            </w:r>
            <w:r>
              <w:rPr>
                <w:rFonts w:hint="default" w:ascii="Times New Roman" w:hAnsi="Times New Roman" w:cs="Times New Roman"/>
                <w:color w:val="auto"/>
                <w:kern w:val="0"/>
                <w:sz w:val="21"/>
                <w:szCs w:val="21"/>
                <w:lang w:val="en-US" w:eastAsia="zh-CN" w:bidi="ar"/>
              </w:rPr>
              <w:t>供应商</w:t>
            </w:r>
            <w:r>
              <w:rPr>
                <w:rFonts w:hint="default" w:ascii="Times New Roman" w:hAnsi="Times New Roman" w:cs="Times New Roman"/>
              </w:rPr>
              <w:t>现状及需求</w:t>
            </w:r>
            <w:r>
              <w:rPr>
                <w:rFonts w:hint="default" w:ascii="Times New Roman" w:hAnsi="Times New Roman" w:cs="Times New Roman"/>
                <w:lang w:val="en-US" w:eastAsia="zh-CN"/>
              </w:rPr>
              <w:t>分析内容</w:t>
            </w:r>
            <w:r>
              <w:rPr>
                <w:rFonts w:hint="default" w:ascii="Times New Roman" w:hAnsi="Times New Roman" w:eastAsia="宋体" w:cs="Times New Roman"/>
                <w:color w:val="auto"/>
                <w:kern w:val="0"/>
                <w:sz w:val="21"/>
                <w:szCs w:val="21"/>
                <w:lang w:val="en-US" w:eastAsia="zh-CN" w:bidi="ar"/>
              </w:rPr>
              <w:t>进行评审，包括以下内容</w:t>
            </w:r>
            <w:r>
              <w:rPr>
                <w:rFonts w:hint="default" w:ascii="Times New Roman" w:hAnsi="Times New Roman" w:eastAsia="宋体" w:cs="Times New Roman"/>
                <w:lang w:val="en-US" w:eastAsia="zh-CN"/>
              </w:rPr>
              <w:t>：①</w:t>
            </w:r>
            <w:bookmarkStart w:id="18" w:name="_Toc25855"/>
            <w:bookmarkStart w:id="19" w:name="_Toc101420687"/>
            <w:r>
              <w:rPr>
                <w:rFonts w:hint="default" w:ascii="Times New Roman" w:hAnsi="Times New Roman" w:eastAsia="宋体" w:cs="Times New Roman"/>
              </w:rPr>
              <w:t>项目建设背景</w:t>
            </w:r>
            <w:bookmarkEnd w:id="18"/>
            <w:bookmarkEnd w:id="19"/>
            <w:r>
              <w:rPr>
                <w:rFonts w:hint="default" w:ascii="Times New Roman" w:hAnsi="Times New Roman" w:eastAsia="宋体" w:cs="Times New Roman"/>
                <w:lang w:val="en-US" w:eastAsia="zh-CN"/>
              </w:rPr>
              <w:t>；②</w:t>
            </w:r>
            <w:bookmarkStart w:id="20" w:name="_Toc14312"/>
            <w:r>
              <w:rPr>
                <w:rFonts w:hint="default" w:ascii="Times New Roman" w:hAnsi="Times New Roman" w:eastAsia="宋体" w:cs="Times New Roman"/>
              </w:rPr>
              <w:t>业务需求分析</w:t>
            </w:r>
            <w:bookmarkEnd w:id="20"/>
            <w:r>
              <w:rPr>
                <w:rFonts w:hint="default" w:ascii="Times New Roman" w:hAnsi="Times New Roman" w:eastAsia="宋体" w:cs="Times New Roman"/>
                <w:lang w:val="en-US" w:eastAsia="zh-CN"/>
              </w:rPr>
              <w:t>；③</w:t>
            </w:r>
            <w:bookmarkStart w:id="21" w:name="_Toc16355"/>
            <w:r>
              <w:rPr>
                <w:rFonts w:hint="default" w:ascii="Times New Roman" w:hAnsi="Times New Roman" w:eastAsia="宋体" w:cs="Times New Roman"/>
                <w:lang w:val="en-US" w:eastAsia="zh-CN"/>
              </w:rPr>
              <w:t>功能需求分析</w:t>
            </w:r>
            <w:bookmarkEnd w:id="21"/>
            <w:r>
              <w:rPr>
                <w:rFonts w:hint="default" w:ascii="Times New Roman" w:hAnsi="Times New Roman" w:eastAsia="宋体" w:cs="Times New Roman"/>
                <w:lang w:val="en-US" w:eastAsia="zh-CN"/>
              </w:rPr>
              <w:t>；④</w:t>
            </w:r>
            <w:bookmarkStart w:id="22" w:name="_Toc14842"/>
            <w:bookmarkStart w:id="23" w:name="_Toc76685567"/>
            <w:bookmarkStart w:id="24" w:name="_Toc27969"/>
            <w:bookmarkStart w:id="25" w:name="_Toc25253"/>
            <w:bookmarkStart w:id="26" w:name="_Toc101420709"/>
            <w:bookmarkStart w:id="27" w:name="_Toc9267"/>
            <w:r>
              <w:rPr>
                <w:rFonts w:hint="default" w:ascii="Times New Roman" w:hAnsi="Times New Roman" w:eastAsia="宋体" w:cs="Times New Roman"/>
              </w:rPr>
              <w:t>系统性能需求分析</w:t>
            </w:r>
            <w:bookmarkEnd w:id="22"/>
            <w:bookmarkEnd w:id="23"/>
            <w:bookmarkEnd w:id="24"/>
            <w:bookmarkEnd w:id="25"/>
            <w:bookmarkEnd w:id="26"/>
            <w:bookmarkEnd w:id="27"/>
            <w:r>
              <w:rPr>
                <w:rFonts w:hint="default" w:ascii="Times New Roman" w:hAnsi="Times New Roman" w:eastAsia="宋体" w:cs="Times New Roman"/>
                <w:lang w:val="en-US" w:eastAsia="zh-CN"/>
              </w:rPr>
              <w:t>；⑤</w:t>
            </w:r>
            <w:bookmarkStart w:id="28" w:name="_Toc16348"/>
            <w:bookmarkStart w:id="29" w:name="_Toc83408191"/>
            <w:bookmarkStart w:id="30" w:name="_Toc22959"/>
            <w:bookmarkStart w:id="31" w:name="_Toc6200"/>
            <w:r>
              <w:rPr>
                <w:rFonts w:hint="default" w:ascii="Times New Roman" w:hAnsi="Times New Roman" w:eastAsia="宋体" w:cs="Times New Roman"/>
                <w:lang w:val="en-US" w:eastAsia="zh-CN"/>
              </w:rPr>
              <w:t>基础设施需求分析</w:t>
            </w:r>
            <w:bookmarkEnd w:id="28"/>
            <w:r>
              <w:rPr>
                <w:rFonts w:hint="default" w:ascii="Times New Roman" w:hAnsi="Times New Roman" w:eastAsia="宋体" w:cs="Times New Roman"/>
                <w:lang w:val="en-US" w:eastAsia="zh-CN"/>
              </w:rPr>
              <w:t>；⑥系统使用人员</w:t>
            </w:r>
            <w:bookmarkEnd w:id="29"/>
            <w:r>
              <w:rPr>
                <w:rFonts w:hint="default" w:ascii="Times New Roman" w:hAnsi="Times New Roman" w:eastAsia="宋体" w:cs="Times New Roman"/>
                <w:lang w:val="en-US" w:eastAsia="zh-CN"/>
              </w:rPr>
              <w:t>分析</w:t>
            </w:r>
            <w:bookmarkEnd w:id="30"/>
            <w:bookmarkEnd w:id="31"/>
            <w:r>
              <w:rPr>
                <w:rFonts w:hint="default" w:ascii="Times New Roman" w:hAnsi="Times New Roman" w:eastAsia="宋体" w:cs="Times New Roman"/>
                <w:lang w:val="en-US" w:eastAsia="zh-CN"/>
              </w:rPr>
              <w:t>；⑦</w:t>
            </w:r>
            <w:bookmarkStart w:id="32" w:name="_Toc12378"/>
            <w:bookmarkStart w:id="33" w:name="_Toc101420711"/>
            <w:r>
              <w:rPr>
                <w:rFonts w:hint="default" w:ascii="Times New Roman" w:hAnsi="Times New Roman" w:eastAsia="宋体" w:cs="Times New Roman"/>
              </w:rPr>
              <w:t>信息安全保障需求</w:t>
            </w:r>
            <w:bookmarkEnd w:id="32"/>
            <w:bookmarkEnd w:id="33"/>
            <w:r>
              <w:rPr>
                <w:rFonts w:hint="default" w:ascii="Times New Roman" w:hAnsi="Times New Roman" w:eastAsia="宋体" w:cs="Times New Roman"/>
                <w:lang w:val="en-US" w:eastAsia="zh-CN"/>
              </w:rPr>
              <w:t>；⑧项目建设意义和必要性分析。</w:t>
            </w:r>
          </w:p>
          <w:p w14:paraId="09FE2959">
            <w:pPr>
              <w:keepNext w:val="0"/>
              <w:keepLines w:val="0"/>
              <w:pageBreakBefore w:val="0"/>
              <w:kinsoku/>
              <w:wordWrap/>
              <w:overflowPunct/>
              <w:topLinePunct w:val="0"/>
              <w:autoSpaceDE/>
              <w:autoSpaceDN/>
              <w:bidi w:val="0"/>
              <w:snapToGrid/>
              <w:spacing w:line="500" w:lineRule="exact"/>
              <w:rPr>
                <w:rFonts w:hint="default" w:ascii="Times New Roman" w:hAnsi="Times New Roman" w:eastAsia="宋体" w:cs="Times New Roman"/>
                <w:sz w:val="21"/>
                <w:szCs w:val="21"/>
                <w:lang w:val="en-US" w:eastAsia="zh-CN"/>
              </w:rPr>
            </w:pPr>
            <w:r>
              <w:rPr>
                <w:rFonts w:hint="default" w:ascii="Times New Roman" w:hAnsi="Times New Roman" w:cs="Times New Roman"/>
                <w:lang w:val="en-US" w:eastAsia="zh-CN"/>
              </w:rPr>
              <w:t>方案包含上述8项内容的，</w:t>
            </w:r>
            <w:r>
              <w:rPr>
                <w:rFonts w:hint="default" w:ascii="Times New Roman" w:hAnsi="Times New Roman" w:eastAsia="宋体" w:cs="Times New Roman"/>
                <w:color w:val="auto"/>
                <w:kern w:val="0"/>
                <w:sz w:val="21"/>
                <w:szCs w:val="21"/>
                <w:lang w:val="en-US" w:eastAsia="zh-CN" w:bidi="ar"/>
              </w:rPr>
              <w:t>每提供一项得1分，最高得8分</w:t>
            </w:r>
            <w:r>
              <w:rPr>
                <w:rFonts w:hint="default" w:ascii="Times New Roman" w:hAnsi="Times New Roman" w:cs="Times New Roman"/>
                <w:lang w:val="en-US" w:eastAsia="zh-CN"/>
              </w:rPr>
              <w:t>。</w:t>
            </w:r>
            <w:r>
              <w:rPr>
                <w:rFonts w:hint="default" w:ascii="Times New Roman" w:hAnsi="Times New Roman" w:eastAsia="宋体" w:cs="Times New Roman"/>
                <w:sz w:val="21"/>
                <w:szCs w:val="21"/>
                <w:lang w:val="en-US" w:eastAsia="zh-CN"/>
              </w:rPr>
              <w:t>本部分评分内容为客观分，</w:t>
            </w:r>
            <w:r>
              <w:rPr>
                <w:rFonts w:hint="eastAsia" w:cs="Times New Roman"/>
                <w:sz w:val="21"/>
                <w:szCs w:val="21"/>
                <w:lang w:val="en-US" w:eastAsia="zh-CN"/>
              </w:rPr>
              <w:t>评审</w:t>
            </w:r>
            <w:r>
              <w:rPr>
                <w:rFonts w:hint="default" w:ascii="Times New Roman" w:hAnsi="Times New Roman" w:eastAsia="宋体" w:cs="Times New Roman"/>
                <w:sz w:val="21"/>
                <w:szCs w:val="21"/>
                <w:lang w:val="en-US" w:eastAsia="zh-CN"/>
              </w:rPr>
              <w:t>委员会成员评分须一致</w:t>
            </w:r>
          </w:p>
          <w:p w14:paraId="62383C30">
            <w:pPr>
              <w:pStyle w:val="2"/>
              <w:keepNext w:val="0"/>
              <w:keepLines w:val="0"/>
              <w:pageBreakBefore w:val="0"/>
              <w:shd w:val="clear"/>
              <w:kinsoku/>
              <w:wordWrap/>
              <w:overflowPunct/>
              <w:topLinePunct w:val="0"/>
              <w:autoSpaceDE/>
              <w:autoSpaceDN/>
              <w:bidi w:val="0"/>
              <w:snapToGrid/>
              <w:spacing w:line="500" w:lineRule="exact"/>
              <w:ind w:firstLine="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2、在上述基础上对方案的符合性进行评审(满分4分):</w:t>
            </w:r>
          </w:p>
          <w:p w14:paraId="32966389">
            <w:pPr>
              <w:pStyle w:val="2"/>
              <w:keepNext w:val="0"/>
              <w:keepLines w:val="0"/>
              <w:pageBreakBefore w:val="0"/>
              <w:shd w:val="clear"/>
              <w:kinsoku/>
              <w:wordWrap/>
              <w:overflowPunct/>
              <w:topLinePunct w:val="0"/>
              <w:autoSpaceDE/>
              <w:autoSpaceDN/>
              <w:bidi w:val="0"/>
              <w:snapToGrid/>
              <w:spacing w:line="500" w:lineRule="exact"/>
              <w:ind w:firstLine="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(1)方案制定详细全面，可操作性和规范性强。得4分;</w:t>
            </w:r>
          </w:p>
          <w:p w14:paraId="242E2B75">
            <w:pPr>
              <w:pStyle w:val="2"/>
              <w:keepNext w:val="0"/>
              <w:keepLines w:val="0"/>
              <w:pageBreakBefore w:val="0"/>
              <w:shd w:val="clear"/>
              <w:kinsoku/>
              <w:wordWrap/>
              <w:overflowPunct/>
              <w:topLinePunct w:val="0"/>
              <w:autoSpaceDE/>
              <w:autoSpaceDN/>
              <w:bidi w:val="0"/>
              <w:snapToGrid/>
              <w:spacing w:line="500" w:lineRule="exact"/>
              <w:ind w:firstLine="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(2)方案制定较详细，可操作性和规范性较强。得3分;</w:t>
            </w:r>
          </w:p>
          <w:p w14:paraId="033E9FE0">
            <w:pPr>
              <w:pStyle w:val="2"/>
              <w:keepNext w:val="0"/>
              <w:keepLines w:val="0"/>
              <w:pageBreakBefore w:val="0"/>
              <w:shd w:val="clear"/>
              <w:kinsoku/>
              <w:wordWrap/>
              <w:overflowPunct/>
              <w:topLinePunct w:val="0"/>
              <w:autoSpaceDE/>
              <w:autoSpaceDN/>
              <w:bidi w:val="0"/>
              <w:snapToGrid/>
              <w:spacing w:line="500" w:lineRule="exact"/>
              <w:ind w:firstLine="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(3)方案制定一般，可操作性和规范性一般。得2分;</w:t>
            </w:r>
          </w:p>
          <w:p w14:paraId="68223A05">
            <w:pPr>
              <w:pStyle w:val="2"/>
              <w:keepNext w:val="0"/>
              <w:keepLines w:val="0"/>
              <w:pageBreakBefore w:val="0"/>
              <w:shd w:val="clear"/>
              <w:kinsoku/>
              <w:wordWrap/>
              <w:overflowPunct/>
              <w:topLinePunct w:val="0"/>
              <w:autoSpaceDE/>
              <w:autoSpaceDN/>
              <w:bidi w:val="0"/>
              <w:snapToGrid/>
              <w:spacing w:line="500" w:lineRule="exact"/>
              <w:ind w:firstLine="0"/>
              <w:jc w:val="both"/>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lang w:val="en-US" w:eastAsia="zh-CN"/>
              </w:rPr>
              <w:t>(4)方案制定不详细，可操作性和规范性差。得1分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91634">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cs="Times New Roman"/>
                <w:i w:val="0"/>
                <w:iCs w:val="0"/>
                <w:color w:val="auto"/>
                <w:kern w:val="0"/>
                <w:sz w:val="21"/>
                <w:szCs w:val="21"/>
                <w:u w:val="none"/>
                <w:lang w:val="en-US" w:eastAsia="zh-CN" w:bidi="ar"/>
              </w:rPr>
              <w:t>12</w:t>
            </w:r>
          </w:p>
        </w:tc>
      </w:tr>
      <w:tr w14:paraId="00949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2"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D848">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8</w:t>
            </w:r>
          </w:p>
        </w:tc>
        <w:tc>
          <w:tcPr>
            <w:tcW w:w="541" w:type="pct"/>
            <w:vMerge w:val="continue"/>
            <w:tcBorders>
              <w:left w:val="single" w:color="000000" w:sz="4" w:space="0"/>
              <w:right w:val="single" w:color="000000" w:sz="4" w:space="0"/>
            </w:tcBorders>
            <w:shd w:val="clear" w:color="auto" w:fill="auto"/>
            <w:vAlign w:val="center"/>
          </w:tcPr>
          <w:p w14:paraId="048FD54D">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9C46E">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lang w:val="en-US" w:eastAsia="zh-CN"/>
              </w:rPr>
            </w:pPr>
            <w:bookmarkStart w:id="34" w:name="_Toc19976"/>
            <w:bookmarkStart w:id="35" w:name="_Toc1124"/>
            <w:bookmarkStart w:id="36" w:name="_Toc6556"/>
            <w:bookmarkStart w:id="37" w:name="_Toc21524"/>
            <w:bookmarkStart w:id="38" w:name="_Toc15971"/>
            <w:r>
              <w:rPr>
                <w:rFonts w:hint="default" w:ascii="Times New Roman" w:hAnsi="Times New Roman" w:eastAsia="宋体" w:cs="Times New Roman"/>
                <w:lang w:val="en-US" w:eastAsia="zh-CN"/>
              </w:rPr>
              <w:t>基本医疗保险参保长效机制政策调整</w:t>
            </w:r>
            <w:bookmarkEnd w:id="34"/>
            <w:bookmarkEnd w:id="35"/>
            <w:bookmarkEnd w:id="36"/>
            <w:bookmarkEnd w:id="37"/>
            <w:r>
              <w:rPr>
                <w:rFonts w:hint="default" w:ascii="Times New Roman" w:hAnsi="Times New Roman" w:eastAsia="宋体" w:cs="Times New Roman"/>
                <w:lang w:val="en-US" w:eastAsia="zh-CN"/>
              </w:rPr>
              <w:t>改造方案</w:t>
            </w:r>
            <w:bookmarkEnd w:id="38"/>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17434">
            <w:pPr>
              <w:pStyle w:val="2"/>
              <w:keepNext w:val="0"/>
              <w:keepLines w:val="0"/>
              <w:pageBreakBefore w:val="0"/>
              <w:shd w:val="clear"/>
              <w:kinsoku/>
              <w:wordWrap/>
              <w:overflowPunct/>
              <w:topLinePunct w:val="0"/>
              <w:autoSpaceDE/>
              <w:autoSpaceDN/>
              <w:bidi w:val="0"/>
              <w:snapToGrid/>
              <w:spacing w:line="500" w:lineRule="exact"/>
              <w:ind w:firstLine="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w:t>
            </w:r>
            <w:r>
              <w:rPr>
                <w:rFonts w:hint="default" w:ascii="Times New Roman" w:hAnsi="Times New Roman" w:cs="Times New Roman"/>
                <w:lang w:val="en-US" w:eastAsia="zh-CN"/>
              </w:rPr>
              <w:t>供应商</w:t>
            </w:r>
            <w:r>
              <w:rPr>
                <w:rFonts w:hint="default" w:ascii="Times New Roman" w:hAnsi="Times New Roman" w:eastAsia="宋体" w:cs="Times New Roman"/>
                <w:lang w:val="en-US" w:eastAsia="zh-CN"/>
              </w:rPr>
              <w:t>项目基本医疗保险参保长效机制政策调整改造方案进行评审，包括以下内容：①</w:t>
            </w:r>
            <w:r>
              <w:rPr>
                <w:rFonts w:hint="default" w:ascii="Times New Roman" w:hAnsi="Times New Roman" w:eastAsia="宋体" w:cs="Times New Roman"/>
                <w:lang w:val="en-GB" w:eastAsia="zh-CN"/>
              </w:rPr>
              <w:t>政策分析</w:t>
            </w:r>
            <w:r>
              <w:rPr>
                <w:rFonts w:hint="default" w:ascii="Times New Roman" w:hAnsi="Times New Roman" w:eastAsia="宋体" w:cs="Times New Roman"/>
                <w:lang w:val="en-US" w:eastAsia="zh-CN"/>
              </w:rPr>
              <w:t>；②居民参保登记配置及改造；③我的医保档案功能改造；④单位网厅功能改造；⑤一人一档功能</w:t>
            </w:r>
            <w:r>
              <w:rPr>
                <w:rFonts w:hint="default" w:ascii="Times New Roman" w:hAnsi="Times New Roman" w:eastAsia="宋体" w:cs="Times New Roman"/>
                <w:lang w:val="en-GB" w:eastAsia="zh-CN"/>
              </w:rPr>
              <w:t>配置及改造；</w:t>
            </w:r>
            <w:r>
              <w:rPr>
                <w:rFonts w:hint="default" w:ascii="Times New Roman" w:hAnsi="Times New Roman" w:eastAsia="宋体" w:cs="Times New Roman"/>
                <w:lang w:val="en-US" w:eastAsia="zh-CN"/>
              </w:rPr>
              <w:t>⑥城乡居民参保登记优化配置及改造；⑦居民缴费到账优化配置及改造；⑧普通居民享受时间系统改造；⑨居民延缴期享受条件系统改造；⑩资助参保人员享受条件系统改造；⑪新生儿享受条件系统改造；⑫大学新生享受条件系统改造。</w:t>
            </w:r>
          </w:p>
          <w:p w14:paraId="0A40611E">
            <w:pPr>
              <w:pStyle w:val="2"/>
              <w:keepNext w:val="0"/>
              <w:keepLines w:val="0"/>
              <w:pageBreakBefore w:val="0"/>
              <w:shd w:val="clear"/>
              <w:kinsoku/>
              <w:wordWrap/>
              <w:overflowPunct/>
              <w:topLinePunct w:val="0"/>
              <w:autoSpaceDE/>
              <w:autoSpaceDN/>
              <w:bidi w:val="0"/>
              <w:snapToGrid/>
              <w:spacing w:line="500" w:lineRule="exact"/>
              <w:ind w:firstLine="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1、方案包含上述12项内容的，每提供一项得1分，最高得12分。本部分评分内容为客观分，</w:t>
            </w:r>
            <w:r>
              <w:rPr>
                <w:rFonts w:hint="eastAsia" w:ascii="Times New Roman" w:hAnsi="Times New Roman" w:cs="Times New Roman"/>
                <w:lang w:val="en-US" w:eastAsia="zh-CN"/>
              </w:rPr>
              <w:t>评审</w:t>
            </w:r>
            <w:r>
              <w:rPr>
                <w:rFonts w:hint="default" w:ascii="Times New Roman" w:hAnsi="Times New Roman" w:eastAsia="宋体" w:cs="Times New Roman"/>
                <w:lang w:val="en-US" w:eastAsia="zh-CN"/>
              </w:rPr>
              <w:t>委员会成员评分须一致。</w:t>
            </w:r>
          </w:p>
          <w:p w14:paraId="6BB74A1B">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cs="Times New Roman"/>
                <w:lang w:val="en-US" w:eastAsia="zh-CN"/>
              </w:rPr>
            </w:pPr>
            <w:r>
              <w:rPr>
                <w:rFonts w:hint="default" w:ascii="Times New Roman" w:hAnsi="Times New Roman" w:cs="Times New Roman"/>
                <w:lang w:val="en-US" w:eastAsia="zh-CN"/>
              </w:rPr>
              <w:t>2、在上述基础上对方案的符合性进行评审(满分4分):</w:t>
            </w:r>
          </w:p>
          <w:p w14:paraId="63034D85">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cs="Times New Roman"/>
                <w:lang w:val="en-US" w:eastAsia="zh-CN"/>
              </w:rPr>
            </w:pPr>
            <w:r>
              <w:rPr>
                <w:rFonts w:hint="default" w:ascii="Times New Roman" w:hAnsi="Times New Roman" w:cs="Times New Roman"/>
                <w:lang w:val="en-US" w:eastAsia="zh-CN"/>
              </w:rPr>
              <w:t>(1)方案制定详细全面，可操作性和规范性强。得4分;</w:t>
            </w:r>
          </w:p>
          <w:p w14:paraId="6CF80B74">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cs="Times New Roman"/>
                <w:lang w:val="en-US" w:eastAsia="zh-CN"/>
              </w:rPr>
            </w:pPr>
            <w:r>
              <w:rPr>
                <w:rFonts w:hint="default" w:ascii="Times New Roman" w:hAnsi="Times New Roman" w:cs="Times New Roman"/>
                <w:lang w:val="en-US" w:eastAsia="zh-CN"/>
              </w:rPr>
              <w:t>(2)方案制定较详细，可操作性和规范性较强。得3分;</w:t>
            </w:r>
          </w:p>
          <w:p w14:paraId="23F7FB4F">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cs="Times New Roman"/>
                <w:lang w:val="en-US" w:eastAsia="zh-CN"/>
              </w:rPr>
            </w:pPr>
            <w:r>
              <w:rPr>
                <w:rFonts w:hint="default" w:ascii="Times New Roman" w:hAnsi="Times New Roman" w:cs="Times New Roman"/>
                <w:lang w:val="en-US" w:eastAsia="zh-CN"/>
              </w:rPr>
              <w:t>(3)方案制定一般，可操作性和规范性一般。得2分;</w:t>
            </w:r>
          </w:p>
          <w:p w14:paraId="0E804914">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lang w:val="en-US" w:eastAsia="zh-CN"/>
              </w:rPr>
              <w:t>(4)方案制定不详细，可操作性和规范性差。得1分。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321E1">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cs="Times New Roman"/>
                <w:i w:val="0"/>
                <w:iCs w:val="0"/>
                <w:color w:val="auto"/>
                <w:kern w:val="0"/>
                <w:sz w:val="21"/>
                <w:szCs w:val="21"/>
                <w:u w:val="none"/>
                <w:lang w:val="en-US" w:eastAsia="zh-CN" w:bidi="ar"/>
              </w:rPr>
              <w:t>1</w:t>
            </w:r>
            <w:r>
              <w:rPr>
                <w:rFonts w:hint="default" w:ascii="Times New Roman" w:hAnsi="Times New Roman" w:eastAsia="宋体" w:cs="Times New Roman"/>
                <w:i w:val="0"/>
                <w:iCs w:val="0"/>
                <w:color w:val="auto"/>
                <w:kern w:val="0"/>
                <w:sz w:val="21"/>
                <w:szCs w:val="21"/>
                <w:u w:val="none"/>
                <w:lang w:val="en-US" w:eastAsia="zh-CN" w:bidi="ar"/>
              </w:rPr>
              <w:t>6</w:t>
            </w:r>
          </w:p>
        </w:tc>
      </w:tr>
      <w:tr w14:paraId="7803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8E2D">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9</w:t>
            </w:r>
          </w:p>
        </w:tc>
        <w:tc>
          <w:tcPr>
            <w:tcW w:w="541" w:type="pct"/>
            <w:vMerge w:val="continue"/>
            <w:tcBorders>
              <w:left w:val="single" w:color="000000" w:sz="4" w:space="0"/>
              <w:right w:val="single" w:color="000000" w:sz="4" w:space="0"/>
            </w:tcBorders>
            <w:shd w:val="clear" w:color="auto" w:fill="auto"/>
            <w:vAlign w:val="center"/>
          </w:tcPr>
          <w:p w14:paraId="290AD8D9">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7C809">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lang w:val="en-US" w:eastAsia="zh-CN"/>
              </w:rPr>
            </w:pPr>
            <w:bookmarkStart w:id="39" w:name="_Toc4894"/>
            <w:bookmarkStart w:id="40" w:name="_Toc4204"/>
            <w:bookmarkStart w:id="41" w:name="_Toc3507"/>
            <w:bookmarkStart w:id="42" w:name="_Toc10146"/>
            <w:bookmarkStart w:id="43" w:name="_Toc16412"/>
            <w:r>
              <w:rPr>
                <w:rFonts w:hint="default" w:ascii="Times New Roman" w:hAnsi="Times New Roman" w:eastAsia="宋体" w:cs="Times New Roman"/>
                <w:lang w:val="en-US" w:eastAsia="zh-CN"/>
              </w:rPr>
              <w:t>关于建立医保支付资格管理制度</w:t>
            </w:r>
            <w:bookmarkEnd w:id="39"/>
            <w:bookmarkEnd w:id="40"/>
            <w:bookmarkEnd w:id="41"/>
            <w:bookmarkEnd w:id="42"/>
            <w:r>
              <w:rPr>
                <w:rFonts w:hint="default" w:ascii="Times New Roman" w:hAnsi="Times New Roman" w:eastAsia="宋体" w:cs="Times New Roman"/>
                <w:lang w:val="en-US" w:eastAsia="zh-CN"/>
              </w:rPr>
              <w:t>改造方案</w:t>
            </w:r>
            <w:bookmarkEnd w:id="43"/>
          </w:p>
        </w:tc>
        <w:tc>
          <w:tcPr>
            <w:tcW w:w="29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6AC4B">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w:t>
            </w:r>
            <w:r>
              <w:rPr>
                <w:rFonts w:hint="default" w:ascii="Times New Roman" w:hAnsi="Times New Roman" w:cs="Times New Roman"/>
                <w:lang w:val="en-US" w:eastAsia="zh-CN"/>
              </w:rPr>
              <w:t>供应商</w:t>
            </w:r>
            <w:r>
              <w:rPr>
                <w:rFonts w:hint="default" w:ascii="Times New Roman" w:hAnsi="Times New Roman" w:eastAsia="宋体" w:cs="Times New Roman"/>
                <w:lang w:val="en-US" w:eastAsia="zh-CN"/>
              </w:rPr>
              <w:t>项目关于建立医保支付资格管理制度改造方案进行评审，包括以下内容：①</w:t>
            </w:r>
            <w:r>
              <w:rPr>
                <w:rFonts w:hint="default" w:ascii="Times New Roman" w:hAnsi="Times New Roman" w:eastAsia="宋体" w:cs="Times New Roman"/>
                <w:lang w:val="en-GB" w:eastAsia="zh-CN"/>
              </w:rPr>
              <w:t>政策分析</w:t>
            </w:r>
            <w:r>
              <w:rPr>
                <w:rFonts w:hint="default" w:ascii="Times New Roman" w:hAnsi="Times New Roman" w:eastAsia="宋体" w:cs="Times New Roman"/>
                <w:lang w:val="en-US" w:eastAsia="zh-CN"/>
              </w:rPr>
              <w:t>；②</w:t>
            </w:r>
            <w:bookmarkStart w:id="44" w:name="_Toc8827"/>
            <w:r>
              <w:rPr>
                <w:rFonts w:hint="default" w:ascii="Times New Roman" w:hAnsi="Times New Roman" w:eastAsia="宋体" w:cs="Times New Roman"/>
                <w:lang w:val="en-GB" w:eastAsia="zh-CN"/>
              </w:rPr>
              <w:t>承诺书上传</w:t>
            </w:r>
            <w:bookmarkEnd w:id="44"/>
            <w:r>
              <w:rPr>
                <w:rFonts w:hint="default" w:ascii="Times New Roman" w:hAnsi="Times New Roman" w:eastAsia="宋体" w:cs="Times New Roman"/>
                <w:lang w:val="en-US" w:eastAsia="zh-CN"/>
              </w:rPr>
              <w:t>功能</w:t>
            </w:r>
            <w:r>
              <w:rPr>
                <w:rFonts w:hint="default" w:ascii="Times New Roman" w:hAnsi="Times New Roman" w:eastAsia="宋体" w:cs="Times New Roman"/>
                <w:lang w:val="en-GB" w:eastAsia="zh-CN"/>
              </w:rPr>
              <w:t>配置及改造</w:t>
            </w:r>
            <w:r>
              <w:rPr>
                <w:rFonts w:hint="default" w:ascii="Times New Roman" w:hAnsi="Times New Roman" w:eastAsia="宋体" w:cs="Times New Roman"/>
                <w:lang w:val="en-US" w:eastAsia="zh-CN"/>
              </w:rPr>
              <w:t>；③</w:t>
            </w:r>
            <w:bookmarkStart w:id="45" w:name="_Toc30364"/>
            <w:r>
              <w:rPr>
                <w:rFonts w:hint="default" w:ascii="Times New Roman" w:hAnsi="Times New Roman" w:eastAsia="宋体" w:cs="Times New Roman"/>
                <w:lang w:val="en-GB" w:eastAsia="zh-CN"/>
              </w:rPr>
              <w:t>记分维护功能</w:t>
            </w:r>
            <w:bookmarkEnd w:id="45"/>
            <w:r>
              <w:rPr>
                <w:rFonts w:hint="default" w:ascii="Times New Roman" w:hAnsi="Times New Roman" w:eastAsia="宋体" w:cs="Times New Roman"/>
                <w:lang w:val="en-US" w:eastAsia="zh-CN"/>
              </w:rPr>
              <w:t>配置及改造；④</w:t>
            </w:r>
            <w:bookmarkStart w:id="46" w:name="_Toc18848"/>
            <w:r>
              <w:rPr>
                <w:rFonts w:hint="default" w:ascii="Times New Roman" w:hAnsi="Times New Roman" w:eastAsia="宋体" w:cs="Times New Roman"/>
                <w:lang w:val="en-GB" w:eastAsia="zh-CN"/>
              </w:rPr>
              <w:t>陈述申辩业务</w:t>
            </w:r>
            <w:bookmarkEnd w:id="46"/>
            <w:r>
              <w:rPr>
                <w:rFonts w:hint="default" w:ascii="Times New Roman" w:hAnsi="Times New Roman" w:eastAsia="宋体" w:cs="Times New Roman"/>
                <w:lang w:val="en-US" w:eastAsia="zh-CN"/>
              </w:rPr>
              <w:t>配置及改造；⑤</w:t>
            </w:r>
            <w:bookmarkStart w:id="47" w:name="_Toc14407"/>
            <w:r>
              <w:rPr>
                <w:rFonts w:hint="default" w:ascii="Times New Roman" w:hAnsi="Times New Roman" w:eastAsia="宋体" w:cs="Times New Roman"/>
                <w:lang w:val="en-GB" w:eastAsia="zh-CN"/>
              </w:rPr>
              <w:t>记分修复业务</w:t>
            </w:r>
            <w:bookmarkEnd w:id="47"/>
            <w:r>
              <w:rPr>
                <w:rFonts w:hint="default" w:ascii="Times New Roman" w:hAnsi="Times New Roman" w:eastAsia="宋体" w:cs="Times New Roman"/>
                <w:lang w:val="en-GB" w:eastAsia="zh-CN"/>
              </w:rPr>
              <w:t>配置及改造</w:t>
            </w:r>
            <w:r>
              <w:rPr>
                <w:rFonts w:hint="default" w:ascii="Times New Roman" w:hAnsi="Times New Roman" w:eastAsia="宋体" w:cs="Times New Roman"/>
                <w:lang w:val="en-US" w:eastAsia="zh-CN"/>
              </w:rPr>
              <w:t>；⑥</w:t>
            </w:r>
            <w:bookmarkStart w:id="48" w:name="_Toc7476"/>
            <w:r>
              <w:rPr>
                <w:rFonts w:hint="default" w:ascii="Times New Roman" w:hAnsi="Times New Roman" w:eastAsia="宋体" w:cs="Times New Roman"/>
                <w:lang w:val="en-GB" w:eastAsia="zh-CN"/>
              </w:rPr>
              <w:t>资格恢复业务</w:t>
            </w:r>
            <w:bookmarkEnd w:id="48"/>
            <w:r>
              <w:rPr>
                <w:rFonts w:hint="default" w:ascii="Times New Roman" w:hAnsi="Times New Roman" w:eastAsia="宋体" w:cs="Times New Roman"/>
                <w:lang w:val="en-US" w:eastAsia="zh-CN"/>
              </w:rPr>
              <w:t>配置及改造。</w:t>
            </w:r>
          </w:p>
          <w:p w14:paraId="1EBDACEE">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1、方案包含上述6项内容的，每提供一项得1分，最高得6分。本部分评分内容为客观分，</w:t>
            </w:r>
            <w:r>
              <w:rPr>
                <w:rFonts w:hint="eastAsia" w:ascii="Times New Roman" w:hAnsi="Times New Roman" w:cs="Times New Roman"/>
                <w:lang w:val="en-US" w:eastAsia="zh-CN"/>
              </w:rPr>
              <w:t>评审</w:t>
            </w:r>
            <w:r>
              <w:rPr>
                <w:rFonts w:hint="default" w:ascii="Times New Roman" w:hAnsi="Times New Roman" w:eastAsia="宋体" w:cs="Times New Roman"/>
                <w:lang w:val="en-US" w:eastAsia="zh-CN"/>
              </w:rPr>
              <w:t>委员会成员评分须一致。</w:t>
            </w:r>
          </w:p>
          <w:p w14:paraId="679B65C2">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2、在上述基础上对方案的符合性进行评审(满分4分):</w:t>
            </w:r>
          </w:p>
          <w:p w14:paraId="42478290">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(1)方案制定详细全面，可操作性和规范性强。得4分;</w:t>
            </w:r>
          </w:p>
          <w:p w14:paraId="56496DEA">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(2)方案制定较详细，可操作性和规范性较强。得3分;</w:t>
            </w:r>
          </w:p>
          <w:p w14:paraId="528B3937">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(3)方案制定一般，可操作性和规范性一般。得2分;</w:t>
            </w:r>
          </w:p>
          <w:p w14:paraId="5A32E36D">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lang w:val="en-US" w:eastAsia="zh-CN"/>
              </w:rPr>
              <w:t>(4)方案制定不详细，可操作性和规范性差。得1分</w:t>
            </w:r>
            <w:r>
              <w:rPr>
                <w:rFonts w:hint="default" w:ascii="Times New Roman" w:hAnsi="Times New Roman" w:cs="Times New Roman"/>
                <w:lang w:val="en-US" w:eastAsia="zh-CN"/>
              </w:rPr>
              <w:t>。</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BE2B">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cs="Times New Roman"/>
                <w:i w:val="0"/>
                <w:iCs w:val="0"/>
                <w:color w:val="auto"/>
                <w:kern w:val="0"/>
                <w:sz w:val="21"/>
                <w:szCs w:val="21"/>
                <w:u w:val="none"/>
                <w:lang w:val="en-US" w:eastAsia="zh-CN" w:bidi="ar"/>
              </w:rPr>
              <w:t>10</w:t>
            </w:r>
          </w:p>
        </w:tc>
      </w:tr>
      <w:tr w14:paraId="38BA5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8FCAE">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10</w:t>
            </w:r>
          </w:p>
        </w:tc>
        <w:tc>
          <w:tcPr>
            <w:tcW w:w="541" w:type="pct"/>
            <w:vMerge w:val="continue"/>
            <w:tcBorders>
              <w:left w:val="single" w:color="000000" w:sz="4" w:space="0"/>
              <w:right w:val="single" w:color="000000" w:sz="4" w:space="0"/>
            </w:tcBorders>
            <w:shd w:val="clear" w:color="auto" w:fill="auto"/>
            <w:vAlign w:val="center"/>
          </w:tcPr>
          <w:p w14:paraId="0560DEDC">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C093">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color w:val="auto"/>
                <w:kern w:val="0"/>
                <w:sz w:val="21"/>
                <w:szCs w:val="21"/>
                <w:lang w:bidi="ar"/>
              </w:rPr>
              <w:t>项目组织实施</w:t>
            </w:r>
            <w:r>
              <w:rPr>
                <w:rFonts w:hint="default" w:ascii="Times New Roman" w:hAnsi="Times New Roman" w:cs="Times New Roman"/>
                <w:color w:val="auto"/>
                <w:kern w:val="0"/>
                <w:sz w:val="21"/>
                <w:szCs w:val="21"/>
                <w:lang w:eastAsia="zh-CN" w:bidi="ar"/>
              </w:rPr>
              <w:t>方案</w:t>
            </w:r>
          </w:p>
        </w:tc>
        <w:tc>
          <w:tcPr>
            <w:tcW w:w="54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CB3C1FD">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根据</w:t>
            </w:r>
            <w:r>
              <w:rPr>
                <w:rFonts w:hint="default" w:ascii="Times New Roman" w:hAnsi="Times New Roman" w:cs="Times New Roman"/>
                <w:lang w:val="en-US" w:eastAsia="zh-CN"/>
              </w:rPr>
              <w:t>供应商</w:t>
            </w:r>
            <w:r>
              <w:rPr>
                <w:rFonts w:hint="default" w:ascii="Times New Roman" w:hAnsi="Times New Roman" w:eastAsia="宋体" w:cs="Times New Roman"/>
                <w:lang w:val="en-US" w:eastAsia="zh-CN"/>
              </w:rPr>
              <w:t>项目组织实施方案进行评审，包括以下内容：①组织结构及角色；②项目过程中的人力资源管理；③项目进度管理；④项目沟通管理；⑤</w:t>
            </w:r>
            <w:r>
              <w:rPr>
                <w:rFonts w:hint="default" w:ascii="Times New Roman" w:hAnsi="Times New Roman" w:eastAsia="宋体" w:cs="Times New Roman"/>
                <w:lang w:val="en-GB" w:eastAsia="zh-CN"/>
              </w:rPr>
              <w:t>项目风险控制</w:t>
            </w:r>
            <w:r>
              <w:rPr>
                <w:rFonts w:hint="default" w:ascii="Times New Roman" w:hAnsi="Times New Roman" w:eastAsia="宋体" w:cs="Times New Roman"/>
                <w:lang w:val="en-US" w:eastAsia="zh-CN"/>
              </w:rPr>
              <w:t>。</w:t>
            </w:r>
          </w:p>
          <w:p w14:paraId="3BC345E3">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方案包含上述5项内容的，每提供一项得1分，最高得5分。本部分评分内容为客观分，</w:t>
            </w:r>
            <w:r>
              <w:rPr>
                <w:rFonts w:hint="eastAsia" w:ascii="Times New Roman" w:hAnsi="Times New Roman" w:cs="Times New Roman"/>
                <w:lang w:val="en-US" w:eastAsia="zh-CN"/>
              </w:rPr>
              <w:t>评审</w:t>
            </w:r>
            <w:r>
              <w:rPr>
                <w:rFonts w:hint="default" w:ascii="Times New Roman" w:hAnsi="Times New Roman" w:eastAsia="宋体" w:cs="Times New Roman"/>
                <w:lang w:val="en-US" w:eastAsia="zh-CN"/>
              </w:rPr>
              <w:t>委员会成员评分须一致。</w:t>
            </w:r>
          </w:p>
          <w:p w14:paraId="10E45919">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2、在上述基础上对方案的符合性进行评审(满分4分):</w:t>
            </w:r>
          </w:p>
          <w:p w14:paraId="53894A31">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(1)方案制定详细全面，可操作性和规范性强。得4分;</w:t>
            </w:r>
          </w:p>
          <w:p w14:paraId="3A319E9A">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(2)方案制定较详细，可操作性和规范性较强。得3分;</w:t>
            </w:r>
          </w:p>
          <w:p w14:paraId="4721F3D8">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(3)方案制定一般，可操作性和规范性一般。得2分;</w:t>
            </w:r>
          </w:p>
          <w:p w14:paraId="0A21A2A3">
            <w:pPr>
              <w:pStyle w:val="2"/>
              <w:keepNext w:val="0"/>
              <w:keepLines w:val="0"/>
              <w:pageBreakBefore w:val="0"/>
              <w:kinsoku/>
              <w:wordWrap/>
              <w:overflowPunct/>
              <w:topLinePunct w:val="0"/>
              <w:autoSpaceDE/>
              <w:autoSpaceDN/>
              <w:bidi w:val="0"/>
              <w:snapToGrid/>
              <w:spacing w:line="500" w:lineRule="exact"/>
              <w:ind w:firstLine="0"/>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lang w:val="en-US" w:eastAsia="zh-CN"/>
              </w:rPr>
              <w:t>(4)方案制定不详细，可操作性和规范性差。得1分。</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5A48D">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cs="Times New Roman"/>
                <w:i w:val="0"/>
                <w:iCs w:val="0"/>
                <w:color w:val="auto"/>
                <w:kern w:val="0"/>
                <w:sz w:val="21"/>
                <w:szCs w:val="21"/>
                <w:u w:val="none"/>
                <w:lang w:val="en-US" w:eastAsia="zh-CN" w:bidi="ar"/>
              </w:rPr>
              <w:t>9</w:t>
            </w:r>
          </w:p>
        </w:tc>
      </w:tr>
      <w:tr w14:paraId="7429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4401">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w:t>
            </w:r>
          </w:p>
        </w:tc>
        <w:tc>
          <w:tcPr>
            <w:tcW w:w="541" w:type="pct"/>
            <w:vMerge w:val="continue"/>
            <w:tcBorders>
              <w:left w:val="single" w:color="000000" w:sz="4" w:space="0"/>
              <w:right w:val="single" w:color="000000" w:sz="4" w:space="0"/>
            </w:tcBorders>
            <w:shd w:val="clear" w:color="auto" w:fill="auto"/>
            <w:vAlign w:val="center"/>
          </w:tcPr>
          <w:p w14:paraId="2D68F543">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2068">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0"/>
                <w:sz w:val="21"/>
                <w:szCs w:val="21"/>
                <w:lang w:bidi="ar"/>
              </w:rPr>
              <w:t>应急处置方案</w:t>
            </w:r>
          </w:p>
        </w:tc>
        <w:tc>
          <w:tcPr>
            <w:tcW w:w="54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A61AD5">
            <w:pPr>
              <w:keepNext w:val="0"/>
              <w:keepLines w:val="0"/>
              <w:pageBreakBefore w:val="0"/>
              <w:kinsoku/>
              <w:wordWrap/>
              <w:overflowPunct/>
              <w:topLinePunct w:val="0"/>
              <w:autoSpaceDE/>
              <w:autoSpaceDN/>
              <w:bidi w:val="0"/>
              <w:snapToGrid/>
              <w:spacing w:line="500" w:lineRule="exac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根据</w:t>
            </w:r>
            <w:r>
              <w:rPr>
                <w:rFonts w:hint="default" w:ascii="Times New Roman" w:hAnsi="Times New Roman" w:cs="Times New Roman"/>
                <w:color w:val="auto"/>
                <w:kern w:val="0"/>
                <w:sz w:val="21"/>
                <w:szCs w:val="21"/>
                <w:lang w:val="en-US" w:eastAsia="zh-CN" w:bidi="ar"/>
              </w:rPr>
              <w:t>供应商</w:t>
            </w:r>
            <w:r>
              <w:rPr>
                <w:rFonts w:hint="default" w:ascii="Times New Roman" w:hAnsi="Times New Roman" w:eastAsia="宋体" w:cs="Times New Roman"/>
                <w:color w:val="auto"/>
                <w:kern w:val="0"/>
                <w:sz w:val="21"/>
                <w:szCs w:val="21"/>
                <w:lang w:bidi="ar"/>
              </w:rPr>
              <w:t>应急处置方案</w:t>
            </w:r>
            <w:r>
              <w:rPr>
                <w:rFonts w:hint="default" w:ascii="Times New Roman" w:hAnsi="Times New Roman" w:eastAsia="宋体" w:cs="Times New Roman"/>
                <w:color w:val="auto"/>
                <w:kern w:val="0"/>
                <w:sz w:val="21"/>
                <w:szCs w:val="21"/>
                <w:lang w:val="en-US" w:eastAsia="zh-CN" w:bidi="ar"/>
              </w:rPr>
              <w:t>进行评审，包括以下内容：①应急事件理解</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val="en-US" w:eastAsia="zh-CN" w:bidi="ar"/>
              </w:rPr>
              <w:t>②</w:t>
            </w:r>
            <w:r>
              <w:rPr>
                <w:rFonts w:hint="default" w:ascii="Times New Roman" w:hAnsi="Times New Roman" w:eastAsia="宋体" w:cs="Times New Roman"/>
                <w:color w:val="auto"/>
                <w:kern w:val="0"/>
                <w:sz w:val="21"/>
                <w:szCs w:val="21"/>
                <w:lang w:eastAsia="zh-CN" w:bidi="ar"/>
              </w:rPr>
              <w:t>应急响应内容；</w:t>
            </w:r>
            <w:r>
              <w:rPr>
                <w:rFonts w:hint="default" w:ascii="Times New Roman" w:hAnsi="Times New Roman" w:eastAsia="宋体" w:cs="Times New Roman"/>
                <w:color w:val="auto"/>
                <w:kern w:val="0"/>
                <w:sz w:val="21"/>
                <w:szCs w:val="21"/>
                <w:lang w:val="en-US" w:eastAsia="zh-CN" w:bidi="ar"/>
              </w:rPr>
              <w:t>③</w:t>
            </w:r>
            <w:r>
              <w:rPr>
                <w:rFonts w:hint="default" w:ascii="Times New Roman" w:hAnsi="Times New Roman" w:eastAsia="宋体" w:cs="Times New Roman"/>
                <w:color w:val="auto"/>
                <w:kern w:val="0"/>
                <w:sz w:val="21"/>
                <w:szCs w:val="21"/>
                <w:lang w:eastAsia="zh-CN" w:bidi="ar"/>
              </w:rPr>
              <w:t>应急机制；</w:t>
            </w:r>
            <w:r>
              <w:rPr>
                <w:rFonts w:hint="default" w:ascii="Times New Roman" w:hAnsi="Times New Roman" w:eastAsia="宋体" w:cs="Times New Roman"/>
                <w:color w:val="auto"/>
                <w:kern w:val="0"/>
                <w:sz w:val="21"/>
                <w:szCs w:val="21"/>
                <w:lang w:val="en-US" w:eastAsia="zh-CN" w:bidi="ar"/>
              </w:rPr>
              <w:t>④</w:t>
            </w:r>
            <w:r>
              <w:rPr>
                <w:rFonts w:hint="default" w:ascii="Times New Roman" w:hAnsi="Times New Roman" w:eastAsia="宋体" w:cs="Times New Roman"/>
                <w:color w:val="auto"/>
                <w:kern w:val="0"/>
                <w:sz w:val="21"/>
                <w:szCs w:val="21"/>
                <w:lang w:eastAsia="zh-CN" w:bidi="ar"/>
              </w:rPr>
              <w:t>应急</w:t>
            </w:r>
            <w:r>
              <w:rPr>
                <w:rFonts w:hint="default" w:ascii="Times New Roman" w:hAnsi="Times New Roman" w:eastAsia="宋体" w:cs="Times New Roman"/>
                <w:color w:val="auto"/>
                <w:kern w:val="0"/>
                <w:sz w:val="21"/>
                <w:szCs w:val="21"/>
                <w:lang w:val="en-US" w:eastAsia="zh-CN" w:bidi="ar"/>
              </w:rPr>
              <w:t>方案</w:t>
            </w:r>
            <w:r>
              <w:rPr>
                <w:rFonts w:hint="default" w:ascii="Times New Roman" w:hAnsi="Times New Roman" w:cs="Times New Roman"/>
                <w:color w:val="auto"/>
                <w:kern w:val="0"/>
                <w:sz w:val="21"/>
                <w:szCs w:val="21"/>
                <w:lang w:val="en-US" w:eastAsia="zh-CN" w:bidi="ar"/>
              </w:rPr>
              <w:t>。</w:t>
            </w:r>
          </w:p>
          <w:p w14:paraId="12C8DAA1">
            <w:pPr>
              <w:keepNext w:val="0"/>
              <w:keepLines w:val="0"/>
              <w:pageBreakBefore w:val="0"/>
              <w:shd w:val="clear"/>
              <w:kinsoku/>
              <w:wordWrap/>
              <w:overflowPunct/>
              <w:topLinePunct w:val="0"/>
              <w:autoSpaceDE/>
              <w:autoSpaceDN/>
              <w:bidi w:val="0"/>
              <w:snapToGrid/>
              <w:spacing w:line="500" w:lineRule="exact"/>
              <w:jc w:val="both"/>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lang w:val="en-US" w:eastAsia="zh-CN"/>
              </w:rPr>
              <w:t>方案包含上述4项内容的，</w:t>
            </w:r>
            <w:r>
              <w:rPr>
                <w:rFonts w:hint="default" w:ascii="Times New Roman" w:hAnsi="Times New Roman" w:eastAsia="宋体" w:cs="Times New Roman"/>
                <w:color w:val="auto"/>
                <w:kern w:val="0"/>
                <w:sz w:val="21"/>
                <w:szCs w:val="21"/>
                <w:lang w:val="en-US" w:eastAsia="zh-CN" w:bidi="ar"/>
              </w:rPr>
              <w:t>每提供一项得1分，最高得</w:t>
            </w:r>
            <w:r>
              <w:rPr>
                <w:rFonts w:hint="default" w:ascii="Times New Roman" w:hAnsi="Times New Roman"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val="en-US" w:eastAsia="zh-CN" w:bidi="ar"/>
              </w:rPr>
              <w:t>分</w:t>
            </w:r>
            <w:r>
              <w:rPr>
                <w:rFonts w:hint="default" w:ascii="Times New Roman" w:hAnsi="Times New Roman" w:cs="Times New Roman"/>
                <w:color w:val="auto"/>
                <w:kern w:val="0"/>
                <w:sz w:val="21"/>
                <w:szCs w:val="21"/>
                <w:lang w:val="en-US" w:eastAsia="zh-CN" w:bidi="ar"/>
              </w:rPr>
              <w:t>，</w:t>
            </w:r>
            <w:r>
              <w:rPr>
                <w:rFonts w:hint="default" w:ascii="Times New Roman" w:hAnsi="Times New Roman" w:eastAsia="宋体" w:cs="Times New Roman"/>
                <w:sz w:val="21"/>
                <w:szCs w:val="21"/>
                <w:lang w:val="en-US" w:eastAsia="zh-CN"/>
              </w:rPr>
              <w:t>本部分评分内容为客观分，</w:t>
            </w:r>
            <w:r>
              <w:rPr>
                <w:rFonts w:hint="eastAsia" w:cs="Times New Roman"/>
                <w:sz w:val="21"/>
                <w:szCs w:val="21"/>
                <w:lang w:val="en-US" w:eastAsia="zh-CN"/>
              </w:rPr>
              <w:t>评审</w:t>
            </w:r>
            <w:r>
              <w:rPr>
                <w:rFonts w:hint="default" w:ascii="Times New Roman" w:hAnsi="Times New Roman" w:eastAsia="宋体" w:cs="Times New Roman"/>
                <w:sz w:val="21"/>
                <w:szCs w:val="21"/>
                <w:lang w:val="en-US" w:eastAsia="zh-CN"/>
              </w:rPr>
              <w:t>委员会成员评分须一致。</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FCEE2">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4</w:t>
            </w:r>
          </w:p>
        </w:tc>
      </w:tr>
      <w:tr w14:paraId="25810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FE68">
            <w:pPr>
              <w:keepNext w:val="0"/>
              <w:keepLines w:val="0"/>
              <w:pageBreakBefore w:val="0"/>
              <w:widowControl/>
              <w:suppressLineNumbers w:val="0"/>
              <w:shd w:val="clear"/>
              <w:kinsoku/>
              <w:wordWrap/>
              <w:overflowPunct/>
              <w:topLinePunct w:val="0"/>
              <w:autoSpaceDE/>
              <w:autoSpaceDN/>
              <w:bidi w:val="0"/>
              <w:snapToGrid/>
              <w:spacing w:line="500" w:lineRule="exact"/>
              <w:jc w:val="right"/>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w:t>
            </w:r>
          </w:p>
        </w:tc>
        <w:tc>
          <w:tcPr>
            <w:tcW w:w="541" w:type="pct"/>
            <w:vMerge w:val="continue"/>
            <w:tcBorders>
              <w:left w:val="single" w:color="000000" w:sz="4" w:space="0"/>
              <w:bottom w:val="single" w:color="000000" w:sz="4" w:space="0"/>
              <w:right w:val="single" w:color="000000" w:sz="4" w:space="0"/>
            </w:tcBorders>
            <w:shd w:val="clear" w:color="auto" w:fill="auto"/>
            <w:vAlign w:val="center"/>
          </w:tcPr>
          <w:p w14:paraId="748AF666">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left"/>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E439B">
            <w:pPr>
              <w:keepNext w:val="0"/>
              <w:keepLines w:val="0"/>
              <w:pageBreakBefore w:val="0"/>
              <w:shd w:val="clear"/>
              <w:kinsoku/>
              <w:wordWrap/>
              <w:overflowPunct/>
              <w:topLinePunct w:val="0"/>
              <w:autoSpaceDE/>
              <w:autoSpaceDN/>
              <w:bidi w:val="0"/>
              <w:snapToGrid/>
              <w:spacing w:line="500" w:lineRule="exact"/>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color w:val="auto"/>
                <w:kern w:val="0"/>
                <w:sz w:val="21"/>
                <w:szCs w:val="21"/>
                <w:lang w:eastAsia="zh-CN" w:bidi="ar"/>
              </w:rPr>
              <w:t>售后服务方案</w:t>
            </w:r>
          </w:p>
        </w:tc>
        <w:tc>
          <w:tcPr>
            <w:tcW w:w="541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A34C698">
            <w:pPr>
              <w:pStyle w:val="2"/>
              <w:keepNext w:val="0"/>
              <w:keepLines w:val="0"/>
              <w:pageBreakBefore w:val="0"/>
              <w:numPr>
                <w:ilvl w:val="0"/>
                <w:numId w:val="0"/>
              </w:numPr>
              <w:kinsoku/>
              <w:wordWrap/>
              <w:overflowPunct/>
              <w:topLinePunct w:val="0"/>
              <w:autoSpaceDE/>
              <w:autoSpaceDN/>
              <w:bidi w:val="0"/>
              <w:snapToGrid/>
              <w:spacing w:line="500" w:lineRule="exac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根据</w:t>
            </w:r>
            <w:r>
              <w:rPr>
                <w:rFonts w:hint="default" w:ascii="Times New Roman" w:hAnsi="Times New Roman" w:cs="Times New Roman"/>
                <w:color w:val="auto"/>
                <w:kern w:val="0"/>
                <w:sz w:val="21"/>
                <w:szCs w:val="21"/>
                <w:lang w:val="en-US" w:eastAsia="zh-CN" w:bidi="ar"/>
              </w:rPr>
              <w:t>供应商</w:t>
            </w:r>
            <w:r>
              <w:rPr>
                <w:rFonts w:hint="default" w:ascii="Times New Roman" w:hAnsi="Times New Roman" w:cs="Times New Roman"/>
                <w:color w:val="auto"/>
                <w:kern w:val="0"/>
                <w:sz w:val="21"/>
                <w:szCs w:val="21"/>
                <w:lang w:eastAsia="zh-CN" w:bidi="ar"/>
              </w:rPr>
              <w:t>售后服务方案</w:t>
            </w:r>
            <w:r>
              <w:rPr>
                <w:rFonts w:hint="default" w:ascii="Times New Roman" w:hAnsi="Times New Roman" w:eastAsia="宋体" w:cs="Times New Roman"/>
                <w:color w:val="auto"/>
                <w:kern w:val="0"/>
                <w:sz w:val="21"/>
                <w:szCs w:val="21"/>
                <w:lang w:val="en-US" w:eastAsia="zh-CN" w:bidi="ar"/>
              </w:rPr>
              <w:t>进行评审，包括以下内容：①</w:t>
            </w:r>
            <w:r>
              <w:rPr>
                <w:rFonts w:hint="default" w:ascii="Times New Roman" w:hAnsi="Times New Roman" w:cs="Times New Roman"/>
                <w:color w:val="auto"/>
                <w:kern w:val="0"/>
                <w:sz w:val="21"/>
                <w:szCs w:val="21"/>
                <w:lang w:eastAsia="zh-CN" w:bidi="ar"/>
              </w:rPr>
              <w:t>售后</w:t>
            </w:r>
            <w:r>
              <w:rPr>
                <w:rFonts w:hint="default" w:ascii="Times New Roman" w:hAnsi="Times New Roman" w:cs="Times New Roman"/>
                <w:lang w:eastAsia="zh-CN"/>
              </w:rPr>
              <w:t>服务范围</w:t>
            </w: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cs="Times New Roman"/>
                <w:lang w:val="en-US" w:eastAsia="zh-CN"/>
              </w:rPr>
              <w:t>②</w:t>
            </w:r>
            <w:r>
              <w:rPr>
                <w:rFonts w:hint="default" w:ascii="Times New Roman" w:hAnsi="Times New Roman" w:cs="Times New Roman"/>
                <w:color w:val="auto"/>
                <w:kern w:val="0"/>
                <w:sz w:val="21"/>
                <w:szCs w:val="21"/>
                <w:lang w:eastAsia="zh-CN" w:bidi="ar"/>
              </w:rPr>
              <w:t>售后</w:t>
            </w:r>
            <w:r>
              <w:rPr>
                <w:rFonts w:hint="default" w:ascii="Times New Roman" w:hAnsi="Times New Roman" w:cs="Times New Roman"/>
                <w:lang w:eastAsia="zh-CN"/>
              </w:rPr>
              <w:t>服务方式</w:t>
            </w: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cs="Times New Roman"/>
                <w:lang w:val="en-US" w:eastAsia="zh-CN"/>
              </w:rPr>
              <w:t>③</w:t>
            </w:r>
            <w:r>
              <w:rPr>
                <w:rFonts w:hint="default" w:ascii="Times New Roman" w:hAnsi="Times New Roman" w:cs="Times New Roman"/>
                <w:color w:val="auto"/>
                <w:kern w:val="0"/>
                <w:sz w:val="21"/>
                <w:szCs w:val="21"/>
                <w:lang w:eastAsia="zh-CN" w:bidi="ar"/>
              </w:rPr>
              <w:t>售后</w:t>
            </w:r>
            <w:r>
              <w:rPr>
                <w:rFonts w:hint="default" w:ascii="Times New Roman" w:hAnsi="Times New Roman" w:cs="Times New Roman"/>
                <w:lang w:eastAsia="zh-CN"/>
              </w:rPr>
              <w:t>服务级别</w:t>
            </w:r>
            <w:r>
              <w:rPr>
                <w:rFonts w:hint="default" w:ascii="Times New Roman" w:hAnsi="Times New Roman" w:eastAsia="宋体" w:cs="Times New Roman"/>
                <w:color w:val="auto"/>
                <w:kern w:val="0"/>
                <w:sz w:val="21"/>
                <w:szCs w:val="21"/>
                <w:lang w:val="en-US" w:eastAsia="zh-CN" w:bidi="ar"/>
              </w:rPr>
              <w:t>；</w:t>
            </w:r>
            <w:r>
              <w:rPr>
                <w:rFonts w:hint="default" w:ascii="Times New Roman" w:hAnsi="Times New Roman" w:cs="Times New Roman"/>
                <w:lang w:val="en-US" w:eastAsia="zh-CN"/>
              </w:rPr>
              <w:t>④</w:t>
            </w:r>
            <w:r>
              <w:rPr>
                <w:rFonts w:hint="default" w:ascii="Times New Roman" w:hAnsi="Times New Roman" w:cs="Times New Roman"/>
                <w:color w:val="auto"/>
                <w:kern w:val="0"/>
                <w:sz w:val="21"/>
                <w:szCs w:val="21"/>
                <w:lang w:eastAsia="zh-CN" w:bidi="ar"/>
              </w:rPr>
              <w:t>售后</w:t>
            </w:r>
            <w:r>
              <w:rPr>
                <w:rFonts w:hint="default" w:ascii="Times New Roman" w:hAnsi="Times New Roman" w:cs="Times New Roman"/>
                <w:lang w:eastAsia="zh-CN"/>
              </w:rPr>
              <w:t>服务周期管理（</w:t>
            </w:r>
            <w:r>
              <w:rPr>
                <w:rFonts w:hint="default" w:ascii="Times New Roman" w:hAnsi="Times New Roman" w:cs="Times New Roman"/>
                <w:lang w:val="en-US" w:eastAsia="zh-CN"/>
              </w:rPr>
              <w:t>供应商必须提供承诺函，承诺提供一年免费运营</w:t>
            </w:r>
            <w:r>
              <w:rPr>
                <w:rFonts w:hint="default" w:ascii="Times New Roman" w:hAnsi="Times New Roman" w:cs="Times New Roman"/>
                <w:lang w:eastAsia="zh-CN"/>
              </w:rPr>
              <w:t>）。</w:t>
            </w:r>
          </w:p>
          <w:p w14:paraId="10AF8406">
            <w:pPr>
              <w:pStyle w:val="2"/>
              <w:keepNext w:val="0"/>
              <w:keepLines w:val="0"/>
              <w:pageBreakBefore w:val="0"/>
              <w:numPr>
                <w:ilvl w:val="0"/>
                <w:numId w:val="0"/>
              </w:numPr>
              <w:shd w:val="clear"/>
              <w:kinsoku/>
              <w:wordWrap/>
              <w:overflowPunct/>
              <w:topLinePunct w:val="0"/>
              <w:autoSpaceDE/>
              <w:autoSpaceDN/>
              <w:bidi w:val="0"/>
              <w:snapToGrid/>
              <w:spacing w:line="500" w:lineRule="exact"/>
              <w:ind w:left="0" w:leftChars="0" w:firstLine="0" w:firstLineChars="0"/>
              <w:jc w:val="both"/>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lang w:val="en-US" w:eastAsia="zh-CN"/>
              </w:rPr>
              <w:t>方案包含上述4项内容的，</w:t>
            </w:r>
            <w:r>
              <w:rPr>
                <w:rFonts w:hint="default" w:ascii="Times New Roman" w:hAnsi="Times New Roman" w:eastAsia="宋体" w:cs="Times New Roman"/>
                <w:color w:val="auto"/>
                <w:kern w:val="0"/>
                <w:sz w:val="21"/>
                <w:szCs w:val="21"/>
                <w:lang w:val="en-US" w:eastAsia="zh-CN" w:bidi="ar"/>
              </w:rPr>
              <w:t>每提供一项得</w:t>
            </w:r>
            <w:r>
              <w:rPr>
                <w:rFonts w:hint="default" w:ascii="Times New Roman" w:hAnsi="Times New Roman"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val="en-US" w:eastAsia="zh-CN" w:bidi="ar"/>
              </w:rPr>
              <w:t>分，最高得</w:t>
            </w:r>
            <w:r>
              <w:rPr>
                <w:rFonts w:hint="default" w:ascii="Times New Roman" w:hAnsi="Times New Roman"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val="en-US" w:eastAsia="zh-CN" w:bidi="ar"/>
              </w:rPr>
              <w:t>分</w:t>
            </w:r>
            <w:r>
              <w:rPr>
                <w:rFonts w:hint="default" w:ascii="Times New Roman" w:hAnsi="Times New Roman" w:cs="Times New Roman"/>
                <w:lang w:val="en-US" w:eastAsia="zh-CN"/>
              </w:rPr>
              <w:t>。</w:t>
            </w:r>
            <w:r>
              <w:rPr>
                <w:rFonts w:hint="default" w:ascii="Times New Roman" w:hAnsi="Times New Roman" w:eastAsia="宋体" w:cs="Times New Roman"/>
                <w:sz w:val="21"/>
                <w:szCs w:val="21"/>
                <w:lang w:val="en-US" w:eastAsia="zh-CN"/>
              </w:rPr>
              <w:t>本部分评分内容为客观分，</w:t>
            </w:r>
            <w:r>
              <w:rPr>
                <w:rFonts w:hint="eastAsia" w:ascii="Times New Roman" w:hAnsi="Times New Roman" w:cs="Times New Roman"/>
                <w:sz w:val="21"/>
                <w:szCs w:val="21"/>
                <w:lang w:val="en-US" w:eastAsia="zh-CN"/>
              </w:rPr>
              <w:t>评审</w:t>
            </w:r>
            <w:r>
              <w:rPr>
                <w:rFonts w:hint="default" w:ascii="Times New Roman" w:hAnsi="Times New Roman" w:eastAsia="宋体" w:cs="Times New Roman"/>
                <w:sz w:val="21"/>
                <w:szCs w:val="21"/>
                <w:lang w:val="en-US" w:eastAsia="zh-CN"/>
              </w:rPr>
              <w:t>委员会成员评分须一致。</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414F9">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4</w:t>
            </w:r>
          </w:p>
        </w:tc>
      </w:tr>
      <w:tr w14:paraId="641E4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86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3FB85">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36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7CFAD">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BBEC">
            <w:pPr>
              <w:keepNext w:val="0"/>
              <w:keepLines w:val="0"/>
              <w:pageBreakBefore w:val="0"/>
              <w:widowControl/>
              <w:suppressLineNumbers w:val="0"/>
              <w:shd w:val="clear"/>
              <w:kinsoku/>
              <w:wordWrap/>
              <w:overflowPunct/>
              <w:topLinePunct w:val="0"/>
              <w:autoSpaceDE/>
              <w:autoSpaceDN/>
              <w:bidi w:val="0"/>
              <w:adjustRightInd/>
              <w:snapToGrid/>
              <w:spacing w:line="500" w:lineRule="exact"/>
              <w:ind w:firstLine="0" w:firstLineChars="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100</w:t>
            </w:r>
          </w:p>
        </w:tc>
      </w:tr>
    </w:tbl>
    <w:p w14:paraId="342C3D0D">
      <w:pPr>
        <w:shd w:val="clear"/>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06EB5086">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28134740">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7189FB8D">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1F869049">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7A5ED641">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5398F0E8">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2148192C">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652816ED">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18484EFF">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2F358290">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0ECFF416">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00E0FAA3">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4716D466">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2E6C1B31">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7AAE5D5F">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107BF14A">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4B948E54">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0914EC26">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17201434">
      <w:pPr>
        <w:pStyle w:val="19"/>
        <w:kinsoku/>
        <w:wordWrap/>
        <w:overflowPunct/>
        <w:topLinePunct w:val="0"/>
        <w:autoSpaceDE/>
        <w:autoSpaceDN/>
        <w:bidi w:val="0"/>
        <w:spacing w:line="560" w:lineRule="exact"/>
        <w:rPr>
          <w:rFonts w:hint="default" w:ascii="Times New Roman" w:hAnsi="Times New Roman" w:cs="Times New Roman"/>
          <w:color w:val="auto"/>
          <w:lang w:val="en-US" w:eastAsia="zh-CN"/>
        </w:rPr>
      </w:pPr>
    </w:p>
    <w:p w14:paraId="033534CF">
      <w:pPr>
        <w:pStyle w:val="3"/>
        <w:keepNext/>
        <w:keepLines w:val="0"/>
        <w:pageBreakBefore/>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auto"/>
          <w:sz w:val="32"/>
          <w:szCs w:val="20"/>
          <w:lang w:val="en-US" w:eastAsia="zh-CN"/>
        </w:rPr>
      </w:pPr>
      <w:r>
        <w:rPr>
          <w:rFonts w:hint="default" w:ascii="Times New Roman" w:hAnsi="Times New Roman" w:eastAsia="宋体" w:cs="Times New Roman"/>
          <w:color w:val="auto"/>
          <w:sz w:val="32"/>
          <w:szCs w:val="20"/>
          <w:lang w:val="en-US" w:eastAsia="zh-CN"/>
        </w:rPr>
        <w:t>合同文本</w:t>
      </w:r>
    </w:p>
    <w:p w14:paraId="1B1B0D8F">
      <w:pPr>
        <w:pStyle w:val="31"/>
        <w:kinsoku/>
        <w:wordWrap/>
        <w:overflowPunct/>
        <w:topLinePunct w:val="0"/>
        <w:autoSpaceDE/>
        <w:autoSpaceDN/>
        <w:bidi w:val="0"/>
        <w:spacing w:line="560" w:lineRule="exact"/>
        <w:rPr>
          <w:rFonts w:hint="default" w:ascii="Times New Roman" w:hAnsi="Times New Roman" w:cs="Times New Roman"/>
        </w:rPr>
      </w:pPr>
      <w:r>
        <w:rPr>
          <w:rFonts w:hint="default" w:ascii="Times New Roman" w:hAnsi="Times New Roman" w:cs="Times New Roman"/>
          <w:b/>
        </w:rPr>
        <w:t xml:space="preserve"> </w:t>
      </w:r>
    </w:p>
    <w:p w14:paraId="6DDC04D3">
      <w:pPr>
        <w:pStyle w:val="31"/>
        <w:kinsoku/>
        <w:wordWrap/>
        <w:overflowPunct/>
        <w:topLinePunct w:val="0"/>
        <w:autoSpaceDE/>
        <w:autoSpaceDN/>
        <w:bidi w:val="0"/>
        <w:spacing w:before="0" w:after="0" w:line="560" w:lineRule="exact"/>
        <w:ind w:left="0" w:right="0"/>
        <w:jc w:val="center"/>
        <w:rPr>
          <w:rFonts w:hint="default" w:ascii="Times New Roman" w:hAnsi="Times New Roman" w:cs="Times New Roman"/>
        </w:rPr>
      </w:pPr>
      <w:r>
        <w:rPr>
          <w:rFonts w:hint="default" w:ascii="Times New Roman" w:hAnsi="Times New Roman" w:cs="Times New Roman"/>
          <w:b/>
        </w:rPr>
        <w:t xml:space="preserve"> </w:t>
      </w:r>
    </w:p>
    <w:p w14:paraId="33A7F0DA">
      <w:pPr>
        <w:pStyle w:val="31"/>
        <w:kinsoku/>
        <w:wordWrap/>
        <w:overflowPunct/>
        <w:topLinePunct w:val="0"/>
        <w:autoSpaceDE/>
        <w:autoSpaceDN/>
        <w:bidi w:val="0"/>
        <w:spacing w:before="0" w:after="0" w:line="560" w:lineRule="exact"/>
        <w:ind w:left="0" w:right="0"/>
        <w:jc w:val="center"/>
        <w:rPr>
          <w:rFonts w:hint="default" w:ascii="Times New Roman" w:hAnsi="Times New Roman" w:cs="Times New Roman"/>
        </w:rPr>
      </w:pPr>
      <w:r>
        <w:rPr>
          <w:rFonts w:hint="default" w:ascii="Times New Roman" w:hAnsi="Times New Roman" w:cs="Times New Roman"/>
          <w:b/>
        </w:rPr>
        <w:t xml:space="preserve"> </w:t>
      </w:r>
    </w:p>
    <w:p w14:paraId="356F1D98">
      <w:pPr>
        <w:pStyle w:val="31"/>
        <w:kinsoku/>
        <w:wordWrap/>
        <w:overflowPunct/>
        <w:topLinePunct w:val="0"/>
        <w:autoSpaceDE/>
        <w:autoSpaceDN/>
        <w:bidi w:val="0"/>
        <w:spacing w:before="0" w:after="0" w:line="560" w:lineRule="exact"/>
        <w:ind w:left="0" w:right="0"/>
        <w:jc w:val="center"/>
        <w:rPr>
          <w:rFonts w:hint="default" w:ascii="Times New Roman" w:hAnsi="Times New Roman" w:cs="Times New Roman"/>
          <w:sz w:val="44"/>
          <w:szCs w:val="44"/>
        </w:rPr>
      </w:pPr>
      <w:r>
        <w:rPr>
          <w:rFonts w:hint="default" w:ascii="Times New Roman" w:hAnsi="Times New Roman" w:cs="Times New Roman"/>
          <w:b/>
          <w:sz w:val="44"/>
          <w:szCs w:val="44"/>
        </w:rPr>
        <w:t xml:space="preserve"> </w:t>
      </w:r>
    </w:p>
    <w:p w14:paraId="1B6AB4EB">
      <w:pPr>
        <w:pStyle w:val="31"/>
        <w:kinsoku/>
        <w:wordWrap/>
        <w:overflowPunct/>
        <w:topLinePunct w:val="0"/>
        <w:autoSpaceDE/>
        <w:autoSpaceDN/>
        <w:bidi w:val="0"/>
        <w:spacing w:before="0" w:after="0" w:line="560" w:lineRule="exact"/>
        <w:ind w:left="0" w:right="0"/>
        <w:jc w:val="center"/>
        <w:rPr>
          <w:rFonts w:hint="default" w:ascii="Times New Roman" w:hAnsi="Times New Roman" w:cs="Times New Roman"/>
          <w:sz w:val="44"/>
          <w:szCs w:val="44"/>
        </w:rPr>
      </w:pPr>
      <w:r>
        <w:rPr>
          <w:rFonts w:hint="default" w:ascii="Times New Roman" w:hAnsi="Times New Roman" w:cs="Times New Roman"/>
          <w:b/>
          <w:sz w:val="44"/>
          <w:szCs w:val="44"/>
        </w:rPr>
        <w:t>广东省政府采购</w:t>
      </w:r>
    </w:p>
    <w:p w14:paraId="4878C54F">
      <w:pPr>
        <w:pStyle w:val="31"/>
        <w:kinsoku/>
        <w:wordWrap/>
        <w:overflowPunct/>
        <w:topLinePunct w:val="0"/>
        <w:autoSpaceDE/>
        <w:autoSpaceDN/>
        <w:bidi w:val="0"/>
        <w:spacing w:before="150" w:after="150" w:line="560" w:lineRule="exact"/>
        <w:ind w:left="0" w:right="0"/>
        <w:jc w:val="both"/>
        <w:rPr>
          <w:rFonts w:hint="default" w:ascii="Times New Roman" w:hAnsi="Times New Roman" w:cs="Times New Roman"/>
          <w:sz w:val="44"/>
          <w:szCs w:val="44"/>
        </w:rPr>
      </w:pPr>
      <w:r>
        <w:rPr>
          <w:rFonts w:hint="default" w:ascii="Times New Roman" w:hAnsi="Times New Roman" w:cs="Times New Roman"/>
          <w:color w:val="222222"/>
          <w:sz w:val="44"/>
          <w:szCs w:val="44"/>
        </w:rPr>
        <w:t xml:space="preserve"> </w:t>
      </w:r>
    </w:p>
    <w:p w14:paraId="6D9C04CA">
      <w:pPr>
        <w:pStyle w:val="31"/>
        <w:kinsoku/>
        <w:wordWrap/>
        <w:overflowPunct/>
        <w:topLinePunct w:val="0"/>
        <w:autoSpaceDE/>
        <w:autoSpaceDN/>
        <w:bidi w:val="0"/>
        <w:spacing w:before="0" w:after="0" w:line="560" w:lineRule="exact"/>
        <w:ind w:left="0" w:right="0"/>
        <w:jc w:val="center"/>
        <w:rPr>
          <w:rFonts w:hint="default" w:ascii="Times New Roman" w:hAnsi="Times New Roman" w:cs="Times New Roman"/>
          <w:sz w:val="44"/>
          <w:szCs w:val="44"/>
        </w:rPr>
      </w:pPr>
      <w:r>
        <w:rPr>
          <w:rFonts w:hint="default" w:ascii="Times New Roman" w:hAnsi="Times New Roman" w:cs="Times New Roman"/>
          <w:b/>
          <w:sz w:val="44"/>
          <w:szCs w:val="44"/>
        </w:rPr>
        <w:t>合　同　书</w:t>
      </w:r>
    </w:p>
    <w:p w14:paraId="31817F9D">
      <w:pPr>
        <w:pStyle w:val="31"/>
        <w:kinsoku/>
        <w:wordWrap/>
        <w:overflowPunct/>
        <w:topLinePunct w:val="0"/>
        <w:autoSpaceDE/>
        <w:autoSpaceDN/>
        <w:bidi w:val="0"/>
        <w:spacing w:before="0" w:after="0" w:line="560" w:lineRule="exact"/>
        <w:ind w:left="0" w:right="0"/>
        <w:jc w:val="center"/>
        <w:rPr>
          <w:rFonts w:hint="default" w:ascii="Times New Roman" w:hAnsi="Times New Roman" w:cs="Times New Roman"/>
        </w:rPr>
      </w:pPr>
      <w:r>
        <w:rPr>
          <w:rFonts w:hint="default" w:ascii="Times New Roman" w:hAnsi="Times New Roman" w:cs="Times New Roman"/>
          <w:sz w:val="44"/>
          <w:szCs w:val="44"/>
        </w:rPr>
        <w:br w:type="textWrapping"/>
      </w:r>
      <w:r>
        <w:rPr>
          <w:rFonts w:hint="default" w:ascii="Times New Roman" w:hAnsi="Times New Roman" w:cs="Times New Roman"/>
          <w:sz w:val="44"/>
          <w:szCs w:val="44"/>
        </w:rPr>
        <w:br w:type="textWrapping"/>
      </w:r>
      <w:r>
        <w:rPr>
          <w:rFonts w:hint="default" w:ascii="Times New Roman" w:hAnsi="Times New Roman" w:cs="Times New Roman"/>
        </w:rPr>
        <w:br w:type="textWrapping"/>
      </w:r>
      <w:r>
        <w:rPr>
          <w:rFonts w:hint="default" w:ascii="Times New Roman" w:hAnsi="Times New Roman" w:cs="Times New Roman"/>
        </w:rPr>
        <w:br w:type="textWrapping"/>
      </w:r>
      <w:r>
        <w:rPr>
          <w:rFonts w:hint="default" w:ascii="Times New Roman" w:hAnsi="Times New Roman" w:cs="Times New Roman"/>
        </w:rPr>
        <w:br w:type="textWrapping"/>
      </w:r>
      <w:r>
        <w:rPr>
          <w:rFonts w:hint="default" w:ascii="Times New Roman" w:hAnsi="Times New Roman" w:cs="Times New Roman"/>
        </w:rPr>
        <w:br w:type="textWrapping"/>
      </w:r>
      <w:r>
        <w:rPr>
          <w:rFonts w:hint="default" w:ascii="Times New Roman" w:hAnsi="Times New Roman" w:cs="Times New Roman"/>
        </w:rPr>
        <w:br w:type="textWrapping"/>
      </w:r>
      <w:r>
        <w:rPr>
          <w:rFonts w:hint="default" w:ascii="Times New Roman" w:hAnsi="Times New Roman" w:cs="Times New Roman"/>
        </w:rPr>
        <w:br w:type="textWrapping"/>
      </w:r>
      <w:r>
        <w:rPr>
          <w:rFonts w:hint="default" w:ascii="Times New Roman" w:hAnsi="Times New Roman" w:cs="Times New Roman"/>
          <w:color w:val="222222"/>
          <w:sz w:val="27"/>
        </w:rPr>
        <w:t xml:space="preserve"> </w:t>
      </w:r>
    </w:p>
    <w:p w14:paraId="0BD8D7EC">
      <w:pPr>
        <w:pStyle w:val="31"/>
        <w:kinsoku/>
        <w:wordWrap/>
        <w:overflowPunct/>
        <w:topLinePunct w:val="0"/>
        <w:autoSpaceDE/>
        <w:autoSpaceDN/>
        <w:bidi w:val="0"/>
        <w:spacing w:before="0" w:after="0" w:line="560" w:lineRule="exact"/>
        <w:ind w:left="0" w:right="0"/>
        <w:jc w:val="both"/>
        <w:rPr>
          <w:rFonts w:hint="default" w:ascii="Times New Roman" w:hAnsi="Times New Roman" w:cs="Times New Roman"/>
        </w:rPr>
      </w:pPr>
      <w:r>
        <w:rPr>
          <w:rFonts w:hint="default" w:ascii="Times New Roman" w:hAnsi="Times New Roman" w:cs="Times New Roman"/>
          <w:color w:val="222222"/>
          <w:sz w:val="28"/>
        </w:rPr>
        <w:t>采购计划编号：</w:t>
      </w:r>
      <w:r>
        <w:rPr>
          <w:rFonts w:hint="default" w:ascii="Times New Roman" w:hAnsi="Times New Roman" w:cs="Times New Roman"/>
          <w:u w:val="single"/>
        </w:rPr>
        <w:t xml:space="preserve">                          </w:t>
      </w:r>
    </w:p>
    <w:p w14:paraId="5C4FA0FC">
      <w:pPr>
        <w:pStyle w:val="31"/>
        <w:kinsoku/>
        <w:wordWrap/>
        <w:overflowPunct/>
        <w:topLinePunct w:val="0"/>
        <w:autoSpaceDE/>
        <w:autoSpaceDN/>
        <w:bidi w:val="0"/>
        <w:spacing w:before="150" w:after="150" w:line="560" w:lineRule="exact"/>
        <w:ind w:left="0" w:right="0"/>
        <w:jc w:val="both"/>
        <w:rPr>
          <w:rFonts w:hint="default" w:ascii="Times New Roman" w:hAnsi="Times New Roman" w:cs="Times New Roman"/>
        </w:rPr>
      </w:pPr>
      <w:r>
        <w:rPr>
          <w:rFonts w:hint="default" w:ascii="Times New Roman" w:hAnsi="Times New Roman" w:cs="Times New Roman"/>
          <w:color w:val="222222"/>
          <w:sz w:val="27"/>
        </w:rPr>
        <w:t xml:space="preserve"> </w:t>
      </w:r>
    </w:p>
    <w:p w14:paraId="3F2AA7F3">
      <w:pPr>
        <w:pStyle w:val="31"/>
        <w:kinsoku/>
        <w:wordWrap/>
        <w:overflowPunct/>
        <w:topLinePunct w:val="0"/>
        <w:autoSpaceDE/>
        <w:autoSpaceDN/>
        <w:bidi w:val="0"/>
        <w:spacing w:before="0" w:after="0" w:line="560" w:lineRule="exact"/>
        <w:ind w:left="0" w:right="0"/>
        <w:jc w:val="both"/>
        <w:rPr>
          <w:rFonts w:hint="default" w:ascii="Times New Roman" w:hAnsi="Times New Roman" w:cs="Times New Roman"/>
        </w:rPr>
      </w:pPr>
      <w:r>
        <w:rPr>
          <w:rFonts w:hint="default" w:ascii="Times New Roman" w:hAnsi="Times New Roman" w:cs="Times New Roman"/>
          <w:color w:val="222222"/>
          <w:sz w:val="28"/>
        </w:rPr>
        <w:t>项目编号：</w:t>
      </w:r>
      <w:r>
        <w:rPr>
          <w:rFonts w:hint="default" w:ascii="Times New Roman" w:hAnsi="Times New Roman" w:cs="Times New Roman"/>
          <w:u w:val="single"/>
        </w:rPr>
        <w:t xml:space="preserve">                                  </w:t>
      </w:r>
    </w:p>
    <w:p w14:paraId="504076C9">
      <w:pPr>
        <w:pStyle w:val="31"/>
        <w:kinsoku/>
        <w:wordWrap/>
        <w:overflowPunct/>
        <w:topLinePunct w:val="0"/>
        <w:autoSpaceDE/>
        <w:autoSpaceDN/>
        <w:bidi w:val="0"/>
        <w:spacing w:before="150" w:after="150" w:line="560" w:lineRule="exact"/>
        <w:ind w:left="0" w:right="0"/>
        <w:jc w:val="both"/>
        <w:rPr>
          <w:rFonts w:hint="default" w:ascii="Times New Roman" w:hAnsi="Times New Roman" w:cs="Times New Roman"/>
        </w:rPr>
      </w:pPr>
      <w:r>
        <w:rPr>
          <w:rFonts w:hint="default" w:ascii="Times New Roman" w:hAnsi="Times New Roman" w:cs="Times New Roman"/>
          <w:color w:val="222222"/>
          <w:sz w:val="27"/>
        </w:rPr>
        <w:t xml:space="preserve"> </w:t>
      </w:r>
    </w:p>
    <w:p w14:paraId="1EB58A1F">
      <w:pPr>
        <w:pStyle w:val="31"/>
        <w:kinsoku/>
        <w:wordWrap/>
        <w:overflowPunct/>
        <w:topLinePunct w:val="0"/>
        <w:autoSpaceDE/>
        <w:autoSpaceDN/>
        <w:bidi w:val="0"/>
        <w:spacing w:before="0" w:after="0" w:line="560" w:lineRule="exact"/>
        <w:ind w:left="0" w:right="0"/>
        <w:jc w:val="both"/>
        <w:rPr>
          <w:rFonts w:hint="default" w:ascii="Times New Roman" w:hAnsi="Times New Roman" w:cs="Times New Roman"/>
          <w:sz w:val="24"/>
          <w:szCs w:val="24"/>
        </w:rPr>
      </w:pPr>
      <w:r>
        <w:rPr>
          <w:rFonts w:hint="default" w:ascii="Times New Roman" w:hAnsi="Times New Roman" w:cs="Times New Roman"/>
          <w:color w:val="222222"/>
          <w:sz w:val="28"/>
        </w:rPr>
        <w:t>项目名称：</w:t>
      </w:r>
      <w:r>
        <w:rPr>
          <w:rFonts w:hint="default" w:ascii="Times New Roman" w:hAnsi="Times New Roman" w:cs="Times New Roman"/>
          <w:u w:val="single"/>
        </w:rPr>
        <w:t xml:space="preserve">                             </w:t>
      </w:r>
    </w:p>
    <w:p w14:paraId="724A826E">
      <w:pPr>
        <w:pStyle w:val="31"/>
        <w:keepNext w:val="0"/>
        <w:keepLines w:val="0"/>
        <w:pageBreakBefore w:val="0"/>
        <w:kinsoku/>
        <w:wordWrap/>
        <w:overflowPunct/>
        <w:topLinePunct w:val="0"/>
        <w:autoSpaceDE/>
        <w:autoSpaceDN/>
        <w:bidi w:val="0"/>
        <w:adjustRightInd/>
        <w:snapToGrid/>
        <w:spacing w:before="0" w:after="0" w:line="558" w:lineRule="exact"/>
        <w:ind w:left="0" w:right="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甲方： </w:t>
      </w:r>
      <w:r>
        <w:rPr>
          <w:rFonts w:hint="default" w:ascii="Times New Roman" w:hAnsi="Times New Roman" w:cs="Times New Roman"/>
          <w:sz w:val="24"/>
          <w:szCs w:val="24"/>
          <w:u w:val="single"/>
        </w:rPr>
        <w:t xml:space="preserve">　　　　　  </w:t>
      </w:r>
    </w:p>
    <w:p w14:paraId="0ADE8624">
      <w:pPr>
        <w:pStyle w:val="31"/>
        <w:keepNext w:val="0"/>
        <w:keepLines w:val="0"/>
        <w:pageBreakBefore w:val="0"/>
        <w:kinsoku/>
        <w:wordWrap/>
        <w:overflowPunct/>
        <w:topLinePunct w:val="0"/>
        <w:autoSpaceDE/>
        <w:autoSpaceDN/>
        <w:bidi w:val="0"/>
        <w:adjustRightInd/>
        <w:snapToGrid/>
        <w:spacing w:before="0" w:after="0" w:line="558" w:lineRule="exact"/>
        <w:ind w:left="0" w:right="0"/>
        <w:jc w:val="both"/>
        <w:textAlignment w:val="auto"/>
        <w:rPr>
          <w:rFonts w:hint="default" w:ascii="Times New Roman" w:hAnsi="Times New Roman" w:cs="Times New Roman"/>
          <w:sz w:val="24"/>
          <w:szCs w:val="24"/>
          <w:u w:val="single"/>
        </w:rPr>
      </w:pPr>
      <w:r>
        <w:rPr>
          <w:rFonts w:hint="default" w:ascii="Times New Roman" w:hAnsi="Times New Roman" w:cs="Times New Roman"/>
          <w:color w:val="222222"/>
          <w:sz w:val="24"/>
          <w:szCs w:val="24"/>
        </w:rPr>
        <w:t xml:space="preserve">电话： </w:t>
      </w:r>
      <w:r>
        <w:rPr>
          <w:rFonts w:hint="default" w:ascii="Times New Roman" w:hAnsi="Times New Roman" w:cs="Times New Roman"/>
          <w:sz w:val="24"/>
          <w:szCs w:val="24"/>
          <w:u w:val="single"/>
        </w:rPr>
        <w:t xml:space="preserve">　　　　  </w:t>
      </w:r>
      <w:r>
        <w:rPr>
          <w:rFonts w:hint="default" w:ascii="Times New Roman" w:hAnsi="Times New Roman" w:cs="Times New Roman"/>
          <w:color w:val="222222"/>
          <w:sz w:val="24"/>
          <w:szCs w:val="24"/>
        </w:rPr>
        <w:t xml:space="preserve">传真 ： </w:t>
      </w:r>
      <w:r>
        <w:rPr>
          <w:rFonts w:hint="default" w:ascii="Times New Roman" w:hAnsi="Times New Roman" w:cs="Times New Roman"/>
          <w:sz w:val="24"/>
          <w:szCs w:val="24"/>
          <w:u w:val="single"/>
        </w:rPr>
        <w:t xml:space="preserve">　　　  </w:t>
      </w:r>
      <w:r>
        <w:rPr>
          <w:rFonts w:hint="default" w:ascii="Times New Roman" w:hAnsi="Times New Roman" w:cs="Times New Roman"/>
          <w:color w:val="222222"/>
          <w:sz w:val="24"/>
          <w:szCs w:val="24"/>
        </w:rPr>
        <w:t xml:space="preserve">地址： </w:t>
      </w:r>
      <w:r>
        <w:rPr>
          <w:rFonts w:hint="default" w:ascii="Times New Roman" w:hAnsi="Times New Roman" w:cs="Times New Roman"/>
          <w:sz w:val="24"/>
          <w:szCs w:val="24"/>
          <w:u w:val="single"/>
        </w:rPr>
        <w:t xml:space="preserve">　　　   </w:t>
      </w:r>
    </w:p>
    <w:p w14:paraId="7D518AC5">
      <w:pPr>
        <w:pStyle w:val="31"/>
        <w:keepNext w:val="0"/>
        <w:keepLines w:val="0"/>
        <w:pageBreakBefore w:val="0"/>
        <w:kinsoku/>
        <w:wordWrap/>
        <w:overflowPunct/>
        <w:topLinePunct w:val="0"/>
        <w:autoSpaceDE/>
        <w:autoSpaceDN/>
        <w:bidi w:val="0"/>
        <w:adjustRightInd/>
        <w:snapToGrid/>
        <w:spacing w:before="0" w:after="0" w:line="558" w:lineRule="exact"/>
        <w:ind w:left="0" w:right="0"/>
        <w:jc w:val="both"/>
        <w:textAlignment w:val="auto"/>
        <w:rPr>
          <w:rFonts w:hint="default" w:ascii="Times New Roman" w:hAnsi="Times New Roman" w:cs="Times New Roman"/>
          <w:sz w:val="24"/>
          <w:szCs w:val="24"/>
          <w:u w:val="single"/>
        </w:rPr>
      </w:pPr>
    </w:p>
    <w:p w14:paraId="28D59592">
      <w:pPr>
        <w:pStyle w:val="31"/>
        <w:keepNext w:val="0"/>
        <w:keepLines w:val="0"/>
        <w:pageBreakBefore w:val="0"/>
        <w:kinsoku/>
        <w:wordWrap/>
        <w:overflowPunct/>
        <w:topLinePunct w:val="0"/>
        <w:autoSpaceDE/>
        <w:autoSpaceDN/>
        <w:bidi w:val="0"/>
        <w:adjustRightInd/>
        <w:snapToGrid/>
        <w:spacing w:before="0" w:after="0" w:line="558" w:lineRule="exact"/>
        <w:ind w:left="0" w:right="0"/>
        <w:jc w:val="both"/>
        <w:textAlignment w:val="auto"/>
        <w:rPr>
          <w:rFonts w:hint="default" w:ascii="Times New Roman" w:hAnsi="Times New Roman" w:cs="Times New Roman"/>
          <w:sz w:val="24"/>
          <w:szCs w:val="24"/>
          <w:u w:val="single"/>
        </w:rPr>
      </w:pPr>
    </w:p>
    <w:p w14:paraId="76D104BB">
      <w:pPr>
        <w:pStyle w:val="31"/>
        <w:keepNext w:val="0"/>
        <w:keepLines w:val="0"/>
        <w:pageBreakBefore w:val="0"/>
        <w:kinsoku/>
        <w:wordWrap/>
        <w:overflowPunct/>
        <w:topLinePunct w:val="0"/>
        <w:autoSpaceDE/>
        <w:autoSpaceDN/>
        <w:bidi w:val="0"/>
        <w:adjustRightInd/>
        <w:snapToGrid/>
        <w:spacing w:before="0" w:after="0" w:line="558" w:lineRule="exact"/>
        <w:ind w:left="0" w:right="0"/>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 xml:space="preserve">乙方： </w:t>
      </w:r>
      <w:r>
        <w:rPr>
          <w:rFonts w:hint="default" w:ascii="Times New Roman" w:hAnsi="Times New Roman" w:cs="Times New Roman"/>
          <w:sz w:val="24"/>
          <w:szCs w:val="24"/>
          <w:u w:val="single"/>
        </w:rPr>
        <w:t xml:space="preserve">　　　　　  </w:t>
      </w:r>
    </w:p>
    <w:p w14:paraId="37A6159C">
      <w:pPr>
        <w:pStyle w:val="31"/>
        <w:keepNext w:val="0"/>
        <w:keepLines w:val="0"/>
        <w:pageBreakBefore w:val="0"/>
        <w:kinsoku/>
        <w:wordWrap/>
        <w:overflowPunct/>
        <w:topLinePunct w:val="0"/>
        <w:autoSpaceDE/>
        <w:autoSpaceDN/>
        <w:bidi w:val="0"/>
        <w:adjustRightInd/>
        <w:snapToGrid/>
        <w:spacing w:before="0" w:after="0" w:line="558" w:lineRule="exact"/>
        <w:ind w:left="0" w:right="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rPr>
        <w:t xml:space="preserve">电话： </w:t>
      </w:r>
      <w:r>
        <w:rPr>
          <w:rFonts w:hint="default" w:ascii="Times New Roman" w:hAnsi="Times New Roman" w:cs="Times New Roman"/>
          <w:sz w:val="24"/>
          <w:szCs w:val="24"/>
          <w:u w:val="single"/>
        </w:rPr>
        <w:t xml:space="preserve">　　　　   </w:t>
      </w:r>
      <w:r>
        <w:rPr>
          <w:rFonts w:hint="default" w:ascii="Times New Roman" w:hAnsi="Times New Roman" w:cs="Times New Roman"/>
          <w:color w:val="222222"/>
          <w:sz w:val="24"/>
          <w:szCs w:val="24"/>
        </w:rPr>
        <w:t>传真：</w:t>
      </w:r>
      <w:r>
        <w:rPr>
          <w:rFonts w:hint="default" w:ascii="Times New Roman" w:hAnsi="Times New Roman" w:cs="Times New Roman"/>
          <w:sz w:val="24"/>
          <w:szCs w:val="24"/>
          <w:u w:val="single"/>
        </w:rPr>
        <w:t xml:space="preserve">　　　   </w:t>
      </w:r>
      <w:r>
        <w:rPr>
          <w:rFonts w:hint="default" w:ascii="Times New Roman" w:hAnsi="Times New Roman" w:cs="Times New Roman"/>
          <w:color w:val="222222"/>
          <w:sz w:val="24"/>
          <w:szCs w:val="24"/>
        </w:rPr>
        <w:t xml:space="preserve">地址： </w:t>
      </w:r>
      <w:r>
        <w:rPr>
          <w:rFonts w:hint="default" w:ascii="Times New Roman" w:hAnsi="Times New Roman" w:cs="Times New Roman"/>
          <w:sz w:val="24"/>
          <w:szCs w:val="24"/>
          <w:u w:val="single"/>
        </w:rPr>
        <w:t xml:space="preserve">　　　   </w:t>
      </w:r>
    </w:p>
    <w:p w14:paraId="6FC00A07">
      <w:pPr>
        <w:pStyle w:val="31"/>
        <w:keepNext w:val="0"/>
        <w:keepLines w:val="0"/>
        <w:pageBreakBefore w:val="0"/>
        <w:kinsoku/>
        <w:wordWrap/>
        <w:overflowPunct/>
        <w:topLinePunct w:val="0"/>
        <w:autoSpaceDE/>
        <w:autoSpaceDN/>
        <w:bidi w:val="0"/>
        <w:adjustRightInd/>
        <w:snapToGrid/>
        <w:spacing w:before="150" w:after="150" w:line="558" w:lineRule="exact"/>
        <w:ind w:left="0" w:right="0"/>
        <w:jc w:val="both"/>
        <w:textAlignment w:val="auto"/>
        <w:rPr>
          <w:rFonts w:hint="default" w:ascii="Times New Roman" w:hAnsi="Times New Roman" w:cs="Times New Roman"/>
          <w:sz w:val="24"/>
          <w:szCs w:val="24"/>
        </w:rPr>
      </w:pPr>
      <w:r>
        <w:rPr>
          <w:rFonts w:hint="default" w:ascii="Times New Roman" w:hAnsi="Times New Roman" w:cs="Times New Roman"/>
          <w:color w:val="222222"/>
          <w:sz w:val="24"/>
          <w:szCs w:val="24"/>
        </w:rPr>
        <w:t xml:space="preserve"> </w:t>
      </w:r>
    </w:p>
    <w:p w14:paraId="451593B9">
      <w:pPr>
        <w:pStyle w:val="31"/>
        <w:keepNext w:val="0"/>
        <w:keepLines w:val="0"/>
        <w:pageBreakBefore w:val="0"/>
        <w:kinsoku/>
        <w:wordWrap/>
        <w:overflowPunct/>
        <w:topLinePunct w:val="0"/>
        <w:autoSpaceDE/>
        <w:autoSpaceDN/>
        <w:bidi w:val="0"/>
        <w:adjustRightInd/>
        <w:snapToGrid/>
        <w:spacing w:before="0" w:after="0" w:line="558" w:lineRule="exact"/>
        <w:ind w:left="0" w:right="0"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根据</w:t>
      </w:r>
      <w:r>
        <w:rPr>
          <w:rFonts w:hint="default" w:ascii="Times New Roman" w:hAnsi="Times New Roman" w:cs="Times New Roman"/>
          <w:sz w:val="24"/>
          <w:szCs w:val="24"/>
          <w:u w:val="single"/>
        </w:rPr>
        <w:t xml:space="preserve"> 市医保局国家医保信息平台政策调整改造（2026）项目方案 </w:t>
      </w:r>
      <w:r>
        <w:rPr>
          <w:rFonts w:hint="default" w:ascii="Times New Roman" w:hAnsi="Times New Roman" w:cs="Times New Roman"/>
          <w:sz w:val="24"/>
          <w:szCs w:val="24"/>
        </w:rPr>
        <w:t>的采购结果，按照《中华人民共和国政府采购法》，《中华人民共和国民法典》及相关法律法规，经双方协商，本着平等互利和诚实信用的原则，一致同意遵守本合同如下：</w:t>
      </w:r>
    </w:p>
    <w:p w14:paraId="49F5B514">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一、合同金额</w:t>
      </w:r>
    </w:p>
    <w:p w14:paraId="4842D8CA">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合同金额为人民币（大写）</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 xml:space="preserve"> (小写：￥</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 xml:space="preserve"> ) 。</w:t>
      </w:r>
    </w:p>
    <w:p w14:paraId="182B17CF">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二、项目建设内容</w:t>
      </w:r>
    </w:p>
    <w:p w14:paraId="6ECADAC9">
      <w:pPr>
        <w:pStyle w:val="31"/>
        <w:keepNext w:val="0"/>
        <w:keepLines w:val="0"/>
        <w:pageBreakBefore w:val="0"/>
        <w:kinsoku/>
        <w:wordWrap/>
        <w:overflowPunct/>
        <w:topLinePunct w:val="0"/>
        <w:autoSpaceDE/>
        <w:autoSpaceDN/>
        <w:bidi w:val="0"/>
        <w:adjustRightInd/>
        <w:snapToGrid/>
        <w:spacing w:line="558" w:lineRule="exact"/>
        <w:ind w:firstLine="5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本项目主要建设内容包括：</w:t>
      </w:r>
    </w:p>
    <w:p w14:paraId="1AFE9704">
      <w:pPr>
        <w:pStyle w:val="31"/>
        <w:keepNext w:val="0"/>
        <w:keepLines w:val="0"/>
        <w:pageBreakBefore w:val="0"/>
        <w:kinsoku/>
        <w:wordWrap/>
        <w:overflowPunct/>
        <w:topLinePunct w:val="0"/>
        <w:autoSpaceDE/>
        <w:autoSpaceDN/>
        <w:bidi w:val="0"/>
        <w:adjustRightInd/>
        <w:snapToGrid/>
        <w:spacing w:line="558" w:lineRule="exact"/>
        <w:ind w:firstLine="56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w:t>
      </w:r>
      <w:r>
        <w:rPr>
          <w:rFonts w:hint="default" w:ascii="Times New Roman" w:hAnsi="Times New Roman" w:eastAsia="宋体" w:cs="Times New Roman"/>
          <w:color w:val="auto"/>
          <w:sz w:val="24"/>
          <w:szCs w:val="24"/>
          <w:lang w:val="en-US" w:eastAsia="zh-CN"/>
        </w:rPr>
        <w:t>基本医疗保险长效机制政策升级改造</w:t>
      </w:r>
    </w:p>
    <w:p w14:paraId="2CC736EB">
      <w:pPr>
        <w:pStyle w:val="31"/>
        <w:keepNext w:val="0"/>
        <w:keepLines w:val="0"/>
        <w:pageBreakBefore w:val="0"/>
        <w:kinsoku/>
        <w:wordWrap/>
        <w:overflowPunct/>
        <w:topLinePunct w:val="0"/>
        <w:autoSpaceDE/>
        <w:autoSpaceDN/>
        <w:bidi w:val="0"/>
        <w:adjustRightInd/>
        <w:snapToGrid/>
        <w:spacing w:line="558" w:lineRule="exact"/>
        <w:ind w:firstLine="5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w:t>
      </w:r>
      <w:r>
        <w:rPr>
          <w:rFonts w:hint="default" w:ascii="Times New Roman" w:hAnsi="Times New Roman" w:eastAsia="宋体" w:cs="Times New Roman"/>
          <w:color w:val="auto"/>
          <w:sz w:val="24"/>
          <w:szCs w:val="24"/>
          <w:lang w:val="en-US" w:eastAsia="zh-CN"/>
        </w:rPr>
        <w:t>建立医保支付资格管理制度升级改造</w:t>
      </w:r>
    </w:p>
    <w:p w14:paraId="3B76DC2C">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b/>
          <w:sz w:val="24"/>
          <w:szCs w:val="24"/>
          <w:lang w:val="en-US" w:eastAsia="zh-CN"/>
        </w:rPr>
      </w:pPr>
      <w:r>
        <w:rPr>
          <w:rFonts w:hint="default" w:ascii="Times New Roman" w:hAnsi="Times New Roman" w:cs="Times New Roman"/>
          <w:b/>
          <w:sz w:val="24"/>
          <w:szCs w:val="24"/>
          <w:lang w:val="en-US" w:eastAsia="zh-Hans"/>
        </w:rPr>
        <w:t>三、</w:t>
      </w:r>
      <w:r>
        <w:rPr>
          <w:rFonts w:hint="default" w:ascii="Times New Roman" w:hAnsi="Times New Roman" w:cs="Times New Roman"/>
          <w:b/>
          <w:sz w:val="24"/>
          <w:szCs w:val="24"/>
          <w:lang w:val="en-US" w:eastAsia="zh-CN"/>
        </w:rPr>
        <w:t>项目建设工期</w:t>
      </w:r>
    </w:p>
    <w:p w14:paraId="7B9E3536">
      <w:pPr>
        <w:pStyle w:val="5"/>
        <w:keepNext w:val="0"/>
        <w:keepLines w:val="0"/>
        <w:pageBreakBefore w:val="0"/>
        <w:kinsoku/>
        <w:wordWrap/>
        <w:overflowPunct/>
        <w:topLinePunct w:val="0"/>
        <w:autoSpaceDE/>
        <w:autoSpaceDN/>
        <w:bidi w:val="0"/>
        <w:adjustRightInd/>
        <w:snapToGrid/>
        <w:spacing w:line="558" w:lineRule="exact"/>
        <w:ind w:left="0" w:leftChars="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color w:val="auto"/>
          <w:sz w:val="24"/>
        </w:rPr>
        <w:t>自合同签订之日起</w:t>
      </w:r>
      <w:r>
        <w:rPr>
          <w:rFonts w:hint="default" w:ascii="Times New Roman" w:hAnsi="Times New Roman" w:cs="Times New Roman"/>
          <w:color w:val="auto"/>
          <w:sz w:val="24"/>
          <w:highlight w:val="none"/>
          <w:lang w:val="en-US" w:eastAsia="zh-CN"/>
        </w:rPr>
        <w:t>2</w:t>
      </w:r>
      <w:r>
        <w:rPr>
          <w:rFonts w:hint="default" w:ascii="Times New Roman" w:hAnsi="Times New Roman" w:cs="Times New Roman"/>
          <w:color w:val="auto"/>
          <w:sz w:val="24"/>
          <w:highlight w:val="none"/>
        </w:rPr>
        <w:t>个月</w:t>
      </w:r>
      <w:r>
        <w:rPr>
          <w:rFonts w:hint="default" w:ascii="Times New Roman" w:hAnsi="Times New Roman" w:cs="Times New Roman"/>
          <w:color w:val="auto"/>
          <w:sz w:val="24"/>
        </w:rPr>
        <w:t>内完成</w:t>
      </w:r>
      <w:r>
        <w:rPr>
          <w:rFonts w:hint="default" w:ascii="Times New Roman" w:hAnsi="Times New Roman" w:cs="Times New Roman"/>
          <w:color w:val="auto"/>
          <w:sz w:val="24"/>
          <w:lang w:val="en-US" w:eastAsia="zh-CN"/>
        </w:rPr>
        <w:t>上线与验收工作。</w:t>
      </w:r>
    </w:p>
    <w:p w14:paraId="71C050F0">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四、</w:t>
      </w:r>
      <w:r>
        <w:rPr>
          <w:rFonts w:hint="default" w:ascii="Times New Roman" w:hAnsi="Times New Roman" w:cs="Times New Roman"/>
          <w:b/>
          <w:sz w:val="24"/>
          <w:szCs w:val="24"/>
        </w:rPr>
        <w:t>项目建设</w:t>
      </w:r>
      <w:r>
        <w:rPr>
          <w:rFonts w:hint="default" w:ascii="Times New Roman" w:hAnsi="Times New Roman" w:cs="Times New Roman"/>
          <w:b/>
          <w:sz w:val="24"/>
          <w:szCs w:val="24"/>
          <w:lang w:val="en-US" w:eastAsia="zh-CN"/>
        </w:rPr>
        <w:t>要</w:t>
      </w:r>
      <w:r>
        <w:rPr>
          <w:rFonts w:hint="default" w:ascii="Times New Roman" w:hAnsi="Times New Roman" w:cs="Times New Roman"/>
          <w:b/>
          <w:sz w:val="24"/>
          <w:szCs w:val="24"/>
        </w:rPr>
        <w:t>求</w:t>
      </w:r>
    </w:p>
    <w:p w14:paraId="0F66E998">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.系统建设要求</w:t>
      </w:r>
    </w:p>
    <w:p w14:paraId="45E4B2CD">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lang w:eastAsia="zh-CN"/>
        </w:rPr>
        <w:t>）</w:t>
      </w:r>
      <w:r>
        <w:rPr>
          <w:rFonts w:hint="default" w:ascii="Times New Roman" w:hAnsi="Times New Roman" w:cs="Times New Roman"/>
          <w:sz w:val="24"/>
          <w:szCs w:val="24"/>
        </w:rPr>
        <w:t>基本医疗保险长效机制政策升级改造</w:t>
      </w:r>
    </w:p>
    <w:p w14:paraId="6085E26D">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进一步放开放宽在常住地、就业地参加基本医保的户籍限制。特大城市、超大城市要切实落实持居住证参保政策，推动外地户籍中小学生、学龄前儿童在常住地参加居民医保。超大城市要取消灵活就业人员、农民工、新就业形态人员在就业地参加基本医保的户籍限制，做好在就业地参加职工医保工作。鼓励大学生在学籍地参加居民医保，落实参保相关政策，抓好大学生参加居民医保扩面工作。</w:t>
      </w:r>
    </w:p>
    <w:p w14:paraId="0B4E438B">
      <w:pPr>
        <w:pStyle w:val="31"/>
        <w:keepNext w:val="0"/>
        <w:keepLines w:val="0"/>
        <w:pageBreakBefore w:val="0"/>
        <w:kinsoku/>
        <w:wordWrap/>
        <w:overflowPunct/>
        <w:topLinePunct w:val="0"/>
        <w:autoSpaceDE/>
        <w:autoSpaceDN/>
        <w:bidi w:val="0"/>
        <w:adjustRightInd/>
        <w:snapToGrid/>
        <w:spacing w:line="558" w:lineRule="exact"/>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lang w:eastAsia="zh-CN"/>
        </w:rPr>
        <w:t>）</w:t>
      </w:r>
      <w:r>
        <w:rPr>
          <w:rFonts w:hint="default" w:ascii="Times New Roman" w:hAnsi="Times New Roman" w:cs="Times New Roman"/>
          <w:sz w:val="24"/>
          <w:szCs w:val="24"/>
        </w:rPr>
        <w:t>建立医保支付资格管理制度升级改造</w:t>
      </w:r>
    </w:p>
    <w:p w14:paraId="7564C2C4">
      <w:pPr>
        <w:pStyle w:val="31"/>
        <w:keepNext w:val="0"/>
        <w:keepLines w:val="0"/>
        <w:pageBreakBefore w:val="0"/>
        <w:kinsoku/>
        <w:wordWrap/>
        <w:overflowPunct/>
        <w:topLinePunct w:val="0"/>
        <w:autoSpaceDE/>
        <w:autoSpaceDN/>
        <w:bidi w:val="0"/>
        <w:adjustRightInd/>
        <w:snapToGrid/>
        <w:spacing w:line="558" w:lineRule="exact"/>
        <w:ind w:firstLine="56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建立医保支付资格管理制度，业务需求主要集中在规范定点机构与人员管理。一方面，需明确纳入管理的人员范围，涵盖定点医药机构相关责任人及医保服务人员。另一方面，要构建动态管理机制，对违规行为及时记录、处理，如暂停或终止支付资格，形成有效震慑。同时，搭建信息化管理平台，实现数据实时更新与共享，便于监管部门精准掌握情况。此外，还需完善配套政策，明确处理标准与流程，保障制度公平公正实施，确保医保基金安全高效使用。</w:t>
      </w:r>
    </w:p>
    <w:p w14:paraId="7E63BE32">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性能要求</w:t>
      </w:r>
    </w:p>
    <w:p w14:paraId="5F83592A">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本项目要求系统能够实现快速响应，同时应充分考虑业务的特殊性和复杂性，确保系统的总体性能满足要求，不发生长时间业务中断、阻塞、死锁等情况。并保证在今后</w:t>
      </w:r>
      <w:r>
        <w:rPr>
          <w:rFonts w:hint="default" w:ascii="Times New Roman" w:hAnsi="Times New Roman" w:cs="Times New Roman"/>
          <w:sz w:val="24"/>
          <w:szCs w:val="24"/>
          <w:lang w:eastAsia="zh-CN"/>
        </w:rPr>
        <w:t>一段时间</w:t>
      </w:r>
      <w:r>
        <w:rPr>
          <w:rFonts w:hint="default" w:ascii="Times New Roman" w:hAnsi="Times New Roman" w:cs="Times New Roman"/>
          <w:sz w:val="24"/>
          <w:szCs w:val="24"/>
        </w:rPr>
        <w:t>内业务增长的情况下，系统需要具有较高的性能。</w:t>
      </w:r>
    </w:p>
    <w:p w14:paraId="2C90CC5C">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3</w:t>
      </w:r>
      <w:r>
        <w:rPr>
          <w:rFonts w:hint="default" w:ascii="Times New Roman" w:hAnsi="Times New Roman" w:cs="Times New Roman"/>
          <w:sz w:val="24"/>
          <w:szCs w:val="24"/>
          <w:lang w:eastAsia="zh-CN"/>
        </w:rPr>
        <w:t>.</w:t>
      </w:r>
      <w:r>
        <w:rPr>
          <w:rFonts w:hint="default" w:ascii="Times New Roman" w:hAnsi="Times New Roman" w:cs="Times New Roman"/>
          <w:sz w:val="24"/>
          <w:szCs w:val="24"/>
        </w:rPr>
        <w:t>安全要求</w:t>
      </w:r>
    </w:p>
    <w:p w14:paraId="01B1D49F">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应用软件必须对每一位使用应用软件的操作人员，都要验证其身份和权限。</w:t>
      </w:r>
    </w:p>
    <w:p w14:paraId="0683A656">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应用软件对于启动任何一个有潜在风险的功能，至少有两个或两个以上的确认动作，给业务经办人以纠正错误的机会，借以避免偶然的误操作造成不可恢复错误。</w:t>
      </w:r>
    </w:p>
    <w:p w14:paraId="154330FA">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五</w:t>
      </w:r>
      <w:r>
        <w:rPr>
          <w:rFonts w:hint="default" w:ascii="Times New Roman" w:hAnsi="Times New Roman" w:cs="Times New Roman"/>
          <w:b/>
          <w:sz w:val="24"/>
          <w:szCs w:val="24"/>
        </w:rPr>
        <w:t>、项目实施要求</w:t>
      </w:r>
    </w:p>
    <w:p w14:paraId="5DEA0FFA">
      <w:pPr>
        <w:pStyle w:val="31"/>
        <w:keepNext w:val="0"/>
        <w:keepLines w:val="0"/>
        <w:pageBreakBefore w:val="0"/>
        <w:kinsoku/>
        <w:wordWrap/>
        <w:overflowPunct/>
        <w:topLinePunct w:val="0"/>
        <w:autoSpaceDE/>
        <w:autoSpaceDN/>
        <w:bidi w:val="0"/>
        <w:adjustRightInd/>
        <w:snapToGrid/>
        <w:spacing w:line="558" w:lineRule="exact"/>
        <w:ind w:firstLine="482" w:firstLineChars="200"/>
        <w:jc w:val="both"/>
        <w:textAlignment w:val="auto"/>
        <w:rPr>
          <w:rFonts w:hint="default" w:ascii="Times New Roman" w:hAnsi="Times New Roman" w:cs="Times New Roman"/>
          <w:b/>
          <w:bCs/>
          <w:color w:val="auto"/>
          <w:lang w:val="en-US" w:eastAsia="zh-CN"/>
        </w:rPr>
      </w:pPr>
      <w:r>
        <w:rPr>
          <w:rFonts w:hint="default" w:ascii="Times New Roman" w:hAnsi="Times New Roman" w:cs="Times New Roman"/>
          <w:b/>
          <w:bCs/>
          <w:sz w:val="24"/>
          <w:szCs w:val="24"/>
          <w:lang w:val="en-US" w:eastAsia="zh-CN"/>
        </w:rPr>
        <w:t>1.</w:t>
      </w:r>
      <w:r>
        <w:rPr>
          <w:rFonts w:hint="default" w:ascii="Times New Roman" w:hAnsi="Times New Roman" w:cs="Times New Roman"/>
          <w:b/>
          <w:bCs/>
          <w:sz w:val="24"/>
          <w:szCs w:val="24"/>
        </w:rPr>
        <w:t>项目组织管理要求</w:t>
      </w:r>
    </w:p>
    <w:p w14:paraId="3F9BE706">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应充分考虑满足投标项目的建设要求，提出完整的项目组织管理方案，包括项目组织架构、人力资源管理等，并阐述项目建设中业主方的职责。</w:t>
      </w:r>
    </w:p>
    <w:p w14:paraId="759C6C55">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项目核心人员的更替需要提出书面申请，并征得业主方同意后方可替换。</w:t>
      </w:r>
    </w:p>
    <w:p w14:paraId="4CD324BA">
      <w:pPr>
        <w:pStyle w:val="31"/>
        <w:keepNext w:val="0"/>
        <w:keepLines w:val="0"/>
        <w:pageBreakBefore w:val="0"/>
        <w:kinsoku/>
        <w:wordWrap/>
        <w:overflowPunct/>
        <w:topLinePunct w:val="0"/>
        <w:autoSpaceDE/>
        <w:autoSpaceDN/>
        <w:bidi w:val="0"/>
        <w:adjustRightInd/>
        <w:snapToGrid/>
        <w:spacing w:line="558" w:lineRule="exact"/>
        <w:ind w:firstLine="482" w:firstLineChars="20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2.项目进度管理要求</w:t>
      </w:r>
    </w:p>
    <w:p w14:paraId="119306CA">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需要根据项目工期要求，提出项目实施进度计划，列出详细的工程进度安排表，并提出相应的保障措施。</w:t>
      </w:r>
    </w:p>
    <w:p w14:paraId="5EB1725B">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在项目实施过程中需要分别按周、月提交进度报告，对项目问题及进度延迟原因进行说明，制定合理的解决措施并有效执行。</w:t>
      </w:r>
    </w:p>
    <w:p w14:paraId="67E35236">
      <w:pPr>
        <w:pStyle w:val="31"/>
        <w:keepNext w:val="0"/>
        <w:keepLines w:val="0"/>
        <w:pageBreakBefore w:val="0"/>
        <w:kinsoku/>
        <w:wordWrap/>
        <w:overflowPunct/>
        <w:topLinePunct w:val="0"/>
        <w:autoSpaceDE/>
        <w:autoSpaceDN/>
        <w:bidi w:val="0"/>
        <w:adjustRightInd/>
        <w:snapToGrid/>
        <w:spacing w:line="558" w:lineRule="exact"/>
        <w:ind w:firstLine="482" w:firstLineChars="20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3.项目质量管理要求</w:t>
      </w:r>
    </w:p>
    <w:p w14:paraId="3999EF13">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应按ISO9001及CMM质量管理体系规范要求，针对招标项目实施过程及交付结果进行质量规划、管理、控制。</w:t>
      </w:r>
    </w:p>
    <w:p w14:paraId="4E7B29BA">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符合国家标准有关软件开发技术规范、软件文档管理和软件验收标准的要求。</w:t>
      </w:r>
    </w:p>
    <w:p w14:paraId="75DEDDC4">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应提供详细的质量保证、质量控制措施，明确质量保证、控制内容与活动。</w:t>
      </w:r>
    </w:p>
    <w:p w14:paraId="1A65CA30">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需要接受业主方的质量监督检查，提供真实有效的相关质量活动记录、证据，无条件接受业主方提出的质量问题整改要求，承担因质量问题导致的进度延迟责任。</w:t>
      </w:r>
    </w:p>
    <w:p w14:paraId="4DFE29C0">
      <w:pPr>
        <w:pStyle w:val="31"/>
        <w:keepNext w:val="0"/>
        <w:keepLines w:val="0"/>
        <w:pageBreakBefore w:val="0"/>
        <w:kinsoku/>
        <w:wordWrap/>
        <w:overflowPunct/>
        <w:topLinePunct w:val="0"/>
        <w:autoSpaceDE/>
        <w:autoSpaceDN/>
        <w:bidi w:val="0"/>
        <w:adjustRightInd/>
        <w:snapToGrid/>
        <w:spacing w:line="558" w:lineRule="exact"/>
        <w:ind w:firstLine="482" w:firstLineChars="20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4.项目风险管理要求</w:t>
      </w:r>
    </w:p>
    <w:p w14:paraId="45D93409">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应充分认识到项目风险管理的重要性，在投标文件中必须识别分析项目中的各类风险因素，并提出相应的对策。</w:t>
      </w:r>
    </w:p>
    <w:p w14:paraId="73FA6A98">
      <w:pPr>
        <w:pStyle w:val="31"/>
        <w:keepNext w:val="0"/>
        <w:keepLines w:val="0"/>
        <w:pageBreakBefore w:val="0"/>
        <w:kinsoku/>
        <w:wordWrap/>
        <w:overflowPunct/>
        <w:topLinePunct w:val="0"/>
        <w:autoSpaceDE/>
        <w:autoSpaceDN/>
        <w:bidi w:val="0"/>
        <w:adjustRightInd/>
        <w:snapToGrid/>
        <w:spacing w:line="558" w:lineRule="exact"/>
        <w:ind w:firstLine="482" w:firstLineChars="20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5.项目测试要求</w:t>
      </w:r>
    </w:p>
    <w:p w14:paraId="675580F6">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供应商</w:t>
      </w:r>
      <w:r>
        <w:rPr>
          <w:rFonts w:hint="default" w:ascii="Times New Roman" w:hAnsi="Times New Roman" w:eastAsia="宋体" w:cs="Times New Roman"/>
          <w:color w:val="auto"/>
          <w:sz w:val="24"/>
          <w:lang w:val="en-US" w:eastAsia="zh-CN"/>
        </w:rPr>
        <w:t>必须提供详细测试方案，包括采用测试目的、测试方法与技术以及测试流程等，并能对测试问题进行有效处理。</w:t>
      </w:r>
    </w:p>
    <w:p w14:paraId="329A2C98">
      <w:pPr>
        <w:keepNext w:val="0"/>
        <w:keepLines w:val="0"/>
        <w:pageBreakBefore w:val="0"/>
        <w:shd w:val="clear"/>
        <w:kinsoku/>
        <w:wordWrap/>
        <w:overflowPunct/>
        <w:topLinePunct w:val="0"/>
        <w:autoSpaceDE/>
        <w:autoSpaceDN/>
        <w:bidi w:val="0"/>
        <w:adjustRightInd/>
        <w:snapToGrid/>
        <w:spacing w:line="558" w:lineRule="exact"/>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在工程实施过程中，中标方应先拟出一个测试方案，具体到每一个测试步骤，与用户讨论通过后，方可按计划进行测试。</w:t>
      </w:r>
    </w:p>
    <w:p w14:paraId="2DB1EF36">
      <w:pPr>
        <w:pStyle w:val="31"/>
        <w:keepNext w:val="0"/>
        <w:keepLines w:val="0"/>
        <w:pageBreakBefore w:val="0"/>
        <w:kinsoku/>
        <w:wordWrap/>
        <w:overflowPunct/>
        <w:topLinePunct w:val="0"/>
        <w:autoSpaceDE/>
        <w:autoSpaceDN/>
        <w:bidi w:val="0"/>
        <w:adjustRightInd/>
        <w:snapToGrid/>
        <w:spacing w:line="558" w:lineRule="exact"/>
        <w:ind w:firstLine="482" w:firstLineChars="20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6.项目培训要求</w:t>
      </w:r>
    </w:p>
    <w:p w14:paraId="31FE135C">
      <w:pPr>
        <w:keepNext w:val="0"/>
        <w:keepLines w:val="0"/>
        <w:pageBreakBefore w:val="0"/>
        <w:numPr>
          <w:ilvl w:val="0"/>
          <w:numId w:val="0"/>
        </w:numPr>
        <w:shd w:val="clear"/>
        <w:kinsoku/>
        <w:wordWrap/>
        <w:overflowPunct/>
        <w:topLinePunct w:val="0"/>
        <w:autoSpaceDE/>
        <w:autoSpaceDN/>
        <w:bidi w:val="0"/>
        <w:adjustRightInd/>
        <w:snapToGrid/>
        <w:spacing w:line="558" w:lineRule="exact"/>
        <w:ind w:left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培训目的：</w:t>
      </w:r>
      <w:r>
        <w:rPr>
          <w:rFonts w:hint="default" w:ascii="Times New Roman" w:hAnsi="Times New Roman" w:cs="Times New Roman"/>
          <w:color w:val="auto"/>
          <w:sz w:val="24"/>
          <w:lang w:eastAsia="zh-CN"/>
        </w:rPr>
        <w:t>供应商</w:t>
      </w:r>
      <w:r>
        <w:rPr>
          <w:rFonts w:hint="default" w:ascii="Times New Roman" w:hAnsi="Times New Roman" w:cs="Times New Roman"/>
          <w:color w:val="auto"/>
          <w:sz w:val="24"/>
        </w:rPr>
        <w:t>负责对</w:t>
      </w:r>
      <w:r>
        <w:rPr>
          <w:rFonts w:hint="default" w:ascii="Times New Roman" w:hAnsi="Times New Roman" w:cs="Times New Roman"/>
          <w:color w:val="auto"/>
          <w:sz w:val="24"/>
          <w:lang w:eastAsia="zh-CN"/>
        </w:rPr>
        <w:t>甲方</w:t>
      </w:r>
      <w:r>
        <w:rPr>
          <w:rFonts w:hint="default" w:ascii="Times New Roman" w:hAnsi="Times New Roman" w:cs="Times New Roman"/>
          <w:color w:val="auto"/>
          <w:sz w:val="24"/>
        </w:rPr>
        <w:t>进行全面的技术培训（培训费用包含在投标报</w:t>
      </w:r>
    </w:p>
    <w:p w14:paraId="134BAB32">
      <w:pPr>
        <w:keepNext w:val="0"/>
        <w:keepLines w:val="0"/>
        <w:pageBreakBefore w:val="0"/>
        <w:numPr>
          <w:ilvl w:val="0"/>
          <w:numId w:val="0"/>
        </w:numPr>
        <w:shd w:val="clear"/>
        <w:kinsoku/>
        <w:wordWrap/>
        <w:overflowPunct/>
        <w:topLinePunct w:val="0"/>
        <w:autoSpaceDE/>
        <w:autoSpaceDN/>
        <w:bidi w:val="0"/>
        <w:adjustRightInd/>
        <w:snapToGrid/>
        <w:spacing w:line="558" w:lineRule="exact"/>
        <w:textAlignment w:val="auto"/>
        <w:rPr>
          <w:rFonts w:hint="default" w:ascii="Times New Roman" w:hAnsi="Times New Roman" w:cs="Times New Roman"/>
          <w:color w:val="auto"/>
          <w:sz w:val="24"/>
        </w:rPr>
      </w:pPr>
      <w:r>
        <w:rPr>
          <w:rFonts w:hint="default" w:ascii="Times New Roman" w:hAnsi="Times New Roman" w:cs="Times New Roman"/>
          <w:color w:val="auto"/>
          <w:sz w:val="24"/>
        </w:rPr>
        <w:t>价中），使</w:t>
      </w:r>
      <w:r>
        <w:rPr>
          <w:rFonts w:hint="default" w:ascii="Times New Roman" w:hAnsi="Times New Roman" w:cs="Times New Roman"/>
          <w:color w:val="auto"/>
          <w:sz w:val="24"/>
          <w:lang w:eastAsia="zh-CN"/>
        </w:rPr>
        <w:t>甲方</w:t>
      </w:r>
      <w:r>
        <w:rPr>
          <w:rFonts w:hint="default" w:ascii="Times New Roman" w:hAnsi="Times New Roman" w:cs="Times New Roman"/>
          <w:color w:val="auto"/>
          <w:sz w:val="24"/>
        </w:rPr>
        <w:t>达到能独立进行管理、维护和故障处理等工作，以便</w:t>
      </w:r>
      <w:r>
        <w:rPr>
          <w:rFonts w:hint="default" w:ascii="Times New Roman" w:hAnsi="Times New Roman" w:cs="Times New Roman"/>
          <w:color w:val="auto"/>
          <w:sz w:val="24"/>
          <w:lang w:eastAsia="zh-CN"/>
        </w:rPr>
        <w:t>甲方</w:t>
      </w:r>
      <w:r>
        <w:rPr>
          <w:rFonts w:hint="default" w:ascii="Times New Roman" w:hAnsi="Times New Roman" w:cs="Times New Roman"/>
          <w:color w:val="auto"/>
          <w:sz w:val="24"/>
        </w:rPr>
        <w:t>所使用的软件产品能够正常、安全地运行。</w:t>
      </w:r>
    </w:p>
    <w:p w14:paraId="0B0C93DB">
      <w:pPr>
        <w:keepNext w:val="0"/>
        <w:keepLines w:val="0"/>
        <w:pageBreakBefore w:val="0"/>
        <w:numPr>
          <w:ilvl w:val="0"/>
          <w:numId w:val="0"/>
        </w:numPr>
        <w:shd w:val="clear"/>
        <w:kinsoku/>
        <w:wordWrap/>
        <w:overflowPunct/>
        <w:topLinePunct w:val="0"/>
        <w:autoSpaceDE/>
        <w:autoSpaceDN/>
        <w:bidi w:val="0"/>
        <w:adjustRightInd/>
        <w:snapToGrid/>
        <w:spacing w:line="558" w:lineRule="exact"/>
        <w:ind w:left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培训对象及资料：系统管理员和系统使用人员，由</w:t>
      </w:r>
      <w:r>
        <w:rPr>
          <w:rFonts w:hint="default" w:ascii="Times New Roman" w:hAnsi="Times New Roman" w:cs="Times New Roman"/>
          <w:color w:val="auto"/>
          <w:sz w:val="24"/>
          <w:lang w:eastAsia="zh-CN"/>
        </w:rPr>
        <w:t>供应商</w:t>
      </w:r>
      <w:r>
        <w:rPr>
          <w:rFonts w:hint="default" w:ascii="Times New Roman" w:hAnsi="Times New Roman" w:cs="Times New Roman"/>
          <w:color w:val="auto"/>
          <w:sz w:val="24"/>
        </w:rPr>
        <w:t>提供培训教材。</w:t>
      </w:r>
    </w:p>
    <w:p w14:paraId="5D8D8353">
      <w:pPr>
        <w:keepNext w:val="0"/>
        <w:keepLines w:val="0"/>
        <w:pageBreakBefore w:val="0"/>
        <w:numPr>
          <w:ilvl w:val="0"/>
          <w:numId w:val="0"/>
        </w:numPr>
        <w:shd w:val="clear"/>
        <w:kinsoku/>
        <w:wordWrap/>
        <w:overflowPunct/>
        <w:topLinePunct w:val="0"/>
        <w:autoSpaceDE/>
        <w:autoSpaceDN/>
        <w:bidi w:val="0"/>
        <w:adjustRightInd/>
        <w:snapToGrid/>
        <w:spacing w:line="558" w:lineRule="exact"/>
        <w:ind w:left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培训要求：</w:t>
      </w:r>
      <w:r>
        <w:rPr>
          <w:rFonts w:hint="default" w:ascii="Times New Roman" w:hAnsi="Times New Roman" w:cs="Times New Roman"/>
          <w:color w:val="auto"/>
          <w:sz w:val="24"/>
          <w:lang w:eastAsia="zh-CN"/>
        </w:rPr>
        <w:t>供应商</w:t>
      </w:r>
      <w:r>
        <w:rPr>
          <w:rFonts w:hint="default" w:ascii="Times New Roman" w:hAnsi="Times New Roman" w:cs="Times New Roman"/>
          <w:color w:val="auto"/>
          <w:sz w:val="24"/>
        </w:rPr>
        <w:t>除了对业务经办人员的专项培训以外，应对</w:t>
      </w:r>
      <w:r>
        <w:rPr>
          <w:rFonts w:hint="default" w:ascii="Times New Roman" w:hAnsi="Times New Roman" w:cs="Times New Roman"/>
          <w:color w:val="auto"/>
          <w:sz w:val="24"/>
          <w:lang w:eastAsia="zh-CN"/>
        </w:rPr>
        <w:t>甲方</w:t>
      </w:r>
      <w:r>
        <w:rPr>
          <w:rFonts w:hint="default" w:ascii="Times New Roman" w:hAnsi="Times New Roman" w:cs="Times New Roman"/>
          <w:color w:val="auto"/>
          <w:sz w:val="24"/>
        </w:rPr>
        <w:t>的系统维护人员进行系统维护培训。</w:t>
      </w:r>
    </w:p>
    <w:p w14:paraId="02BE5C95">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对于所有培训，</w:t>
      </w:r>
      <w:r>
        <w:rPr>
          <w:rFonts w:hint="default" w:ascii="Times New Roman" w:hAnsi="Times New Roman" w:cs="Times New Roman"/>
          <w:color w:val="auto"/>
          <w:sz w:val="24"/>
          <w:lang w:eastAsia="zh-CN"/>
        </w:rPr>
        <w:t>供应商</w:t>
      </w:r>
      <w:r>
        <w:rPr>
          <w:rFonts w:hint="default" w:ascii="Times New Roman" w:hAnsi="Times New Roman" w:cs="Times New Roman"/>
          <w:color w:val="auto"/>
          <w:kern w:val="0"/>
          <w:sz w:val="24"/>
        </w:rPr>
        <w:t>必须派出具有相应专业资格和实际工作、教育经验的教师和相应的辅导人员进行培训，主要培训教员应至少具有三年的教学经验，培训所使用的语言必须是中文，否则</w:t>
      </w:r>
      <w:r>
        <w:rPr>
          <w:rFonts w:hint="default" w:ascii="Times New Roman" w:hAnsi="Times New Roman" w:cs="Times New Roman"/>
          <w:color w:val="auto"/>
          <w:kern w:val="0"/>
          <w:sz w:val="24"/>
          <w:lang w:eastAsia="zh-CN"/>
        </w:rPr>
        <w:t>乙方</w:t>
      </w:r>
      <w:r>
        <w:rPr>
          <w:rFonts w:hint="default" w:ascii="Times New Roman" w:hAnsi="Times New Roman" w:cs="Times New Roman"/>
          <w:color w:val="auto"/>
          <w:kern w:val="0"/>
          <w:sz w:val="24"/>
        </w:rPr>
        <w:t>必须提供相应的翻译。</w:t>
      </w:r>
    </w:p>
    <w:p w14:paraId="49AB3877">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sz w:val="24"/>
          <w:lang w:eastAsia="zh-CN"/>
        </w:rPr>
        <w:t>供应商</w:t>
      </w:r>
      <w:r>
        <w:rPr>
          <w:rFonts w:hint="default" w:ascii="Times New Roman" w:hAnsi="Times New Roman" w:cs="Times New Roman"/>
          <w:color w:val="auto"/>
          <w:kern w:val="0"/>
          <w:sz w:val="24"/>
        </w:rPr>
        <w:t>应将所有培训费用（含培训教材费）及各项支出列入培训费用价格中，计入总价。</w:t>
      </w:r>
    </w:p>
    <w:p w14:paraId="35CC5E78">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所有的培训资料必须是中文书写。</w:t>
      </w:r>
    </w:p>
    <w:p w14:paraId="4B7C4B5A">
      <w:pPr>
        <w:pStyle w:val="31"/>
        <w:keepNext w:val="0"/>
        <w:keepLines w:val="0"/>
        <w:pageBreakBefore w:val="0"/>
        <w:kinsoku/>
        <w:wordWrap/>
        <w:overflowPunct/>
        <w:topLinePunct w:val="0"/>
        <w:autoSpaceDE/>
        <w:autoSpaceDN/>
        <w:bidi w:val="0"/>
        <w:adjustRightInd/>
        <w:snapToGrid/>
        <w:spacing w:line="558" w:lineRule="exact"/>
        <w:ind w:firstLine="482" w:firstLineChars="200"/>
        <w:jc w:val="both"/>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7.项目验收要求</w:t>
      </w:r>
    </w:p>
    <w:p w14:paraId="7BB1124C">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1、验收安排</w:t>
      </w:r>
    </w:p>
    <w:p w14:paraId="296F4CCC">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上线前，</w:t>
      </w:r>
      <w:r>
        <w:rPr>
          <w:rFonts w:hint="default" w:ascii="Times New Roman" w:hAnsi="Times New Roman" w:cs="Times New Roman"/>
          <w:color w:val="auto"/>
          <w:kern w:val="0"/>
          <w:sz w:val="24"/>
          <w:lang w:val="en-US" w:eastAsia="zh-CN"/>
        </w:rPr>
        <w:t>供应商</w:t>
      </w:r>
      <w:r>
        <w:rPr>
          <w:rFonts w:hint="default" w:ascii="Times New Roman" w:hAnsi="Times New Roman" w:eastAsia="宋体" w:cs="Times New Roman"/>
          <w:color w:val="auto"/>
          <w:kern w:val="0"/>
          <w:sz w:val="24"/>
          <w:lang w:val="en-US" w:eastAsia="zh-CN"/>
        </w:rPr>
        <w:t>需独立对系统进行为期一周的连续运行，未出现较大问题（影响系统正常使用）后通知用户方，发布到正式环境，系统正常运行15天后</w:t>
      </w:r>
      <w:r>
        <w:rPr>
          <w:rFonts w:hint="default" w:ascii="Times New Roman" w:hAnsi="Times New Roman" w:cs="Times New Roman"/>
          <w:color w:val="auto"/>
          <w:kern w:val="0"/>
          <w:sz w:val="24"/>
          <w:lang w:val="en-US" w:eastAsia="zh-CN"/>
        </w:rPr>
        <w:t>供应商</w:t>
      </w:r>
      <w:r>
        <w:rPr>
          <w:rFonts w:hint="default" w:ascii="Times New Roman" w:hAnsi="Times New Roman" w:eastAsia="宋体" w:cs="Times New Roman"/>
          <w:color w:val="auto"/>
          <w:kern w:val="0"/>
          <w:sz w:val="24"/>
          <w:lang w:val="en-US" w:eastAsia="zh-CN"/>
        </w:rPr>
        <w:t>可提出验收申请，由用户方组织验收。</w:t>
      </w:r>
    </w:p>
    <w:p w14:paraId="21E6E2B0">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在运行期间，</w:t>
      </w:r>
      <w:r>
        <w:rPr>
          <w:rFonts w:hint="default" w:ascii="Times New Roman" w:hAnsi="Times New Roman" w:cs="Times New Roman"/>
          <w:color w:val="auto"/>
          <w:kern w:val="0"/>
          <w:sz w:val="24"/>
          <w:lang w:val="en-US" w:eastAsia="zh-CN"/>
        </w:rPr>
        <w:t>供应商</w:t>
      </w:r>
      <w:r>
        <w:rPr>
          <w:rFonts w:hint="default" w:ascii="Times New Roman" w:hAnsi="Times New Roman" w:eastAsia="宋体" w:cs="Times New Roman"/>
          <w:color w:val="auto"/>
          <w:kern w:val="0"/>
          <w:sz w:val="24"/>
          <w:lang w:val="en-US" w:eastAsia="zh-CN"/>
        </w:rPr>
        <w:t>应对运行期间所出现的问题及时进行解决、调整，并做好记录，此记录将作为验收的依据之一。</w:t>
      </w:r>
    </w:p>
    <w:p w14:paraId="2F2C49EC">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2、文档交付要求</w:t>
      </w:r>
    </w:p>
    <w:p w14:paraId="062D8E3F">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cs="Times New Roman"/>
          <w:color w:val="auto"/>
          <w:kern w:val="0"/>
          <w:sz w:val="24"/>
          <w:lang w:val="en-US" w:eastAsia="zh-CN"/>
        </w:rPr>
        <w:t>供应商</w:t>
      </w:r>
      <w:r>
        <w:rPr>
          <w:rFonts w:hint="default" w:ascii="Times New Roman" w:hAnsi="Times New Roman" w:eastAsia="宋体" w:cs="Times New Roman"/>
          <w:color w:val="auto"/>
          <w:kern w:val="0"/>
          <w:sz w:val="24"/>
          <w:lang w:val="en-US" w:eastAsia="zh-CN"/>
        </w:rPr>
        <w:t>应于验收时向业主方提供完整的信息系统改造技术资料，包括验收报告、完整的技术文档（技术文档要求进行整理、归档及提交）。</w:t>
      </w:r>
    </w:p>
    <w:p w14:paraId="753AA692">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六</w:t>
      </w:r>
      <w:r>
        <w:rPr>
          <w:rFonts w:hint="default" w:ascii="Times New Roman" w:hAnsi="Times New Roman" w:cs="Times New Roman"/>
          <w:b/>
          <w:sz w:val="24"/>
          <w:szCs w:val="24"/>
        </w:rPr>
        <w:t>、付款方式</w:t>
      </w:r>
    </w:p>
    <w:p w14:paraId="154BB903">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1期：支付比例</w:t>
      </w:r>
      <w:r>
        <w:rPr>
          <w:rFonts w:hint="default" w:ascii="Times New Roman" w:hAnsi="Times New Roman" w:cs="Times New Roman"/>
          <w:color w:val="auto"/>
          <w:kern w:val="0"/>
          <w:sz w:val="24"/>
          <w:lang w:val="en-US" w:eastAsia="zh-CN"/>
        </w:rPr>
        <w:t>3</w:t>
      </w:r>
      <w:r>
        <w:rPr>
          <w:rFonts w:hint="default" w:ascii="Times New Roman" w:hAnsi="Times New Roman" w:eastAsia="宋体" w:cs="Times New Roman"/>
          <w:color w:val="auto"/>
          <w:kern w:val="0"/>
          <w:sz w:val="24"/>
          <w:lang w:val="en-US" w:eastAsia="zh-CN"/>
        </w:rPr>
        <w:t>0%，合同签订生效后，采购人收到成交供应商开具符合国家财务规定的发票且收到财政拨付资金后的5个工作日内，将项目合同总金额的</w:t>
      </w:r>
      <w:r>
        <w:rPr>
          <w:rFonts w:hint="default" w:ascii="Times New Roman" w:hAnsi="Times New Roman" w:cs="Times New Roman"/>
          <w:color w:val="auto"/>
          <w:kern w:val="0"/>
          <w:sz w:val="24"/>
          <w:lang w:val="en-US" w:eastAsia="zh-CN"/>
        </w:rPr>
        <w:t>3</w:t>
      </w:r>
      <w:r>
        <w:rPr>
          <w:rFonts w:hint="default" w:ascii="Times New Roman" w:hAnsi="Times New Roman" w:eastAsia="宋体" w:cs="Times New Roman"/>
          <w:color w:val="auto"/>
          <w:kern w:val="0"/>
          <w:sz w:val="24"/>
          <w:lang w:val="en-US" w:eastAsia="zh-CN"/>
        </w:rPr>
        <w:t>0%支付给成交供应商。</w:t>
      </w:r>
    </w:p>
    <w:p w14:paraId="6F12F6E0">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2期：支付比例</w:t>
      </w:r>
      <w:r>
        <w:rPr>
          <w:rFonts w:hint="default" w:ascii="Times New Roman" w:hAnsi="Times New Roman" w:cs="Times New Roman"/>
          <w:color w:val="auto"/>
          <w:kern w:val="0"/>
          <w:sz w:val="24"/>
          <w:lang w:val="en-US" w:eastAsia="zh-CN"/>
        </w:rPr>
        <w:t>5</w:t>
      </w:r>
      <w:r>
        <w:rPr>
          <w:rFonts w:hint="default" w:ascii="Times New Roman" w:hAnsi="Times New Roman" w:eastAsia="宋体" w:cs="Times New Roman"/>
          <w:color w:val="auto"/>
          <w:kern w:val="0"/>
          <w:sz w:val="24"/>
          <w:lang w:val="en-US" w:eastAsia="zh-CN"/>
        </w:rPr>
        <w:t>0%，项目</w:t>
      </w:r>
      <w:r>
        <w:rPr>
          <w:rFonts w:hint="default" w:ascii="Times New Roman" w:hAnsi="Times New Roman" w:cs="Times New Roman"/>
          <w:color w:val="auto"/>
          <w:kern w:val="0"/>
          <w:sz w:val="24"/>
          <w:lang w:val="en-US" w:eastAsia="zh-CN"/>
        </w:rPr>
        <w:t>初</w:t>
      </w:r>
      <w:r>
        <w:rPr>
          <w:rFonts w:hint="default" w:ascii="Times New Roman" w:hAnsi="Times New Roman" w:eastAsia="宋体" w:cs="Times New Roman"/>
          <w:color w:val="auto"/>
          <w:kern w:val="0"/>
          <w:sz w:val="24"/>
          <w:lang w:val="en-US" w:eastAsia="zh-CN"/>
        </w:rPr>
        <w:t>验合格并经采购人确认，成交供应商可向采购人提供符合国家财务规定的发票和申请付款手续。采购人收到财政拨付资金后的15个工作日内，视实际资金到位情况，向成交供应商支付项目进度款，但2期支付比例不高于项目合同总金额的</w:t>
      </w:r>
      <w:r>
        <w:rPr>
          <w:rFonts w:hint="default" w:ascii="Times New Roman" w:hAnsi="Times New Roman" w:cs="Times New Roman"/>
          <w:color w:val="auto"/>
          <w:kern w:val="0"/>
          <w:sz w:val="24"/>
          <w:lang w:val="en-US" w:eastAsia="zh-CN"/>
        </w:rPr>
        <w:t>6</w:t>
      </w:r>
      <w:r>
        <w:rPr>
          <w:rFonts w:hint="default" w:ascii="Times New Roman" w:hAnsi="Times New Roman" w:eastAsia="宋体" w:cs="Times New Roman"/>
          <w:color w:val="auto"/>
          <w:kern w:val="0"/>
          <w:sz w:val="24"/>
          <w:lang w:val="en-US" w:eastAsia="zh-CN"/>
        </w:rPr>
        <w:t>0%。</w:t>
      </w:r>
    </w:p>
    <w:p w14:paraId="247CD154">
      <w:pPr>
        <w:keepNext w:val="0"/>
        <w:keepLines w:val="0"/>
        <w:pageBreakBefore w:val="0"/>
        <w:shd w:val="clear"/>
        <w:kinsoku/>
        <w:wordWrap/>
        <w:overflowPunct/>
        <w:topLinePunct w:val="0"/>
        <w:autoSpaceDE/>
        <w:autoSpaceDN/>
        <w:bidi w:val="0"/>
        <w:adjustRightInd/>
        <w:snapToGrid/>
        <w:spacing w:before="0" w:beforeLines="0" w:line="558" w:lineRule="exact"/>
        <w:ind w:firstLine="480" w:firstLineChars="200"/>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3期：支付比例</w:t>
      </w:r>
      <w:r>
        <w:rPr>
          <w:rFonts w:hint="default" w:ascii="Times New Roman" w:hAnsi="Times New Roman" w:cs="Times New Roman"/>
          <w:color w:val="auto"/>
          <w:kern w:val="0"/>
          <w:sz w:val="24"/>
          <w:lang w:val="en-US" w:eastAsia="zh-CN"/>
        </w:rPr>
        <w:t>2</w:t>
      </w:r>
      <w:r>
        <w:rPr>
          <w:rFonts w:hint="default" w:ascii="Times New Roman" w:hAnsi="Times New Roman" w:eastAsia="宋体" w:cs="Times New Roman"/>
          <w:color w:val="auto"/>
          <w:kern w:val="0"/>
          <w:sz w:val="24"/>
          <w:lang w:val="en-US" w:eastAsia="zh-CN"/>
        </w:rPr>
        <w:t>0%，项目终验合格并经采购人确认，成交供应商向采购人提供符合国家财务规定的发票后，采购人办理申请付款手续。采购人收到财政拨付资金后的15个工作日内，将余下款项（项目合同总金额的10%）支付给成交供应商。</w:t>
      </w:r>
    </w:p>
    <w:p w14:paraId="47D9F68F">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七</w:t>
      </w:r>
      <w:r>
        <w:rPr>
          <w:rFonts w:hint="default" w:ascii="Times New Roman" w:hAnsi="Times New Roman" w:cs="Times New Roman"/>
          <w:b/>
          <w:sz w:val="24"/>
          <w:szCs w:val="24"/>
        </w:rPr>
        <w:t>、知识产权归属</w:t>
      </w:r>
    </w:p>
    <w:p w14:paraId="729BECAE">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乙方应保证，甲方在中华人民共和国使用其提供的货物、软件及服务或货物、软件及服务的任何一部分时，免受第三方提出侵犯其专利权、商标权、工业设计权等知识产权或其他合法权益的起诉或法律和经济纠纷。如发生此类纠纷，由乙方承担一切责任并赔偿因此给甲方造成的全部损失（包括但不限于诉讼费用、律师调查费用及赔偿金等全部损失）。</w:t>
      </w:r>
    </w:p>
    <w:p w14:paraId="4755EC41">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八</w:t>
      </w:r>
      <w:r>
        <w:rPr>
          <w:rFonts w:hint="default" w:ascii="Times New Roman" w:hAnsi="Times New Roman" w:cs="Times New Roman"/>
          <w:b/>
          <w:sz w:val="24"/>
          <w:szCs w:val="24"/>
        </w:rPr>
        <w:t>、保密规定</w:t>
      </w:r>
    </w:p>
    <w:p w14:paraId="7808104C">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1.乙方必须采取措施对本项目实施过程中的数据、源代码、技术文档等资料保密，否则，由于乙方</w:t>
      </w:r>
      <w:r>
        <w:rPr>
          <w:rFonts w:hint="default" w:ascii="Times New Roman" w:hAnsi="Times New Roman" w:cs="Times New Roman"/>
          <w:sz w:val="24"/>
          <w:szCs w:val="24"/>
          <w:lang w:eastAsia="zh-CN"/>
        </w:rPr>
        <w:t>过错导致上述</w:t>
      </w:r>
      <w:r>
        <w:rPr>
          <w:rFonts w:hint="default" w:ascii="Times New Roman" w:hAnsi="Times New Roman" w:cs="Times New Roman"/>
          <w:sz w:val="24"/>
          <w:szCs w:val="24"/>
        </w:rPr>
        <w:t>资料泄密的，乙方必须承担一切责任及损失。</w:t>
      </w:r>
    </w:p>
    <w:p w14:paraId="0A6D03D3">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乙方不得将由甲方为本项目提供的条文、规格、计划、图纸、模型、样品或资料等提供给与本项目无关的任何第三方，不得将其用于履行本项目之外的其它用途。即使向与履行本项目有关的人员提供，也应注意保密并限于履行本项目所必需的范围。</w:t>
      </w:r>
    </w:p>
    <w:p w14:paraId="72B88816">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3.乙方针对本项目所派出的所有服务人员，须签订安全保密责任书。</w:t>
      </w:r>
    </w:p>
    <w:p w14:paraId="4253E044">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4.本保密条款自保密资料提供或披露</w:t>
      </w:r>
      <w:r>
        <w:rPr>
          <w:rFonts w:hint="default" w:ascii="Times New Roman" w:hAnsi="Times New Roman" w:cs="Times New Roman"/>
          <w:sz w:val="24"/>
          <w:szCs w:val="24"/>
          <w:lang w:eastAsia="zh-CN"/>
        </w:rPr>
        <w:t>之日起</w:t>
      </w:r>
      <w:r>
        <w:rPr>
          <w:rFonts w:hint="default" w:ascii="Times New Roman" w:hAnsi="Times New Roman" w:cs="Times New Roman"/>
          <w:sz w:val="24"/>
          <w:szCs w:val="24"/>
        </w:rPr>
        <w:t>永久有效。</w:t>
      </w:r>
    </w:p>
    <w:p w14:paraId="20D7F563">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5.如乙方违反合同关于保密的约定，甲方有权解除本合同，无需向乙方支付剩余款项，乙方应赔偿因此而给甲方造成的一切损失。</w:t>
      </w:r>
    </w:p>
    <w:p w14:paraId="430F3AB6">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九</w:t>
      </w:r>
      <w:r>
        <w:rPr>
          <w:rFonts w:hint="default" w:ascii="Times New Roman" w:hAnsi="Times New Roman" w:cs="Times New Roman"/>
          <w:b/>
          <w:sz w:val="24"/>
          <w:szCs w:val="24"/>
        </w:rPr>
        <w:t>、违约责任与赔偿损失</w:t>
      </w:r>
    </w:p>
    <w:p w14:paraId="287E6D60">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1.未经甲方同意，乙方不得将承包项目发包或转包，否则，视为乙方违约，甲方有权解除合同。</w:t>
      </w:r>
    </w:p>
    <w:p w14:paraId="5A12D0FD">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若乙方在签订合同并生效后30天内未能配齐符合甲方需求的人员，则视为乙方违约，甲方有权解除合同，乙方应退还甲方已支付的全部款项，同时乙方应向甲方支付本合同总金额5%的违约金并赔偿甲方的全部损失。</w:t>
      </w:r>
    </w:p>
    <w:p w14:paraId="30A4B13A">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3.乙方交付的货物、工程或提供的服务不符合本合同规定的，甲方有权拒收，并且乙方须向甲方支付本合同总价5%的违约金。</w:t>
      </w:r>
    </w:p>
    <w:p w14:paraId="4E5E43D1">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.乙方未能按本合同规定的时间交付货物的/提供服务，从逾期之日起每日按本合同总价</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‰的数额向甲方支付违约金；逾期半个月以上的，甲方有权解除合同，由此造成的甲方经济损失由乙方承担。</w:t>
      </w:r>
    </w:p>
    <w:p w14:paraId="0FE883F7">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.甲方无正当理由拒收货物/接受服务，甲方向乙方偿付本合同总价5%的违约金。甲方逾期付款，则每日按本合同总价的5‰向乙方偿付违约金，累计违约金不超过本合同总价的10%。</w:t>
      </w:r>
    </w:p>
    <w:p w14:paraId="2485045A">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.乙方违反第</w:t>
      </w:r>
      <w:r>
        <w:rPr>
          <w:rFonts w:hint="default" w:ascii="Times New Roman" w:hAnsi="Times New Roman" w:cs="Times New Roman"/>
          <w:sz w:val="24"/>
          <w:szCs w:val="24"/>
          <w:lang w:val="en-US" w:eastAsia="zh-CN"/>
        </w:rPr>
        <w:t>八</w:t>
      </w:r>
      <w:r>
        <w:rPr>
          <w:rFonts w:hint="default" w:ascii="Times New Roman" w:hAnsi="Times New Roman" w:cs="Times New Roman"/>
          <w:sz w:val="24"/>
          <w:szCs w:val="24"/>
        </w:rPr>
        <w:t>条保密规定的，甲方有权解除合同，乙方应退还甲方已支付的全部款项，对于乙方已按合同约定实际提供的服务，甲方向乙方支付相应的服务报酬（服务报酬计算方式：乙方按合同约定实际提供的服务期限/合同约定的服务期限×合同总价款），同时乙方应向甲方支付本合同总金额的5 %作为违约金并赔偿甲方的全部损失。</w:t>
      </w:r>
    </w:p>
    <w:p w14:paraId="034BB7EA">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.一方违约的，应赔偿守约方的全部损失（包括但不限于诉讼费、律师费、鉴定费、公证费、差旅费等）。</w:t>
      </w:r>
    </w:p>
    <w:p w14:paraId="2F69958B">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w:t>
      </w:r>
      <w:r>
        <w:rPr>
          <w:rFonts w:hint="default" w:ascii="Times New Roman" w:hAnsi="Times New Roman" w:cs="Times New Roman"/>
          <w:sz w:val="24"/>
          <w:szCs w:val="24"/>
          <w:lang w:eastAsia="zh-CN"/>
        </w:rPr>
        <w:t>其他</w:t>
      </w:r>
      <w:r>
        <w:rPr>
          <w:rFonts w:hint="default" w:ascii="Times New Roman" w:hAnsi="Times New Roman" w:cs="Times New Roman"/>
          <w:sz w:val="24"/>
          <w:szCs w:val="24"/>
        </w:rPr>
        <w:t>违约责任</w:t>
      </w:r>
      <w:r>
        <w:rPr>
          <w:rFonts w:hint="default" w:ascii="Times New Roman" w:hAnsi="Times New Roman" w:cs="Times New Roman"/>
          <w:sz w:val="24"/>
          <w:szCs w:val="24"/>
          <w:lang w:eastAsia="zh-CN"/>
        </w:rPr>
        <w:t>按照《中华人民共和国</w:t>
      </w:r>
      <w:r>
        <w:rPr>
          <w:rFonts w:hint="default" w:ascii="Times New Roman" w:hAnsi="Times New Roman" w:cs="Times New Roman"/>
          <w:sz w:val="24"/>
          <w:szCs w:val="24"/>
        </w:rPr>
        <w:t>民法典》处理。</w:t>
      </w:r>
    </w:p>
    <w:p w14:paraId="4770DC04">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lang w:val="en-US" w:eastAsia="zh-CN"/>
        </w:rPr>
        <w:t>十</w:t>
      </w:r>
      <w:r>
        <w:rPr>
          <w:rFonts w:hint="default" w:ascii="Times New Roman" w:hAnsi="Times New Roman" w:cs="Times New Roman"/>
          <w:b/>
          <w:sz w:val="24"/>
          <w:szCs w:val="24"/>
        </w:rPr>
        <w:t>、争议的解决</w:t>
      </w:r>
    </w:p>
    <w:p w14:paraId="1D44D8A0">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甲、乙双方因本合同发生的一切争议应协商解决</w:t>
      </w:r>
      <w:r>
        <w:rPr>
          <w:rFonts w:hint="default" w:ascii="Times New Roman" w:hAnsi="Times New Roman" w:cs="Times New Roman"/>
          <w:sz w:val="24"/>
          <w:szCs w:val="24"/>
          <w:lang w:eastAsia="zh-CN"/>
        </w:rPr>
        <w:t>；</w:t>
      </w:r>
      <w:r>
        <w:rPr>
          <w:rFonts w:hint="default" w:ascii="Times New Roman" w:hAnsi="Times New Roman" w:cs="Times New Roman"/>
          <w:sz w:val="24"/>
          <w:szCs w:val="24"/>
        </w:rPr>
        <w:t>协商不成的</w:t>
      </w:r>
      <w:r>
        <w:rPr>
          <w:rFonts w:hint="default" w:ascii="Times New Roman" w:hAnsi="Times New Roman" w:cs="Times New Roman"/>
          <w:sz w:val="24"/>
          <w:szCs w:val="24"/>
          <w:lang w:eastAsia="zh-CN"/>
        </w:rPr>
        <w:t>，</w:t>
      </w:r>
      <w:r>
        <w:rPr>
          <w:rFonts w:hint="default" w:ascii="Times New Roman" w:hAnsi="Times New Roman" w:cs="Times New Roman"/>
          <w:sz w:val="24"/>
          <w:szCs w:val="24"/>
        </w:rPr>
        <w:t>任何一方均可向甲方住所地人民法院起诉。</w:t>
      </w:r>
    </w:p>
    <w:p w14:paraId="031FACE3">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十</w:t>
      </w:r>
      <w:r>
        <w:rPr>
          <w:rFonts w:hint="default" w:ascii="Times New Roman" w:hAnsi="Times New Roman" w:cs="Times New Roman"/>
          <w:b/>
          <w:sz w:val="24"/>
          <w:szCs w:val="24"/>
          <w:lang w:val="en-US" w:eastAsia="zh-CN"/>
        </w:rPr>
        <w:t>一</w:t>
      </w:r>
      <w:r>
        <w:rPr>
          <w:rFonts w:hint="default" w:ascii="Times New Roman" w:hAnsi="Times New Roman" w:cs="Times New Roman"/>
          <w:b/>
          <w:sz w:val="24"/>
          <w:szCs w:val="24"/>
        </w:rPr>
        <w:t>、不可抗力</w:t>
      </w:r>
    </w:p>
    <w:p w14:paraId="3F956D46">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任何一方由于不可抗力原因不能履行合同时，应在不可抗力事件结束后1日内向对方通报，以减轻可能 给对方造成的损失，在取得有关机构的不可抗力证明或双方谅解确认后，允许延期履行或修订合同，并根据情况可部分或全部免于承担违约责任。</w:t>
      </w:r>
    </w:p>
    <w:p w14:paraId="22A73A69">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十</w:t>
      </w:r>
      <w:r>
        <w:rPr>
          <w:rFonts w:hint="default" w:ascii="Times New Roman" w:hAnsi="Times New Roman" w:cs="Times New Roman"/>
          <w:b/>
          <w:sz w:val="24"/>
          <w:szCs w:val="24"/>
          <w:lang w:val="en-US" w:eastAsia="zh-CN"/>
        </w:rPr>
        <w:t>二</w:t>
      </w:r>
      <w:r>
        <w:rPr>
          <w:rFonts w:hint="default" w:ascii="Times New Roman" w:hAnsi="Times New Roman" w:cs="Times New Roman"/>
          <w:b/>
          <w:sz w:val="24"/>
          <w:szCs w:val="24"/>
        </w:rPr>
        <w:t>、税费</w:t>
      </w:r>
    </w:p>
    <w:p w14:paraId="2C97A0E7">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在中国境内、外发生的与本合同执行有关的一切税费均由乙方负担。</w:t>
      </w:r>
    </w:p>
    <w:p w14:paraId="0806C4E7">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b/>
          <w:sz w:val="24"/>
          <w:szCs w:val="24"/>
        </w:rPr>
        <w:t>十</w:t>
      </w:r>
      <w:r>
        <w:rPr>
          <w:rFonts w:hint="default" w:ascii="Times New Roman" w:hAnsi="Times New Roman" w:cs="Times New Roman"/>
          <w:b/>
          <w:sz w:val="24"/>
          <w:szCs w:val="24"/>
          <w:lang w:val="en-US" w:eastAsia="zh-CN"/>
        </w:rPr>
        <w:t>三</w:t>
      </w:r>
      <w:r>
        <w:rPr>
          <w:rFonts w:hint="default" w:ascii="Times New Roman" w:hAnsi="Times New Roman" w:cs="Times New Roman"/>
          <w:b/>
          <w:sz w:val="24"/>
          <w:szCs w:val="24"/>
        </w:rPr>
        <w:t>、其</w:t>
      </w:r>
      <w:r>
        <w:rPr>
          <w:rFonts w:hint="default" w:ascii="Times New Roman" w:hAnsi="Times New Roman" w:cs="Times New Roman"/>
          <w:b/>
          <w:sz w:val="24"/>
          <w:szCs w:val="24"/>
          <w:lang w:val="en-US" w:eastAsia="zh-CN"/>
        </w:rPr>
        <w:t>他</w:t>
      </w:r>
    </w:p>
    <w:p w14:paraId="3B7CA930">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1.本合同所有附件、招标文件、投标文件、中标通知书均</w:t>
      </w:r>
      <w:r>
        <w:rPr>
          <w:rFonts w:hint="default" w:ascii="Times New Roman" w:hAnsi="Times New Roman" w:cs="Times New Roman"/>
          <w:sz w:val="24"/>
          <w:szCs w:val="24"/>
          <w:lang w:eastAsia="zh-CN"/>
        </w:rPr>
        <w:t>为本</w:t>
      </w:r>
      <w:r>
        <w:rPr>
          <w:rFonts w:hint="default" w:ascii="Times New Roman" w:hAnsi="Times New Roman" w:cs="Times New Roman"/>
          <w:sz w:val="24"/>
          <w:szCs w:val="24"/>
        </w:rPr>
        <w:t>合同的有效组成部分，与本合同具有同等法律效力。</w:t>
      </w:r>
    </w:p>
    <w:p w14:paraId="3E0C1506">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2.在执行本合同的过程中，所有经双方签署确认的文件（包括会议纪要、补充协议、往来信函）即成为本合同的有效组成部分。</w:t>
      </w:r>
    </w:p>
    <w:p w14:paraId="0A2AB124">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3.如一方地址、电话、传真号码有变更，应在变更当日内书面通知对方，否则，应承担相应责任。</w:t>
      </w:r>
    </w:p>
    <w:p w14:paraId="164C1029">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4.除甲方事先书面同意外，乙方不得部分或全部转让其应履行的合同项下的义务。</w:t>
      </w:r>
    </w:p>
    <w:p w14:paraId="2DB897F1">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b/>
          <w:sz w:val="24"/>
          <w:szCs w:val="24"/>
        </w:rPr>
        <w:t>十</w:t>
      </w:r>
      <w:r>
        <w:rPr>
          <w:rFonts w:hint="default" w:ascii="Times New Roman" w:hAnsi="Times New Roman" w:cs="Times New Roman"/>
          <w:b/>
          <w:sz w:val="24"/>
          <w:szCs w:val="24"/>
          <w:lang w:val="en-US" w:eastAsia="zh-CN"/>
        </w:rPr>
        <w:t>四</w:t>
      </w:r>
      <w:r>
        <w:rPr>
          <w:rFonts w:hint="default" w:ascii="Times New Roman" w:hAnsi="Times New Roman" w:cs="Times New Roman"/>
          <w:b/>
          <w:sz w:val="24"/>
          <w:szCs w:val="24"/>
        </w:rPr>
        <w:t>、合同生效</w:t>
      </w:r>
    </w:p>
    <w:p w14:paraId="5EF27185">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本合同在甲乙双方法人代表或其授权代表签字盖章后生效。</w:t>
      </w:r>
    </w:p>
    <w:p w14:paraId="52EDDC45">
      <w:pPr>
        <w:pStyle w:val="31"/>
        <w:keepNext w:val="0"/>
        <w:keepLines w:val="0"/>
        <w:pageBreakBefore w:val="0"/>
        <w:kinsoku/>
        <w:wordWrap/>
        <w:overflowPunct/>
        <w:topLinePunct w:val="0"/>
        <w:autoSpaceDE/>
        <w:autoSpaceDN/>
        <w:bidi w:val="0"/>
        <w:adjustRightInd/>
        <w:snapToGrid/>
        <w:spacing w:line="558" w:lineRule="exact"/>
        <w:ind w:firstLine="42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陆</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rPr>
        <w:t>份，其中甲方</w:t>
      </w:r>
      <w:r>
        <w:rPr>
          <w:rFonts w:hint="default" w:ascii="Times New Roman" w:hAnsi="Times New Roman" w:cs="Times New Roman"/>
          <w:sz w:val="24"/>
          <w:szCs w:val="24"/>
          <w:u w:val="single"/>
        </w:rPr>
        <w:t xml:space="preserve"> 贰</w:t>
      </w:r>
      <w:r>
        <w:rPr>
          <w:rFonts w:hint="default" w:ascii="Times New Roman" w:hAnsi="Times New Roman" w:cs="Times New Roman"/>
          <w:sz w:val="24"/>
          <w:szCs w:val="24"/>
        </w:rPr>
        <w:t xml:space="preserve"> 份，乙方</w:t>
      </w:r>
      <w:r>
        <w:rPr>
          <w:rFonts w:hint="default" w:ascii="Times New Roman" w:hAnsi="Times New Roman" w:cs="Times New Roman"/>
          <w:sz w:val="24"/>
          <w:szCs w:val="24"/>
          <w:u w:val="single"/>
        </w:rPr>
        <w:t xml:space="preserve"> 贰</w:t>
      </w:r>
      <w:r>
        <w:rPr>
          <w:rFonts w:hint="default" w:ascii="Times New Roman" w:hAnsi="Times New Roman" w:cs="Times New Roman"/>
          <w:sz w:val="24"/>
          <w:szCs w:val="24"/>
        </w:rPr>
        <w:t>份，监管部门</w:t>
      </w:r>
      <w:r>
        <w:rPr>
          <w:rFonts w:hint="default" w:ascii="Times New Roman" w:hAnsi="Times New Roman" w:cs="Times New Roman"/>
          <w:sz w:val="24"/>
          <w:szCs w:val="24"/>
          <w:u w:val="single"/>
        </w:rPr>
        <w:t xml:space="preserve"> 壹</w:t>
      </w:r>
      <w:r>
        <w:rPr>
          <w:rFonts w:hint="default" w:ascii="Times New Roman" w:hAnsi="Times New Roman" w:cs="Times New Roman"/>
          <w:sz w:val="24"/>
          <w:szCs w:val="24"/>
        </w:rPr>
        <w:t>份，采购代理机构</w:t>
      </w:r>
      <w:r>
        <w:rPr>
          <w:rFonts w:hint="default" w:ascii="Times New Roman" w:hAnsi="Times New Roman" w:cs="Times New Roman"/>
          <w:sz w:val="24"/>
          <w:szCs w:val="24"/>
          <w:u w:val="single"/>
        </w:rPr>
        <w:t>壹</w:t>
      </w:r>
      <w:r>
        <w:rPr>
          <w:rFonts w:hint="default" w:ascii="Times New Roman" w:hAnsi="Times New Roman" w:cs="Times New Roman"/>
          <w:sz w:val="24"/>
          <w:szCs w:val="24"/>
        </w:rPr>
        <w:t>份。</w:t>
      </w:r>
    </w:p>
    <w:tbl>
      <w:tblPr>
        <w:tblStyle w:val="21"/>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086"/>
        <w:gridCol w:w="1252"/>
        <w:gridCol w:w="1685"/>
        <w:gridCol w:w="2251"/>
      </w:tblGrid>
      <w:tr w14:paraId="31E300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338" w:type="dxa"/>
            <w:gridSpan w:val="2"/>
            <w:tcBorders>
              <w:top w:val="nil"/>
              <w:left w:val="nil"/>
              <w:bottom w:val="nil"/>
              <w:right w:val="nil"/>
            </w:tcBorders>
            <w:tcMar>
              <w:top w:w="0" w:type="dxa"/>
              <w:left w:w="105" w:type="dxa"/>
              <w:bottom w:w="0" w:type="dxa"/>
              <w:right w:w="105" w:type="dxa"/>
            </w:tcMar>
            <w:vAlign w:val="top"/>
          </w:tcPr>
          <w:p w14:paraId="7985523F">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甲方（盖章）：</w:t>
            </w:r>
          </w:p>
        </w:tc>
        <w:tc>
          <w:tcPr>
            <w:tcW w:w="1685" w:type="dxa"/>
            <w:tcBorders>
              <w:top w:val="nil"/>
              <w:left w:val="nil"/>
              <w:bottom w:val="nil"/>
              <w:right w:val="nil"/>
            </w:tcBorders>
            <w:tcMar>
              <w:top w:w="0" w:type="dxa"/>
              <w:left w:w="105" w:type="dxa"/>
              <w:bottom w:w="0" w:type="dxa"/>
              <w:right w:w="105" w:type="dxa"/>
            </w:tcMar>
            <w:vAlign w:val="top"/>
          </w:tcPr>
          <w:p w14:paraId="593B40D7">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乙方（盖章）：</w:t>
            </w:r>
          </w:p>
        </w:tc>
        <w:tc>
          <w:tcPr>
            <w:tcW w:w="2251" w:type="dxa"/>
            <w:tcBorders>
              <w:top w:val="nil"/>
              <w:left w:val="nil"/>
              <w:bottom w:val="nil"/>
              <w:right w:val="nil"/>
            </w:tcBorders>
            <w:tcMar>
              <w:top w:w="0" w:type="dxa"/>
              <w:left w:w="105" w:type="dxa"/>
              <w:bottom w:w="0" w:type="dxa"/>
              <w:right w:w="105" w:type="dxa"/>
            </w:tcMar>
            <w:vAlign w:val="top"/>
          </w:tcPr>
          <w:p w14:paraId="0EB1831D">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p>
        </w:tc>
      </w:tr>
      <w:tr w14:paraId="5221CB0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86" w:type="dxa"/>
            <w:tcBorders>
              <w:top w:val="nil"/>
              <w:left w:val="nil"/>
              <w:bottom w:val="nil"/>
              <w:right w:val="nil"/>
            </w:tcBorders>
            <w:tcMar>
              <w:top w:w="0" w:type="dxa"/>
              <w:left w:w="105" w:type="dxa"/>
              <w:bottom w:w="0" w:type="dxa"/>
              <w:right w:w="105" w:type="dxa"/>
            </w:tcMar>
            <w:vAlign w:val="top"/>
          </w:tcPr>
          <w:p w14:paraId="56637BBB">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法定代表/授权代表（签字）：</w:t>
            </w:r>
          </w:p>
        </w:tc>
        <w:tc>
          <w:tcPr>
            <w:tcW w:w="1252" w:type="dxa"/>
            <w:tcBorders>
              <w:top w:val="nil"/>
              <w:left w:val="nil"/>
              <w:bottom w:val="nil"/>
              <w:right w:val="nil"/>
            </w:tcBorders>
            <w:tcMar>
              <w:top w:w="0" w:type="dxa"/>
              <w:left w:w="105" w:type="dxa"/>
              <w:bottom w:w="0" w:type="dxa"/>
              <w:right w:w="105" w:type="dxa"/>
            </w:tcMar>
            <w:vAlign w:val="top"/>
          </w:tcPr>
          <w:p w14:paraId="7A0FD6A2">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p>
        </w:tc>
        <w:tc>
          <w:tcPr>
            <w:tcW w:w="3936" w:type="dxa"/>
            <w:gridSpan w:val="2"/>
            <w:tcBorders>
              <w:top w:val="nil"/>
              <w:left w:val="nil"/>
              <w:bottom w:val="nil"/>
              <w:right w:val="nil"/>
            </w:tcBorders>
            <w:tcMar>
              <w:top w:w="0" w:type="dxa"/>
              <w:left w:w="105" w:type="dxa"/>
              <w:bottom w:w="0" w:type="dxa"/>
              <w:right w:w="105" w:type="dxa"/>
            </w:tcMar>
            <w:vAlign w:val="top"/>
          </w:tcPr>
          <w:p w14:paraId="4AA43DA6">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法定代表/授权代表（签字）：</w:t>
            </w:r>
          </w:p>
        </w:tc>
      </w:tr>
      <w:tr w14:paraId="22C227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86" w:type="dxa"/>
            <w:tcBorders>
              <w:top w:val="nil"/>
              <w:left w:val="nil"/>
              <w:bottom w:val="nil"/>
              <w:right w:val="nil"/>
            </w:tcBorders>
            <w:tcMar>
              <w:top w:w="0" w:type="dxa"/>
              <w:left w:w="105" w:type="dxa"/>
              <w:bottom w:w="0" w:type="dxa"/>
              <w:right w:w="105" w:type="dxa"/>
            </w:tcMar>
            <w:vAlign w:val="top"/>
          </w:tcPr>
          <w:p w14:paraId="2A4CE549">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日期：</w:t>
            </w:r>
          </w:p>
        </w:tc>
        <w:tc>
          <w:tcPr>
            <w:tcW w:w="1252" w:type="dxa"/>
            <w:tcBorders>
              <w:top w:val="nil"/>
              <w:left w:val="nil"/>
              <w:bottom w:val="nil"/>
              <w:right w:val="nil"/>
            </w:tcBorders>
            <w:tcMar>
              <w:top w:w="0" w:type="dxa"/>
              <w:left w:w="105" w:type="dxa"/>
              <w:bottom w:w="0" w:type="dxa"/>
              <w:right w:w="105" w:type="dxa"/>
            </w:tcMar>
            <w:vAlign w:val="top"/>
          </w:tcPr>
          <w:p w14:paraId="78A48374">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p>
        </w:tc>
        <w:tc>
          <w:tcPr>
            <w:tcW w:w="1685" w:type="dxa"/>
            <w:tcBorders>
              <w:top w:val="nil"/>
              <w:left w:val="nil"/>
              <w:bottom w:val="nil"/>
              <w:right w:val="nil"/>
            </w:tcBorders>
            <w:tcMar>
              <w:top w:w="0" w:type="dxa"/>
              <w:left w:w="105" w:type="dxa"/>
              <w:bottom w:w="0" w:type="dxa"/>
              <w:right w:w="105" w:type="dxa"/>
            </w:tcMar>
            <w:vAlign w:val="top"/>
          </w:tcPr>
          <w:p w14:paraId="4D3B4518">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日期：</w:t>
            </w:r>
          </w:p>
        </w:tc>
        <w:tc>
          <w:tcPr>
            <w:tcW w:w="2251" w:type="dxa"/>
            <w:tcBorders>
              <w:top w:val="nil"/>
              <w:left w:val="nil"/>
              <w:bottom w:val="nil"/>
              <w:right w:val="nil"/>
            </w:tcBorders>
            <w:tcMar>
              <w:top w:w="0" w:type="dxa"/>
              <w:left w:w="105" w:type="dxa"/>
              <w:bottom w:w="0" w:type="dxa"/>
              <w:right w:w="105" w:type="dxa"/>
            </w:tcMar>
            <w:vAlign w:val="top"/>
          </w:tcPr>
          <w:p w14:paraId="52270143">
            <w:pPr>
              <w:pStyle w:val="31"/>
              <w:keepNext w:val="0"/>
              <w:keepLines w:val="0"/>
              <w:pageBreakBefore w:val="0"/>
              <w:kinsoku/>
              <w:wordWrap/>
              <w:overflowPunct/>
              <w:topLinePunct w:val="0"/>
              <w:autoSpaceDE/>
              <w:autoSpaceDN/>
              <w:bidi w:val="0"/>
              <w:adjustRightInd/>
              <w:snapToGrid/>
              <w:spacing w:line="558" w:lineRule="exact"/>
              <w:jc w:val="both"/>
              <w:textAlignment w:val="auto"/>
              <w:rPr>
                <w:rFonts w:hint="default" w:ascii="Times New Roman" w:hAnsi="Times New Roman" w:cs="Times New Roman"/>
                <w:sz w:val="24"/>
                <w:szCs w:val="24"/>
              </w:rPr>
            </w:pPr>
          </w:p>
        </w:tc>
      </w:tr>
      <w:tr w14:paraId="07DDA7C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086" w:type="dxa"/>
            <w:tcBorders>
              <w:top w:val="nil"/>
              <w:left w:val="nil"/>
              <w:bottom w:val="nil"/>
              <w:right w:val="nil"/>
            </w:tcBorders>
            <w:tcMar>
              <w:top w:w="0" w:type="dxa"/>
              <w:left w:w="105" w:type="dxa"/>
              <w:bottom w:w="0" w:type="dxa"/>
              <w:right w:w="105" w:type="dxa"/>
            </w:tcMar>
            <w:vAlign w:val="top"/>
          </w:tcPr>
          <w:p w14:paraId="2180806B">
            <w:pPr>
              <w:keepNext w:val="0"/>
              <w:keepLines w:val="0"/>
              <w:pageBreakBefore w:val="0"/>
              <w:kinsoku/>
              <w:wordWrap/>
              <w:overflowPunct/>
              <w:topLinePunct w:val="0"/>
              <w:autoSpaceDE/>
              <w:autoSpaceDN/>
              <w:bidi w:val="0"/>
              <w:adjustRightInd/>
              <w:snapToGrid/>
              <w:spacing w:line="558" w:lineRule="exact"/>
              <w:textAlignment w:val="auto"/>
              <w:rPr>
                <w:rFonts w:hint="default" w:ascii="Times New Roman" w:hAnsi="Times New Roman" w:cs="Times New Roman"/>
                <w:sz w:val="24"/>
                <w:szCs w:val="24"/>
              </w:rPr>
            </w:pPr>
          </w:p>
        </w:tc>
        <w:tc>
          <w:tcPr>
            <w:tcW w:w="1252" w:type="dxa"/>
            <w:tcBorders>
              <w:top w:val="nil"/>
              <w:left w:val="nil"/>
              <w:bottom w:val="nil"/>
              <w:right w:val="nil"/>
            </w:tcBorders>
            <w:tcMar>
              <w:top w:w="0" w:type="dxa"/>
              <w:left w:w="105" w:type="dxa"/>
              <w:bottom w:w="0" w:type="dxa"/>
              <w:right w:w="105" w:type="dxa"/>
            </w:tcMar>
            <w:vAlign w:val="top"/>
          </w:tcPr>
          <w:p w14:paraId="7A5C8B5A">
            <w:pPr>
              <w:keepNext w:val="0"/>
              <w:keepLines w:val="0"/>
              <w:pageBreakBefore w:val="0"/>
              <w:kinsoku/>
              <w:wordWrap/>
              <w:overflowPunct/>
              <w:topLinePunct w:val="0"/>
              <w:autoSpaceDE/>
              <w:autoSpaceDN/>
              <w:bidi w:val="0"/>
              <w:adjustRightInd/>
              <w:snapToGrid/>
              <w:spacing w:line="558" w:lineRule="exact"/>
              <w:textAlignment w:val="auto"/>
              <w:rPr>
                <w:rFonts w:hint="default" w:ascii="Times New Roman" w:hAnsi="Times New Roman" w:cs="Times New Roman"/>
                <w:sz w:val="24"/>
                <w:szCs w:val="24"/>
              </w:rPr>
            </w:pPr>
          </w:p>
        </w:tc>
        <w:tc>
          <w:tcPr>
            <w:tcW w:w="1685" w:type="dxa"/>
            <w:tcBorders>
              <w:top w:val="nil"/>
              <w:left w:val="nil"/>
              <w:bottom w:val="nil"/>
              <w:right w:val="nil"/>
            </w:tcBorders>
            <w:tcMar>
              <w:top w:w="0" w:type="dxa"/>
              <w:left w:w="105" w:type="dxa"/>
              <w:bottom w:w="0" w:type="dxa"/>
              <w:right w:w="105" w:type="dxa"/>
            </w:tcMar>
            <w:vAlign w:val="top"/>
          </w:tcPr>
          <w:p w14:paraId="361E28B6">
            <w:pPr>
              <w:keepNext w:val="0"/>
              <w:keepLines w:val="0"/>
              <w:pageBreakBefore w:val="0"/>
              <w:kinsoku/>
              <w:wordWrap/>
              <w:overflowPunct/>
              <w:topLinePunct w:val="0"/>
              <w:autoSpaceDE/>
              <w:autoSpaceDN/>
              <w:bidi w:val="0"/>
              <w:adjustRightInd/>
              <w:snapToGrid/>
              <w:spacing w:line="558" w:lineRule="exact"/>
              <w:textAlignment w:val="auto"/>
              <w:rPr>
                <w:rFonts w:hint="default" w:ascii="Times New Roman" w:hAnsi="Times New Roman" w:cs="Times New Roman"/>
                <w:sz w:val="24"/>
                <w:szCs w:val="24"/>
              </w:rPr>
            </w:pPr>
          </w:p>
        </w:tc>
        <w:tc>
          <w:tcPr>
            <w:tcW w:w="2251" w:type="dxa"/>
            <w:tcBorders>
              <w:top w:val="nil"/>
              <w:left w:val="nil"/>
              <w:bottom w:val="nil"/>
              <w:right w:val="nil"/>
            </w:tcBorders>
            <w:tcMar>
              <w:top w:w="0" w:type="dxa"/>
              <w:left w:w="105" w:type="dxa"/>
              <w:bottom w:w="0" w:type="dxa"/>
              <w:right w:w="105" w:type="dxa"/>
            </w:tcMar>
            <w:vAlign w:val="top"/>
          </w:tcPr>
          <w:p w14:paraId="28BC38A9">
            <w:pPr>
              <w:keepNext w:val="0"/>
              <w:keepLines w:val="0"/>
              <w:pageBreakBefore w:val="0"/>
              <w:kinsoku/>
              <w:wordWrap/>
              <w:overflowPunct/>
              <w:topLinePunct w:val="0"/>
              <w:autoSpaceDE/>
              <w:autoSpaceDN/>
              <w:bidi w:val="0"/>
              <w:adjustRightInd/>
              <w:snapToGrid/>
              <w:spacing w:line="558" w:lineRule="exact"/>
              <w:textAlignment w:val="auto"/>
              <w:rPr>
                <w:rFonts w:hint="default" w:ascii="Times New Roman" w:hAnsi="Times New Roman" w:cs="Times New Roman"/>
                <w:sz w:val="24"/>
                <w:szCs w:val="24"/>
              </w:rPr>
            </w:pPr>
          </w:p>
        </w:tc>
      </w:tr>
    </w:tbl>
    <w:p w14:paraId="7F072541">
      <w:pPr>
        <w:pStyle w:val="19"/>
        <w:keepNext w:val="0"/>
        <w:keepLines w:val="0"/>
        <w:pageBreakBefore w:val="0"/>
        <w:kinsoku/>
        <w:wordWrap/>
        <w:overflowPunct/>
        <w:topLinePunct w:val="0"/>
        <w:autoSpaceDE/>
        <w:autoSpaceDN/>
        <w:bidi w:val="0"/>
        <w:adjustRightInd/>
        <w:snapToGrid/>
        <w:spacing w:line="558" w:lineRule="exact"/>
        <w:textAlignment w:val="auto"/>
        <w:rPr>
          <w:rFonts w:hint="default" w:ascii="Times New Roman" w:hAnsi="Times New Roman" w:cs="Times New Roman"/>
          <w:color w:val="auto"/>
          <w:sz w:val="24"/>
          <w:szCs w:val="24"/>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大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FF32A">
    <w:pPr>
      <w:pStyle w:val="13"/>
      <w:spacing w:line="14" w:lineRule="auto"/>
      <w:ind w:left="0" w:leftChars="0" w:firstLine="0" w:firstLineChars="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7EC597">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7EC597">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D0805">
    <w:pPr>
      <w:pStyle w:val="1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923290</wp:posOffset>
              </wp:positionH>
              <wp:positionV relativeFrom="page">
                <wp:posOffset>544195</wp:posOffset>
              </wp:positionV>
              <wp:extent cx="4829810" cy="1397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4829810" cy="139700"/>
                      </a:xfrm>
                      <a:prstGeom prst="rect">
                        <a:avLst/>
                      </a:prstGeom>
                      <a:noFill/>
                      <a:ln>
                        <a:noFill/>
                      </a:ln>
                    </wps:spPr>
                    <wps:txbx>
                      <w:txbxContent>
                        <w:p w14:paraId="2C83BB49">
                          <w:pPr>
                            <w:spacing w:before="0" w:line="220" w:lineRule="exact"/>
                            <w:ind w:right="0"/>
                            <w:jc w:val="left"/>
                            <w:rPr>
                              <w:sz w:val="18"/>
                            </w:rPr>
                          </w:pPr>
                        </w:p>
                      </w:txbxContent>
                    </wps:txbx>
                    <wps:bodyPr lIns="0" tIns="0" rIns="0" bIns="0" upright="1"/>
                  </wps:wsp>
                </a:graphicData>
              </a:graphic>
            </wp:anchor>
          </w:drawing>
        </mc:Choice>
        <mc:Fallback>
          <w:pict>
            <v:shape id="_x0000_s1026" o:spid="_x0000_s1026" o:spt="202" type="#_x0000_t202" style="position:absolute;left:0pt;margin-left:72.7pt;margin-top:42.85pt;height:11pt;width:380.3pt;mso-position-horizontal-relative:page;mso-position-vertical-relative:page;z-index:-251657216;mso-width-relative:page;mso-height-relative:page;" filled="f" stroked="f" coordsize="21600,21600" o:gfxdata="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mFZOB2AAAAAoBAAAPAAAAAAAAAAEAIAAAACIAAABkcnMvZG93bnJldi54bWxQSwEC&#10;FAAUAAAACACHTuJA+FJ/t7sBAAByAwAADgAAAAAAAAABACAAAAAnAQAAZHJzL2Uyb0RvYy54bWxQ&#10;SwUGAAAAAAYABgBZAQAAVAUAAAAA&#10;">
              <v:fill on="f" focussize="0,0"/>
              <v:stroke on="f"/>
              <v:imagedata o:title=""/>
              <o:lock v:ext="edit" aspectratio="f"/>
              <v:textbox inset="0mm,0mm,0mm,0mm">
                <w:txbxContent>
                  <w:p w14:paraId="2C83BB49">
                    <w:pPr>
                      <w:spacing w:before="0" w:line="220" w:lineRule="exact"/>
                      <w:ind w:right="0"/>
                      <w:jc w:val="left"/>
                      <w:rPr>
                        <w:sz w:val="18"/>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6070600</wp:posOffset>
              </wp:positionH>
              <wp:positionV relativeFrom="page">
                <wp:posOffset>544195</wp:posOffset>
              </wp:positionV>
              <wp:extent cx="482600"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5F9D8A32"/>
                      </w:txbxContent>
                    </wps:txbx>
                    <wps:bodyPr lIns="0" tIns="0" rIns="0" bIns="0" upright="1"/>
                  </wps:wsp>
                </a:graphicData>
              </a:graphic>
            </wp:anchor>
          </w:drawing>
        </mc:Choice>
        <mc:Fallback>
          <w:pict>
            <v:shape id="_x0000_s1026" o:spid="_x0000_s1026" o:spt="202" type="#_x0000_t202" style="position:absolute;left:0pt;margin-left:478pt;margin-top:42.85pt;height:11pt;width:38pt;mso-position-horizontal-relative:page;mso-position-vertical-relative:page;z-index:-251656192;mso-width-relative:page;mso-height-relative:page;" filled="f" stroked="f" coordsize="21600,21600" o:gfxdata="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HsAcNoAAAALAQAADwAAAAAAAAABACAAAAAiAAAAZHJzL2Rvd25yZXYueG1sUEsB&#10;AhQAFAAAAAgAh07iQHP8A566AQAAcwMAAA4AAAAAAAAAAQAgAAAAKQEAAGRycy9lMm9Eb2MueG1s&#10;UEsFBgAAAAAGAAYAWQEAAFUFAAAAAA==&#10;">
              <v:fill on="f" focussize="0,0"/>
              <v:stroke on="f"/>
              <v:imagedata o:title=""/>
              <o:lock v:ext="edit" aspectratio="f"/>
              <v:textbox inset="0mm,0mm,0mm,0mm">
                <w:txbxContent>
                  <w:p w14:paraId="5F9D8A32"/>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CF3545"/>
    <w:multiLevelType w:val="singleLevel"/>
    <w:tmpl w:val="F6CF3545"/>
    <w:lvl w:ilvl="0" w:tentative="0">
      <w:start w:val="1"/>
      <w:numFmt w:val="decimal"/>
      <w:suff w:val="nothing"/>
      <w:lvlText w:val="%1．"/>
      <w:lvlJc w:val="left"/>
      <w:pPr>
        <w:ind w:left="0" w:firstLine="400"/>
      </w:pPr>
      <w:rPr>
        <w:rFonts w:hint="default"/>
      </w:rPr>
    </w:lvl>
  </w:abstractNum>
  <w:abstractNum w:abstractNumId="1">
    <w:nsid w:val="4A7D5900"/>
    <w:multiLevelType w:val="multilevel"/>
    <w:tmpl w:val="4A7D5900"/>
    <w:lvl w:ilvl="0" w:tentative="0">
      <w:start w:val="1"/>
      <w:numFmt w:val="chineseCountingThousand"/>
      <w:suff w:val="space"/>
      <w:lvlText w:val="第%1章 "/>
      <w:lvlJc w:val="left"/>
      <w:pPr>
        <w:ind w:left="0" w:firstLine="0"/>
      </w:pPr>
      <w:rPr>
        <w:rFonts w:hint="eastAsia"/>
        <w:lang w:val="en-US"/>
      </w:rPr>
    </w:lvl>
    <w:lvl w:ilvl="1" w:tentative="0">
      <w:start w:val="1"/>
      <w:numFmt w:val="decimal"/>
      <w:isLgl/>
      <w:suff w:val="space"/>
      <w:lvlText w:val="%1.%2 "/>
      <w:lvlJc w:val="left"/>
      <w:pPr>
        <w:ind w:left="-113" w:firstLine="113"/>
      </w:pPr>
      <w:rPr>
        <w:rFonts w:hint="eastAsia"/>
        <w:b w:val="0"/>
        <w:bCs w:val="0"/>
      </w:rPr>
    </w:lvl>
    <w:lvl w:ilvl="2" w:tentative="0">
      <w:start w:val="1"/>
      <w:numFmt w:val="decimal"/>
      <w:pStyle w:val="30"/>
      <w:isLgl/>
      <w:suff w:val="space"/>
      <w:lvlText w:val="%1.%2.%3"/>
      <w:lvlJc w:val="left"/>
      <w:pPr>
        <w:ind w:left="-227" w:firstLine="227"/>
      </w:pPr>
    </w:lvl>
    <w:lvl w:ilvl="3" w:tentative="0">
      <w:start w:val="1"/>
      <w:numFmt w:val="decimal"/>
      <w:isLgl/>
      <w:suff w:val="space"/>
      <w:lvlText w:val="%1.%2.%3.%4"/>
      <w:lvlJc w:val="left"/>
      <w:pPr>
        <w:ind w:left="0" w:firstLine="340"/>
      </w:pPr>
      <w:rPr>
        <w:rFonts w:hint="default" w:ascii="黑体" w:hAnsi="黑体" w:eastAsia="黑体" w:cs="黑体"/>
      </w:rPr>
    </w:lvl>
    <w:lvl w:ilvl="4" w:tentative="0">
      <w:start w:val="1"/>
      <w:numFmt w:val="decimal"/>
      <w:isLgl/>
      <w:suff w:val="nothing"/>
      <w:lvlText w:val="%1.%2.%3.%4.%5"/>
      <w:lvlJc w:val="left"/>
      <w:pPr>
        <w:ind w:left="-174" w:firstLine="454"/>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7DCDC02"/>
    <w:multiLevelType w:val="multilevel"/>
    <w:tmpl w:val="77DCDC02"/>
    <w:lvl w:ilvl="0" w:tentative="0">
      <w:start w:val="1"/>
      <w:numFmt w:val="chineseCountingThousand"/>
      <w:pStyle w:val="3"/>
      <w:lvlText w:val="第%1章"/>
      <w:lvlJc w:val="left"/>
      <w:pPr>
        <w:ind w:left="432" w:hanging="432"/>
      </w:pPr>
      <w:rPr>
        <w:rFonts w:hint="eastAsia"/>
      </w:rPr>
    </w:lvl>
    <w:lvl w:ilvl="1" w:tentative="0">
      <w:start w:val="1"/>
      <w:numFmt w:val="decimal"/>
      <w:pStyle w:val="4"/>
      <w:isLgl/>
      <w:lvlText w:val="%1.%2"/>
      <w:lvlJc w:val="left"/>
      <w:pPr>
        <w:ind w:left="576" w:hanging="576"/>
      </w:pPr>
      <w:rPr>
        <w:rFonts w:hint="eastAsia"/>
      </w:rPr>
    </w:lvl>
    <w:lvl w:ilvl="2" w:tentative="0">
      <w:start w:val="1"/>
      <w:numFmt w:val="decimal"/>
      <w:pStyle w:val="6"/>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pStyle w:val="7"/>
      <w:isLgl/>
      <w:lvlText w:val="%1.%2.%3.%4.%5"/>
      <w:lvlJc w:val="left"/>
      <w:pPr>
        <w:ind w:left="1008" w:hanging="1008"/>
      </w:pPr>
      <w:rPr>
        <w:rFonts w:hint="eastAsia"/>
      </w:rPr>
    </w:lvl>
    <w:lvl w:ilvl="5" w:tentative="0">
      <w:start w:val="1"/>
      <w:numFmt w:val="decimal"/>
      <w:pStyle w:val="8"/>
      <w:isLgl/>
      <w:lvlText w:val="%1.%2.%3.%4.%5.%6"/>
      <w:lvlJc w:val="left"/>
      <w:pPr>
        <w:ind w:left="1152" w:hanging="1152"/>
      </w:pPr>
      <w:rPr>
        <w:rFonts w:hint="eastAsia"/>
      </w:rPr>
    </w:lvl>
    <w:lvl w:ilvl="6" w:tentative="0">
      <w:start w:val="1"/>
      <w:numFmt w:val="decimal"/>
      <w:pStyle w:val="9"/>
      <w:isLgl/>
      <w:lvlText w:val="%1.%2.%3.%4.%5.%6.%7"/>
      <w:lvlJc w:val="left"/>
      <w:pPr>
        <w:ind w:left="1296" w:hanging="1296"/>
      </w:pPr>
      <w:rPr>
        <w:rFonts w:hint="eastAsia"/>
      </w:rPr>
    </w:lvl>
    <w:lvl w:ilvl="7" w:tentative="0">
      <w:start w:val="1"/>
      <w:numFmt w:val="decimal"/>
      <w:pStyle w:val="10"/>
      <w:isLgl/>
      <w:lvlText w:val="%1.%2.%3.%4.%5.%6.%7.%8"/>
      <w:lvlJc w:val="left"/>
      <w:pPr>
        <w:ind w:left="1440" w:hanging="1440"/>
      </w:pPr>
      <w:rPr>
        <w:rFonts w:hint="eastAsia"/>
      </w:rPr>
    </w:lvl>
    <w:lvl w:ilvl="8" w:tentative="0">
      <w:start w:val="1"/>
      <w:numFmt w:val="decimal"/>
      <w:pStyle w:val="11"/>
      <w:isLgl/>
      <w:lvlText w:val="%1.%2.%3.%4.%5.%6.%7.%8.%9"/>
      <w:lvlJc w:val="left"/>
      <w:pPr>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kNzIwYWUyMGRmZDU3MjAwNTFiMjQ5NTkyYzEyMWEifQ=="/>
    <w:docVar w:name="KSO_WPS_MARK_KEY" w:val="76649f9c-0d00-47ad-ad75-5472e683d608"/>
  </w:docVars>
  <w:rsids>
    <w:rsidRoot w:val="00000000"/>
    <w:rsid w:val="00D566FD"/>
    <w:rsid w:val="089A7D2C"/>
    <w:rsid w:val="08F8494B"/>
    <w:rsid w:val="0A9F76DD"/>
    <w:rsid w:val="0B7855A1"/>
    <w:rsid w:val="0BEF2441"/>
    <w:rsid w:val="0F546355"/>
    <w:rsid w:val="199F575C"/>
    <w:rsid w:val="1BCB6D4F"/>
    <w:rsid w:val="1EB15DF3"/>
    <w:rsid w:val="23633A0A"/>
    <w:rsid w:val="238228D1"/>
    <w:rsid w:val="23BE6BFA"/>
    <w:rsid w:val="24EB5DEA"/>
    <w:rsid w:val="25D83FF7"/>
    <w:rsid w:val="26821CCF"/>
    <w:rsid w:val="337E09D0"/>
    <w:rsid w:val="355F6658"/>
    <w:rsid w:val="359F479A"/>
    <w:rsid w:val="35A818A1"/>
    <w:rsid w:val="3BB9138A"/>
    <w:rsid w:val="3EFDCC71"/>
    <w:rsid w:val="402F4B67"/>
    <w:rsid w:val="41A960CA"/>
    <w:rsid w:val="42C40CEA"/>
    <w:rsid w:val="45037374"/>
    <w:rsid w:val="47756072"/>
    <w:rsid w:val="4F6F46AD"/>
    <w:rsid w:val="53D943A2"/>
    <w:rsid w:val="55C27C51"/>
    <w:rsid w:val="56D40CAD"/>
    <w:rsid w:val="5B111237"/>
    <w:rsid w:val="5C492806"/>
    <w:rsid w:val="60C6469A"/>
    <w:rsid w:val="6A3B675E"/>
    <w:rsid w:val="6B0D243A"/>
    <w:rsid w:val="707206F7"/>
    <w:rsid w:val="739D38A8"/>
    <w:rsid w:val="7D76E4C3"/>
    <w:rsid w:val="A679D20E"/>
    <w:rsid w:val="DE7FAD7E"/>
    <w:rsid w:val="DF7F90F9"/>
    <w:rsid w:val="F3CF3619"/>
    <w:rsid w:val="FCAF50F4"/>
    <w:rsid w:val="FFEF5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beforeLines="0" w:beforeAutospacing="0" w:after="330" w:afterLines="0" w:afterAutospacing="0" w:line="576" w:lineRule="auto"/>
      <w:ind w:left="432" w:hanging="432"/>
      <w:outlineLvl w:val="0"/>
    </w:pPr>
    <w:rPr>
      <w:b/>
      <w:kern w:val="44"/>
      <w:sz w:val="44"/>
    </w:rPr>
  </w:style>
  <w:style w:type="paragraph" w:styleId="4">
    <w:name w:val="heading 2"/>
    <w:basedOn w:val="1"/>
    <w:next w:val="5"/>
    <w:unhideWhenUsed/>
    <w:qFormat/>
    <w:uiPriority w:val="0"/>
    <w:pPr>
      <w:keepNext/>
      <w:keepLines/>
      <w:numPr>
        <w:ilvl w:val="1"/>
        <w:numId w:val="1"/>
      </w:numPr>
      <w:spacing w:before="260" w:beforeLines="0" w:beforeAutospacing="0" w:after="260" w:afterLines="0" w:afterAutospacing="0" w:line="413" w:lineRule="auto"/>
      <w:ind w:left="576" w:hanging="576"/>
      <w:outlineLvl w:val="1"/>
    </w:pPr>
    <w:rPr>
      <w:rFonts w:ascii="Arial" w:hAnsi="Arial" w:eastAsia="黑体"/>
      <w:b/>
      <w:sz w:val="32"/>
    </w:rPr>
  </w:style>
  <w:style w:type="paragraph" w:styleId="6">
    <w:name w:val="heading 3"/>
    <w:basedOn w:val="1"/>
    <w:next w:val="1"/>
    <w:link w:val="24"/>
    <w:unhideWhenUsed/>
    <w:qFormat/>
    <w:uiPriority w:val="0"/>
    <w:pPr>
      <w:keepNext/>
      <w:keepLines/>
      <w:numPr>
        <w:ilvl w:val="2"/>
        <w:numId w:val="1"/>
      </w:numPr>
      <w:adjustRightInd w:val="0"/>
      <w:snapToGrid w:val="0"/>
      <w:spacing w:before="50" w:beforeLines="50" w:after="50" w:afterLines="50"/>
      <w:ind w:left="0" w:firstLine="0"/>
      <w:outlineLvl w:val="2"/>
    </w:pPr>
    <w:rPr>
      <w:rFonts w:ascii="Times New Roman" w:hAnsi="Times New Roman" w:eastAsia="黑体" w:cs="宋体"/>
      <w:bCs/>
      <w:color w:val="000000"/>
      <w:sz w:val="30"/>
      <w:szCs w:val="30"/>
      <w:lang w:val="en-GB"/>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2" w:hanging="1152"/>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4" w:hanging="1584"/>
      <w:outlineLvl w:val="8"/>
    </w:pPr>
    <w:rPr>
      <w:rFonts w:ascii="Arial" w:hAnsi="Arial" w:eastAsia="黑体"/>
      <w:sz w:val="21"/>
    </w:rPr>
  </w:style>
  <w:style w:type="character" w:default="1" w:styleId="22">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customStyle="1" w:styleId="2">
    <w:name w:val="正文 首行缩进"/>
    <w:basedOn w:val="1"/>
    <w:qFormat/>
    <w:uiPriority w:val="0"/>
    <w:pPr>
      <w:adjustRightInd w:val="0"/>
      <w:spacing w:after="0" w:line="360" w:lineRule="auto"/>
      <w:ind w:firstLine="437"/>
      <w:jc w:val="left"/>
    </w:pPr>
    <w:rPr>
      <w:rFonts w:hint="eastAsia" w:ascii="宋体" w:hAnsi="宋体"/>
      <w:spacing w:val="0"/>
      <w:szCs w:val="21"/>
    </w:rPr>
  </w:style>
  <w:style w:type="paragraph" w:styleId="5">
    <w:name w:val="Normal Indent"/>
    <w:basedOn w:val="1"/>
    <w:qFormat/>
    <w:uiPriority w:val="0"/>
    <w:pPr>
      <w:ind w:left="720"/>
    </w:pPr>
  </w:style>
  <w:style w:type="paragraph" w:styleId="12">
    <w:name w:val="annotation text"/>
    <w:basedOn w:val="1"/>
    <w:qFormat/>
    <w:uiPriority w:val="0"/>
    <w:pPr>
      <w:jc w:val="left"/>
    </w:pPr>
  </w:style>
  <w:style w:type="paragraph" w:styleId="13">
    <w:name w:val="Body Text"/>
    <w:basedOn w:val="1"/>
    <w:qFormat/>
    <w:uiPriority w:val="1"/>
    <w:rPr>
      <w:rFonts w:ascii="宋体" w:hAnsi="宋体" w:eastAsia="宋体" w:cs="宋体"/>
      <w:sz w:val="24"/>
      <w:szCs w:val="24"/>
      <w:lang w:val="zh-CN" w:eastAsia="zh-CN" w:bidi="zh-CN"/>
    </w:rPr>
  </w:style>
  <w:style w:type="paragraph" w:styleId="14">
    <w:name w:val="Body Text Indent"/>
    <w:basedOn w:val="1"/>
    <w:qFormat/>
    <w:uiPriority w:val="0"/>
    <w:pPr>
      <w:spacing w:after="120" w:afterLines="0"/>
      <w:ind w:left="420" w:leftChars="200"/>
    </w:p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2"/>
    <w:basedOn w:val="1"/>
    <w:next w:val="1"/>
    <w:qFormat/>
    <w:uiPriority w:val="0"/>
    <w:pPr>
      <w:ind w:left="0" w:leftChars="0"/>
    </w:p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13"/>
    <w:qFormat/>
    <w:uiPriority w:val="0"/>
    <w:pPr>
      <w:widowControl w:val="0"/>
      <w:spacing w:beforeLines="0" w:beforeAutospacing="0" w:afterLines="0" w:afterAutospacing="0"/>
      <w:ind w:firstLine="420" w:firstLineChars="100"/>
      <w:jc w:val="both"/>
    </w:pPr>
  </w:style>
  <w:style w:type="paragraph" w:styleId="20">
    <w:name w:val="Body Text First Indent 2"/>
    <w:basedOn w:val="14"/>
    <w:qFormat/>
    <w:uiPriority w:val="0"/>
    <w:pPr>
      <w:ind w:firstLine="420" w:firstLineChars="200"/>
    </w:pPr>
  </w:style>
  <w:style w:type="character" w:styleId="23">
    <w:name w:val="Strong"/>
    <w:basedOn w:val="22"/>
    <w:qFormat/>
    <w:uiPriority w:val="0"/>
    <w:rPr>
      <w:b/>
    </w:rPr>
  </w:style>
  <w:style w:type="character" w:customStyle="1" w:styleId="24">
    <w:name w:val="标题 3 字符"/>
    <w:link w:val="6"/>
    <w:qFormat/>
    <w:uiPriority w:val="9"/>
    <w:rPr>
      <w:rFonts w:ascii="Times New Roman" w:hAnsi="Times New Roman" w:eastAsia="黑体" w:cs="宋体"/>
      <w:bCs/>
      <w:color w:val="000000"/>
      <w:kern w:val="2"/>
      <w:sz w:val="30"/>
      <w:szCs w:val="30"/>
      <w:lang w:val="en-GB"/>
    </w:rPr>
  </w:style>
  <w:style w:type="paragraph" w:customStyle="1" w:styleId="25">
    <w:name w:val="样式 正文首行缩进 + 宋体 小四 首行缩进:  1 字符"/>
    <w:basedOn w:val="1"/>
    <w:next w:val="1"/>
    <w:qFormat/>
    <w:uiPriority w:val="0"/>
    <w:pPr>
      <w:spacing w:after="120" w:afterLines="0" w:line="360" w:lineRule="auto"/>
      <w:ind w:firstLine="150" w:firstLineChars="150"/>
    </w:pPr>
    <w:rPr>
      <w:rFonts w:ascii="宋体" w:hAnsi="宋体"/>
      <w:sz w:val="24"/>
      <w:szCs w:val="20"/>
    </w:rPr>
  </w:style>
  <w:style w:type="paragraph" w:customStyle="1" w:styleId="26">
    <w:name w:val="样式 正文首行缩进 2 + 首行缩进:  2 字符"/>
    <w:basedOn w:val="20"/>
    <w:qFormat/>
    <w:uiPriority w:val="0"/>
    <w:pPr>
      <w:snapToGrid/>
      <w:spacing w:line="240" w:lineRule="auto"/>
      <w:ind w:left="0" w:leftChars="200" w:firstLine="357" w:firstLineChars="170"/>
    </w:pPr>
    <w:rPr>
      <w:rFonts w:ascii="Times New Roman" w:hAnsi="Times New Roman"/>
      <w:sz w:val="21"/>
      <w:szCs w:val="20"/>
    </w:rPr>
  </w:style>
  <w:style w:type="paragraph" w:customStyle="1" w:styleId="27">
    <w:name w:val="06-sinobest-正文"/>
    <w:basedOn w:val="1"/>
    <w:qFormat/>
    <w:uiPriority w:val="0"/>
    <w:pPr>
      <w:ind w:firstLine="480"/>
    </w:pPr>
    <w:rPr>
      <w:sz w:val="24"/>
    </w:rPr>
  </w:style>
  <w:style w:type="paragraph" w:customStyle="1" w:styleId="28">
    <w:name w:val="正文缩进2字符"/>
    <w:basedOn w:val="29"/>
    <w:qFormat/>
    <w:uiPriority w:val="0"/>
    <w:pPr>
      <w:spacing w:after="0" w:line="400" w:lineRule="exact"/>
      <w:ind w:firstLine="480" w:firstLineChars="200"/>
    </w:pPr>
    <w:rPr>
      <w:rFonts w:eastAsia="宋体"/>
      <w:sz w:val="24"/>
    </w:rPr>
  </w:style>
  <w:style w:type="paragraph" w:customStyle="1" w:styleId="29">
    <w:name w:val="正文文本首行缩进1"/>
    <w:basedOn w:val="13"/>
    <w:qFormat/>
    <w:uiPriority w:val="0"/>
    <w:pPr>
      <w:ind w:firstLine="210" w:firstLineChars="100"/>
    </w:pPr>
  </w:style>
  <w:style w:type="paragraph" w:customStyle="1" w:styleId="30">
    <w:name w:val="3级标题"/>
    <w:basedOn w:val="1"/>
    <w:qFormat/>
    <w:uiPriority w:val="0"/>
    <w:pPr>
      <w:keepLines/>
      <w:numPr>
        <w:ilvl w:val="2"/>
        <w:numId w:val="2"/>
      </w:numPr>
      <w:spacing w:line="360" w:lineRule="auto"/>
      <w:ind w:firstLineChars="0"/>
      <w:contextualSpacing/>
      <w:jc w:val="left"/>
      <w:outlineLvl w:val="2"/>
    </w:pPr>
    <w:rPr>
      <w:rFonts w:ascii="黑体" w:hAnsi="黑体" w:eastAsia="黑体"/>
      <w:szCs w:val="36"/>
      <w:lang w:bidi="en-US"/>
    </w:rPr>
  </w:style>
  <w:style w:type="paragraph" w:customStyle="1" w:styleId="3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3712</Words>
  <Characters>3765</Characters>
  <Lines>0</Lines>
  <Paragraphs>0</Paragraphs>
  <TotalTime>77</TotalTime>
  <ScaleCrop>false</ScaleCrop>
  <LinksUpToDate>false</LinksUpToDate>
  <CharactersWithSpaces>3773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2022-12-01T22:48:00Z</dcterms:created>
  <dc:creator>admin</dc:creator>
  <cp:lastModifiedBy>曾子倪</cp:lastModifiedBy>
  <dcterms:modified xsi:type="dcterms:W3CDTF">2026-09-10T09:18:30Z</dcterms:modified>
  <dc:title>技术规格、参数及要求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5C936D0B687E47BDB67BE0790CE40EE8</vt:lpwstr>
  </property>
  <property fmtid="{D5CDD505-2E9C-101B-9397-08002B2CF9AE}" pid="4" name="KSOTemplateDocerSaveRecord">
    <vt:lpwstr>eyJoZGlkIjoiODNlM2RmOWU3ODQ3NDlhYzViMWQ0NDY4YzZlNTc0YzYiLCJ1c2VySWQiOiIzNDE0MTM4MzYifQ==</vt:lpwstr>
  </property>
</Properties>
</file>