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附件</w:t>
      </w:r>
      <w:r>
        <w:rPr>
          <w:rFonts w:hint="default" w:ascii="Times New Roman" w:hAnsi="Times New Roman" w:eastAsia="黑体" w:cs="Times New Roman"/>
          <w:sz w:val="32"/>
          <w:szCs w:val="32"/>
          <w:highlight w:val="none"/>
          <w:lang w:val="en-US" w:eastAsia="zh-CN"/>
        </w:rPr>
        <w:t>1</w:t>
      </w:r>
      <w:bookmarkStart w:id="0" w:name="_GoBack"/>
      <w:bookmarkEnd w:id="0"/>
    </w:p>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黑体" w:cs="Times New Roman"/>
          <w:sz w:val="30"/>
          <w:szCs w:val="30"/>
          <w:highlight w:val="none"/>
        </w:rPr>
      </w:pP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小标宋_GBK" w:cs="Times New Roman"/>
          <w:b w:val="0"/>
          <w:bCs/>
          <w:sz w:val="44"/>
          <w:szCs w:val="44"/>
          <w:lang w:eastAsia="zh-CN"/>
        </w:rPr>
      </w:pPr>
      <w:r>
        <w:rPr>
          <w:rFonts w:hint="default" w:ascii="Times New Roman" w:hAnsi="Times New Roman" w:eastAsia="方正小标宋_GBK" w:cs="Times New Roman"/>
          <w:b w:val="0"/>
          <w:bCs/>
          <w:sz w:val="44"/>
          <w:szCs w:val="44"/>
          <w:lang w:eastAsia="zh-CN"/>
        </w:rPr>
        <w:t>2026年江门市江海区执法设备购置项目</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方正小标宋_GBK" w:cs="Times New Roman"/>
          <w:b/>
          <w:bCs/>
          <w:sz w:val="44"/>
          <w:szCs w:val="44"/>
          <w:highlight w:val="none"/>
          <w:lang w:val="en-US" w:eastAsia="zh-CN"/>
        </w:rPr>
      </w:pPr>
      <w:r>
        <w:rPr>
          <w:rFonts w:hint="default" w:ascii="Times New Roman" w:hAnsi="Times New Roman" w:eastAsia="方正小标宋_GBK" w:cs="Times New Roman"/>
          <w:b w:val="0"/>
          <w:bCs/>
          <w:sz w:val="44"/>
          <w:szCs w:val="44"/>
          <w:lang w:eastAsia="zh-CN"/>
        </w:rPr>
        <w:t>（执法辅助）</w:t>
      </w:r>
      <w:r>
        <w:rPr>
          <w:rFonts w:hint="default" w:ascii="Times New Roman" w:hAnsi="Times New Roman" w:eastAsia="方正小标宋_GBK" w:cs="Times New Roman"/>
          <w:b w:val="0"/>
          <w:bCs/>
          <w:sz w:val="44"/>
          <w:szCs w:val="44"/>
          <w:lang w:val="en-US" w:eastAsia="zh-CN"/>
        </w:rPr>
        <w:t>技术参数</w:t>
      </w:r>
    </w:p>
    <w:p>
      <w:pPr>
        <w:spacing w:line="480" w:lineRule="exact"/>
        <w:jc w:val="center"/>
        <w:rPr>
          <w:rFonts w:hint="default" w:ascii="Times New Roman" w:hAnsi="Times New Roman" w:eastAsia="方正楷体_GBK" w:cs="Times New Roman"/>
          <w:b/>
          <w:bCs/>
          <w:sz w:val="44"/>
          <w:szCs w:val="44"/>
          <w:highlight w:val="none"/>
          <w:lang w:val="en-US" w:eastAsia="zh-CN"/>
        </w:rPr>
      </w:pPr>
    </w:p>
    <w:p>
      <w:pPr>
        <w:spacing w:line="480" w:lineRule="exact"/>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1.手持式光离子化检测器</w:t>
      </w:r>
    </w:p>
    <w:tbl>
      <w:tblPr>
        <w:tblStyle w:val="10"/>
        <w:tblW w:w="8970"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62"/>
        <w:gridCol w:w="71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6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产品名称</w:t>
            </w:r>
          </w:p>
        </w:tc>
        <w:tc>
          <w:tcPr>
            <w:tcW w:w="710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6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手持式光离子化检测器</w:t>
            </w:r>
          </w:p>
        </w:tc>
        <w:tc>
          <w:tcPr>
            <w:tcW w:w="7108" w:type="dxa"/>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1.通过光离子技术快速检测VOCs，便携性强、检测精度高、检测结果可直接读取。</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2.工作时长：支持可充电锂电池、碱性电池等多种供电模式；锂电池每次充满电可连续工作15小时以上。</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3.显示：带自动背景灯的大屏幕显示，支持中文显示；可显示实时检测值、TWA值、STEL值、峰值、电池电压等参数，电量不足、电压不足、气体超标、传感器故障等触发声/光预警。</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▲4.采样响应时间≤2s，可设置采样间隔1-3600s。</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▲5.分辨率：≤0.1ppm；测量范围：0.1-15000ppm。</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6.标定：两点/三点式零点/扩展式标定，可存储包括标气类型、报警限制设置、标气参数等标定数据。</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7.工作环境：温度：-20℃-50℃，主机传感器具备IP66（开机）/IP67（关机），完全防尘，可水淋，传感器等具备自清洁功能，采样杆配置有水尘过滤器，可弯折。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8.附带手提式铝制（或其他防摔、防撞、防水材质）收纳箱，设备可整体收纳于箱内。</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9.内置照明灯，便于昏暗环境下使用。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10.可自由选择气体浓度显示单位：ppb、ppm、mg/m³、μg/m³。</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▲11.供货时需提供有效的设备计量校准证书。</w:t>
            </w:r>
          </w:p>
        </w:tc>
      </w:tr>
    </w:tbl>
    <w:p>
      <w:pPr>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br w:type="page"/>
      </w:r>
    </w:p>
    <w:p>
      <w:pPr>
        <w:spacing w:line="480" w:lineRule="exact"/>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2.移动源执法监测设备（含车用尿素检定仪、便携OBD检测终端、数字内窥镜等）</w:t>
      </w:r>
    </w:p>
    <w:tbl>
      <w:tblPr>
        <w:tblStyle w:val="10"/>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5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2840" w:type="dxa"/>
            <w:shd w:val="clear" w:color="auto" w:fill="auto"/>
            <w:noWrap/>
            <w:vAlign w:val="center"/>
          </w:tcPr>
          <w:p>
            <w:pPr>
              <w:keepNext w:val="0"/>
              <w:keepLines w:val="0"/>
              <w:pageBreakBefore w:val="0"/>
              <w:kinsoku/>
              <w:wordWrap/>
              <w:overflowPunct/>
              <w:topLinePunct w:val="0"/>
              <w:autoSpaceDE/>
              <w:autoSpaceDN/>
              <w:bidi w:val="0"/>
              <w:adjustRightInd/>
              <w:snapToGrid/>
              <w:spacing w:line="420" w:lineRule="exact"/>
              <w:jc w:val="center"/>
              <w:rPr>
                <w:rFonts w:hint="default" w:ascii="Times New Roman" w:hAnsi="Times New Roman" w:eastAsia="仿宋_GB2312" w:cs="Times New Roman"/>
                <w:b/>
                <w:bCs/>
                <w:kern w:val="2"/>
                <w:sz w:val="24"/>
                <w:szCs w:val="24"/>
                <w:highlight w:val="none"/>
                <w:lang w:val="en-US" w:eastAsia="zh-CN" w:bidi="ar-SA"/>
              </w:rPr>
            </w:pPr>
            <w:r>
              <w:rPr>
                <w:rFonts w:hint="default" w:ascii="Times New Roman" w:hAnsi="Times New Roman" w:eastAsia="仿宋_GB2312" w:cs="Times New Roman"/>
                <w:b/>
                <w:bCs/>
                <w:sz w:val="24"/>
                <w:szCs w:val="24"/>
                <w:highlight w:val="none"/>
                <w:lang w:val="en-US" w:eastAsia="zh-CN"/>
              </w:rPr>
              <w:t>产品名称</w:t>
            </w:r>
          </w:p>
        </w:tc>
        <w:tc>
          <w:tcPr>
            <w:tcW w:w="5802" w:type="dxa"/>
            <w:shd w:val="clear" w:color="auto" w:fill="auto"/>
            <w:vAlign w:val="center"/>
          </w:tcPr>
          <w:p>
            <w:pPr>
              <w:keepNext w:val="0"/>
              <w:keepLines w:val="0"/>
              <w:pageBreakBefore w:val="0"/>
              <w:kinsoku/>
              <w:wordWrap/>
              <w:overflowPunct/>
              <w:topLinePunct w:val="0"/>
              <w:autoSpaceDE/>
              <w:autoSpaceDN/>
              <w:bidi w:val="0"/>
              <w:adjustRightInd/>
              <w:snapToGrid/>
              <w:spacing w:line="420" w:lineRule="exact"/>
              <w:jc w:val="center"/>
              <w:rPr>
                <w:rFonts w:hint="default" w:ascii="Times New Roman" w:hAnsi="Times New Roman" w:eastAsia="仿宋_GB2312" w:cs="Times New Roman"/>
                <w:b/>
                <w:bCs/>
                <w:kern w:val="2"/>
                <w:sz w:val="24"/>
                <w:szCs w:val="24"/>
                <w:highlight w:val="none"/>
                <w:lang w:val="en-US" w:eastAsia="zh-CN" w:bidi="ar-SA"/>
              </w:rPr>
            </w:pPr>
            <w:r>
              <w:rPr>
                <w:rFonts w:hint="default" w:ascii="Times New Roman" w:hAnsi="Times New Roman" w:eastAsia="仿宋_GB2312" w:cs="Times New Roman"/>
                <w:b/>
                <w:bCs/>
                <w:sz w:val="24"/>
                <w:szCs w:val="24"/>
                <w:highlight w:val="none"/>
                <w:lang w:val="en-US" w:eastAsia="zh-CN"/>
              </w:rPr>
              <w:t>技术指标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2840" w:type="dxa"/>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车用尿素检定仪</w:t>
            </w:r>
          </w:p>
        </w:tc>
        <w:tc>
          <w:tcPr>
            <w:tcW w:w="5802" w:type="dxa"/>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1.测量范围:尿素含量（质量分数）:0.0-51.0；折光率:1.3330~1.4201nD；温度:0.0~40.0℃。</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▲2.测量精度:尿素含量（质量分数）:0.1%；折光率:0.0001nD。</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3.准确度:尿素含量（质量分数:）±0.2%；折光率:+0.00004nD。</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4.设备重量:不超过1kg，方便野外工作。</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5.数显功能:可显示尿素含量、电池电量、测量温度。</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6.支持纯净水校准。</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7.打印功能:可打印数据。</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8.能自动进行温度补偿。</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9.供货时需提供有效的设备计量校准证书。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2840" w:type="dxa"/>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便携式OBD检测终端</w:t>
            </w:r>
          </w:p>
        </w:tc>
        <w:tc>
          <w:tcPr>
            <w:tcW w:w="5802" w:type="dxa"/>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1.基本要求：工业级主机，操作终端屏幕尺寸不小于10寸，安卓系统， RAM：4GB ，ROM128GB，内置蓝牙模块、Wi-Fi模块、定位模块、USB接口。</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2.续航和可靠性要求：内置聚合物锂离子电池，常规状态下续航不低于8h；跌落等级符合标准要求，最少在3次无裂痕（提供所投产品型号的安全试验合格报告）；工作温度-20℃-60℃。</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3.下位机：下位机工作电压9—36V，工作电流小于或等于300mA，工作温度-20-75℃，支持蓝牙，自带显示屏，屏幕可以直观看到车辆针脚电压，并支持多路CAN诊断。接头采用蓝牙连接或有线连接，连接稳定可靠，与OBD诊断终端接头采取分离模式，便于维修和更换。</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4.功能要求：满足新车一致性抽查、路检路查及入户抽查时，OBD现场快速检查的要求。通过OBD数据检查仪读取ECU内部数据，利用OBD数据检查仪对其与ECU原厂数据进行对比和解析，判断哪些数据被屏蔽和修改，并作出车辆是否有破坏机动车车载排放诊断系统或未安装的污染控制装置或者污染控制装置不符合要求的情形。（1）必须具备识别柴油车辆、重型燃气货车ECU中的故障码是否被屏蔽的功能；（2）必须具备读取柴油车辆、重型燃气货车ECU中的扭矩限制开关状态的功能；（3）必须具备读取柴油车辆ECU中尿素喷射温度设定值的功能；（4）必须具备读取车辆ECU内部保存的VIN、CALID、CVN的功能；（5）国四、国五、国六柴油车辆、重型燃气货车、天然气车型读取ECU内部数据成功率不低于95%。（6）成功读取ECU内部数据并解析和判断的平均时间不长于5分钟；（7）检查结束时，自动生成检查报告，并自动判断车辆是否有破坏机动车车载排放诊断系统或未安装的污染控制装置或者污染控制装置不符合要求的情形；（8）具有检查数据记录保存和查询功能，保存的检查记录可打印；（9）可通过4G网络或者无线Wi-Fi实现检查数据实时上传功能，并支持系统远程升级功能。（10）可通过拍照识别车辆号牌，也可通过拍照上传车辆照片、行驶证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2840" w:type="dxa"/>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数字内窥镜</w:t>
            </w:r>
          </w:p>
        </w:tc>
        <w:tc>
          <w:tcPr>
            <w:tcW w:w="5802" w:type="dxa"/>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1.摄像头灵活弯曲，转弯半径：30mm；转向角度：双向&gt;180°；转向视野角度最大可达210°；200万高清像素4.3寸高清IPS屏，屏幕采用全透钢化玻璃材质，防刮花。</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2.支持一键拍照/录像，支持录像回放，导出录像/图片，支持画面旋转。</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3.支持放大功能，最大支持32GB TF内存卡。</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4.支持探头温度实时显示、温度大于90℃自动预警。</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5.探头IP67防水。</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6.2200毫安电池，续航约4小时。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7.景深：20—100mm蛇管长度：不低于1m，可支持定制延长蛇管材质橡胶、金属（转向区域材料：高密度钨丝）。</w:t>
            </w:r>
          </w:p>
        </w:tc>
      </w:tr>
    </w:tbl>
    <w:p>
      <w:pPr>
        <w:keepNext w:val="0"/>
        <w:keepLines w:val="0"/>
        <w:pageBreakBefore w:val="0"/>
        <w:widowControl/>
        <w:kinsoku/>
        <w:wordWrap/>
        <w:overflowPunct/>
        <w:topLinePunct w:val="0"/>
        <w:autoSpaceDE/>
        <w:autoSpaceDN/>
        <w:bidi w:val="0"/>
        <w:adjustRightInd/>
        <w:snapToGrid/>
        <w:spacing w:line="420" w:lineRule="exact"/>
        <w:jc w:val="left"/>
        <w:textAlignment w:val="baseline"/>
        <w:rPr>
          <w:rFonts w:hint="default" w:ascii="Times New Roman" w:hAnsi="Times New Roman" w:eastAsia="仿宋_GB2312" w:cs="Times New Roman"/>
          <w:spacing w:val="-5"/>
          <w:kern w:val="0"/>
          <w:sz w:val="24"/>
          <w:szCs w:val="24"/>
          <w:highlight w:val="none"/>
          <w:lang w:val="zh-CN" w:eastAsia="zh-CN"/>
        </w:rPr>
      </w:pPr>
    </w:p>
    <w:p>
      <w:pPr>
        <w:keepNext w:val="0"/>
        <w:keepLines w:val="0"/>
        <w:pageBreakBefore w:val="0"/>
        <w:kinsoku/>
        <w:wordWrap/>
        <w:overflowPunct/>
        <w:topLinePunct w:val="0"/>
        <w:autoSpaceDE/>
        <w:autoSpaceDN/>
        <w:bidi w:val="0"/>
        <w:adjustRightInd/>
        <w:snapToGrid/>
        <w:spacing w:line="420" w:lineRule="exact"/>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pacing w:val="-5"/>
          <w:kern w:val="0"/>
          <w:sz w:val="24"/>
          <w:szCs w:val="24"/>
          <w:highlight w:val="none"/>
          <w:lang w:val="zh-CN" w:eastAsia="zh-CN"/>
        </w:rPr>
        <w:br w:type="page"/>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1"/>
          <w:szCs w:val="24"/>
        </w:rPr>
        <w:t>水质快速检测包</w:t>
      </w:r>
    </w:p>
    <w:tbl>
      <w:tblPr>
        <w:tblStyle w:val="10"/>
        <w:tblW w:w="8970"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62"/>
        <w:gridCol w:w="71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6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产品名称</w:t>
            </w:r>
          </w:p>
        </w:tc>
        <w:tc>
          <w:tcPr>
            <w:tcW w:w="710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6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b/>
                <w:bCs/>
                <w:sz w:val="24"/>
                <w:szCs w:val="24"/>
              </w:rPr>
              <w:t>水质快速检测包</w:t>
            </w:r>
          </w:p>
        </w:tc>
        <w:tc>
          <w:tcPr>
            <w:tcW w:w="7108" w:type="dxa"/>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1.用于现场快速检测COD、氨氮、总磷、总氮等指标，单个指标区分高、低量程各4盒，共32盒。</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2.批量化样品检测，最快1分钟检测出结果。</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3.具有符合国标方法的抗干扰剂。</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4.比色管独立包装，可放置在口袋。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▲5.每盒不低于50次用量。</w:t>
            </w:r>
          </w:p>
        </w:tc>
      </w:tr>
    </w:tbl>
    <w:p>
      <w:pPr>
        <w:spacing w:line="480" w:lineRule="exact"/>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1"/>
          <w:szCs w:val="24"/>
        </w:rPr>
        <w:t>荧光示踪剂</w:t>
      </w:r>
    </w:p>
    <w:tbl>
      <w:tblPr>
        <w:tblStyle w:val="10"/>
        <w:tblW w:w="8970"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62"/>
        <w:gridCol w:w="71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6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产品名称</w:t>
            </w:r>
          </w:p>
        </w:tc>
        <w:tc>
          <w:tcPr>
            <w:tcW w:w="710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6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b/>
                <w:bCs/>
                <w:sz w:val="24"/>
                <w:szCs w:val="24"/>
              </w:rPr>
              <w:t>荧光示踪剂</w:t>
            </w:r>
          </w:p>
        </w:tc>
        <w:tc>
          <w:tcPr>
            <w:tcW w:w="7108" w:type="dxa"/>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1.符合环保要求，液体、独立包装，容量大于等于500mL。</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2.具有水溶性，耐酸碱，环保无害且荧光稳定性强。</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3.配套紫外检测灯使用，用于排污管道、暴雨和下水道（污水管）排放检测。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▲4.可稀释性强，且稀释后荧光稳定持久，便于观察。</w:t>
            </w:r>
          </w:p>
        </w:tc>
      </w:tr>
    </w:tbl>
    <w:p>
      <w:pPr>
        <w:spacing w:line="480" w:lineRule="exact"/>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1"/>
          <w:szCs w:val="24"/>
        </w:rPr>
        <w:t>轻型无人机（含3块长续航智能飞行电池、内置增强图传模组、带屏遥控器及一年</w:t>
      </w:r>
      <w:r>
        <w:rPr>
          <w:rFonts w:hint="default" w:ascii="Times New Roman" w:hAnsi="Times New Roman" w:eastAsia="仿宋_GB2312" w:cs="Times New Roman"/>
          <w:sz w:val="31"/>
          <w:szCs w:val="24"/>
          <w:lang w:val="en-US" w:eastAsia="zh-CN"/>
        </w:rPr>
        <w:t>飞行</w:t>
      </w:r>
      <w:r>
        <w:rPr>
          <w:rFonts w:hint="default" w:ascii="Times New Roman" w:hAnsi="Times New Roman" w:eastAsia="仿宋_GB2312" w:cs="Times New Roman"/>
          <w:sz w:val="31"/>
          <w:szCs w:val="24"/>
        </w:rPr>
        <w:t>保险）</w:t>
      </w:r>
    </w:p>
    <w:tbl>
      <w:tblPr>
        <w:tblStyle w:val="10"/>
        <w:tblW w:w="8970"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62"/>
        <w:gridCol w:w="71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6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产品名称</w:t>
            </w:r>
          </w:p>
        </w:tc>
        <w:tc>
          <w:tcPr>
            <w:tcW w:w="710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6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b/>
                <w:bCs/>
                <w:sz w:val="24"/>
                <w:szCs w:val="24"/>
              </w:rPr>
              <w:t>轻型无人机（含3块长续航智能飞行电池、内置增强图传模组、带屏遥控器及一年保险）</w:t>
            </w:r>
          </w:p>
        </w:tc>
        <w:tc>
          <w:tcPr>
            <w:tcW w:w="7108" w:type="dxa"/>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1.飞行性能：最大上升速度：10米/秒；最大下降速度：6米/秒；最大水平飞行速度：19米/秒；最长飞行时间：52分钟；最大续航里程：32公里。</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▲2.相机要求：影像传感器：1英寸CMOS，有效像素5000万。</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3.镜头：视角：84°；等效焦距：24 mm；光圈：f/1.8；对焦点：0.5米至无穷远。</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4.云台：俯仰：-135°至80°；横滚：-230°至95°；偏航：-25°至25°。</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5.可控转动范围：俯仰：-90°至55°；横滚：-180°至45°。</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6.感知系统类型：全向双目视觉系统，辅以机身前视激光雷达和底部红外传感器。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▲7.电池：4680毫安时容量电池3块。</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▲8.遥控器：</w:t>
            </w:r>
            <w:r>
              <w:rPr>
                <w:rFonts w:hint="default" w:ascii="Times New Roman" w:hAnsi="Times New Roman" w:eastAsia="仿宋_GB2312" w:cs="Times New Roman"/>
                <w:sz w:val="24"/>
                <w:szCs w:val="24"/>
              </w:rPr>
              <w:t>带屏遥控器</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highlight w:val="none"/>
                <w:lang w:val="en-US" w:eastAsia="zh-CN"/>
              </w:rPr>
              <w:t>未给移动设备充电情况下：3.5小时，给移动设备充电情况下：1.5小时。</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9.机载内存：42GB。</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▲10.保险服务：包含1年飞行保险，提供意外损坏低价置换（含飞丢保障）、第三者责任险及官方保修。</w:t>
            </w:r>
          </w:p>
        </w:tc>
      </w:tr>
    </w:tbl>
    <w:p>
      <w:pPr>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1"/>
          <w:szCs w:val="24"/>
        </w:rPr>
        <w:t>便携式油烟检测仪</w:t>
      </w:r>
    </w:p>
    <w:tbl>
      <w:tblPr>
        <w:tblStyle w:val="10"/>
        <w:tblW w:w="8970"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62"/>
        <w:gridCol w:w="71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6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产品名称</w:t>
            </w:r>
          </w:p>
        </w:tc>
        <w:tc>
          <w:tcPr>
            <w:tcW w:w="7108"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技术指标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62"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b/>
                <w:bCs/>
                <w:sz w:val="24"/>
                <w:szCs w:val="24"/>
              </w:rPr>
              <w:t>便携式油烟检测仪</w:t>
            </w:r>
          </w:p>
        </w:tc>
        <w:tc>
          <w:tcPr>
            <w:tcW w:w="7108" w:type="dxa"/>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适用于餐饮业油烟污染状态实时快速监测的一体式直读仪器，配备全程伴热和测量工况等功能，采用恒流采样和激光散射的方式来测量烟道内的油烟浓度，配置应包括主机1台、铝箱1个、适配器1个、滤芯3件、汽油滤清器1个、无线蓝牙打印机1台、说明书2份、合格证1份。</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2.油烟检测采用激光法，能实现1到100微米油烟颗粒物浓度的快速直读，同时也可检测沥青烟、松香烟等非食用油烟；</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3.具备全程伴热功能，温度（60-100℃）可设，避免低温环境下测量产生冷凝水或结冰的现象，减少冷凝水对测量的影响，精准度高；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4.具备油烟浓度的实时显示功能（实时值、平均值、最大值、最小值），后续无需进行实验室分析；</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▲5.具备鞘气保护部件，避免油烟传感器的光学器件被污染，提高仪器抗污染能力，延长仪器的使用寿命；（提供实物照片并加盖生产厂家公章）</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6.采样时间可设，可自动进行烟气流速的实时跟踪并自动换算油烟小时排放量；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7.内置锂电池供电，无需外接AC220V交流电即可在现场直接测量，满足快速监测需求；</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8.具备过滤器、气密性检测、归零校正和清洗功能，保证数据准确无误和提高使用寿命；</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▲9.采用高清彩色触摸屏和薄膜按键进行操作控制，同时仪器内置蓝牙模块和USB口，支持无线打印数据和U盘快速导出采样数据；（提供实物照片并加盖生产厂家公章）</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10.具备一体化维保平台，可设置专属产品档案，定期推送产品信息、自动推送传感器寿命及有效时间提醒；</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11.支持PC端和专用APP软件视频平台查看，可设置登录账号登录，支持二维码扫码观看操作视频，为应急和设备操作等提供快速指南及操作视频。（提供以上不同功能的软件截图并加盖生产厂家公章）</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▲12.油烟浓度：（0-30）mg/m3；分 辨 率0.01 mg/m3；最大误差±10.0%；</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13.采样流量：2.0L/min；分 辨 率0.01 L/min；最大误差±2.5%；</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14.烟气流速：（1-45）m/s；分 辨 率0.1m/s；最大误差±4.0%；</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15.电池工作时间：＞2h；</w:t>
            </w:r>
          </w:p>
        </w:tc>
      </w:tr>
    </w:tbl>
    <w:p>
      <w:pPr>
        <w:rPr>
          <w:rFonts w:hint="default" w:ascii="Times New Roman" w:hAnsi="Times New Roman" w:eastAsia="仿宋_GB2312" w:cs="Times New Roman"/>
          <w:spacing w:val="-5"/>
          <w:kern w:val="0"/>
          <w:sz w:val="24"/>
          <w:szCs w:val="24"/>
          <w:highlight w:val="none"/>
          <w:lang w:val="zh-CN" w:eastAsia="zh-CN"/>
        </w:rPr>
      </w:pPr>
    </w:p>
    <w:p>
      <w:pPr>
        <w:rPr>
          <w:rFonts w:hint="default" w:ascii="Times New Roman" w:hAnsi="Times New Roman" w:eastAsia="仿宋_GB2312" w:cs="Times New Roman"/>
          <w:spacing w:val="-5"/>
          <w:kern w:val="0"/>
          <w:sz w:val="24"/>
          <w:szCs w:val="24"/>
          <w:highlight w:val="none"/>
          <w:lang w:val="zh-CN" w:eastAsia="zh-CN"/>
        </w:rPr>
      </w:pPr>
      <w:r>
        <w:rPr>
          <w:rFonts w:hint="default" w:ascii="Times New Roman" w:hAnsi="Times New Roman" w:eastAsia="仿宋_GB2312" w:cs="Times New Roman"/>
          <w:spacing w:val="-5"/>
          <w:kern w:val="0"/>
          <w:sz w:val="24"/>
          <w:szCs w:val="24"/>
          <w:highlight w:val="none"/>
          <w:lang w:val="zh-CN" w:eastAsia="zh-CN"/>
        </w:rPr>
        <w:t>注：</w:t>
      </w:r>
    </w:p>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仿宋_GB2312" w:cs="Times New Roman"/>
          <w:spacing w:val="-5"/>
          <w:kern w:val="0"/>
          <w:sz w:val="24"/>
          <w:szCs w:val="24"/>
          <w:highlight w:val="none"/>
          <w:lang w:val="en-US" w:eastAsia="zh-CN"/>
        </w:rPr>
      </w:pPr>
      <w:r>
        <w:rPr>
          <w:rFonts w:hint="default" w:ascii="Times New Roman" w:hAnsi="Times New Roman" w:eastAsia="仿宋_GB2312" w:cs="Times New Roman"/>
          <w:spacing w:val="-5"/>
          <w:kern w:val="0"/>
          <w:sz w:val="24"/>
          <w:szCs w:val="24"/>
          <w:highlight w:val="none"/>
          <w:lang w:val="zh-CN" w:eastAsia="zh-CN"/>
        </w:rPr>
        <w:t>1、投标人应注意以下响应内容：</w:t>
      </w:r>
    </w:p>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仿宋_GB2312" w:cs="Times New Roman"/>
          <w:spacing w:val="-5"/>
          <w:kern w:val="0"/>
          <w:sz w:val="24"/>
          <w:szCs w:val="24"/>
          <w:highlight w:val="none"/>
          <w:lang w:val="zh-CN" w:eastAsia="zh-CN"/>
        </w:rPr>
      </w:pPr>
      <w:r>
        <w:rPr>
          <w:rFonts w:hint="default" w:ascii="Times New Roman" w:hAnsi="Times New Roman" w:eastAsia="仿宋_GB2312" w:cs="Times New Roman"/>
          <w:spacing w:val="-5"/>
          <w:kern w:val="0"/>
          <w:sz w:val="24"/>
          <w:szCs w:val="24"/>
          <w:highlight w:val="none"/>
          <w:lang w:val="en-US" w:eastAsia="zh-CN"/>
        </w:rPr>
        <w:t>（1</w:t>
      </w:r>
      <w:r>
        <w:rPr>
          <w:rFonts w:hint="default" w:ascii="Times New Roman" w:hAnsi="Times New Roman" w:eastAsia="仿宋_GB2312" w:cs="Times New Roman"/>
          <w:spacing w:val="-5"/>
          <w:kern w:val="0"/>
          <w:sz w:val="24"/>
          <w:szCs w:val="24"/>
          <w:highlight w:val="none"/>
          <w:lang w:val="zh-CN" w:eastAsia="zh-CN"/>
        </w:rPr>
        <w:t>）招标文件条款为本次采购的较重要要求，投标人无法满足或响应时将影响其技术评分。</w:t>
      </w:r>
    </w:p>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仿宋_GB2312" w:cs="Times New Roman"/>
          <w:spacing w:val="-5"/>
          <w:kern w:val="0"/>
          <w:sz w:val="24"/>
          <w:szCs w:val="24"/>
          <w:highlight w:val="none"/>
          <w:lang w:val="zh-CN" w:eastAsia="zh-CN"/>
        </w:rPr>
      </w:pPr>
      <w:r>
        <w:rPr>
          <w:rFonts w:hint="default" w:ascii="Times New Roman" w:hAnsi="Times New Roman" w:eastAsia="仿宋_GB2312" w:cs="Times New Roman"/>
          <w:spacing w:val="-5"/>
          <w:kern w:val="0"/>
          <w:sz w:val="24"/>
          <w:szCs w:val="24"/>
          <w:highlight w:val="none"/>
          <w:lang w:val="zh-CN" w:eastAsia="zh-CN"/>
        </w:rPr>
        <w:t>（</w:t>
      </w:r>
      <w:r>
        <w:rPr>
          <w:rFonts w:hint="default" w:ascii="Times New Roman" w:hAnsi="Times New Roman" w:eastAsia="仿宋_GB2312" w:cs="Times New Roman"/>
          <w:spacing w:val="-5"/>
          <w:kern w:val="0"/>
          <w:sz w:val="24"/>
          <w:szCs w:val="24"/>
          <w:highlight w:val="none"/>
          <w:lang w:val="en-US" w:eastAsia="zh-CN"/>
        </w:rPr>
        <w:t>2</w:t>
      </w:r>
      <w:r>
        <w:rPr>
          <w:rFonts w:hint="default" w:ascii="Times New Roman" w:hAnsi="Times New Roman" w:eastAsia="仿宋_GB2312" w:cs="Times New Roman"/>
          <w:spacing w:val="-5"/>
          <w:kern w:val="0"/>
          <w:sz w:val="24"/>
          <w:szCs w:val="24"/>
          <w:highlight w:val="none"/>
          <w:lang w:val="zh-CN" w:eastAsia="zh-CN"/>
        </w:rPr>
        <w:t>）投标人在响应投标方案中应尽量列出具体参数或作出详细应答。如果投标人只简单注明“符合”或“满足”，将影响投标人技术商务评分。投标人须在投标文件中填写/应答技术规格参数，当投标文件中技术参数与招标文件中技术参数有偏离时，须在“偏离”栏内如实注明是“正偏离”或“负偏离”，“正偏离”指投标设备的技术参数优于招标文件中要求，“负偏离”指投标设备的技术参数低于招标文件中要求。投标文件中的技术参数、功能或其它内容优于要求的不视作负偏离，不构成无效投标条件，但投标人须对这种优于要求的情况单独作出说明。存在学术争议的内容不视为正偏离。</w:t>
      </w:r>
    </w:p>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仿宋_GB2312" w:cs="Times New Roman"/>
          <w:spacing w:val="-5"/>
          <w:kern w:val="0"/>
          <w:sz w:val="24"/>
          <w:szCs w:val="24"/>
          <w:highlight w:val="none"/>
          <w:lang w:val="zh-CN" w:eastAsia="zh-CN"/>
        </w:rPr>
      </w:pPr>
      <w:r>
        <w:rPr>
          <w:rFonts w:hint="default" w:ascii="Times New Roman" w:hAnsi="Times New Roman" w:eastAsia="仿宋_GB2312" w:cs="Times New Roman"/>
          <w:spacing w:val="-5"/>
          <w:kern w:val="0"/>
          <w:sz w:val="24"/>
          <w:szCs w:val="24"/>
          <w:highlight w:val="none"/>
          <w:lang w:val="zh-CN" w:eastAsia="zh-CN"/>
        </w:rPr>
        <w:t>2、投标人须承诺提供厂商原装、全新的、符合国家及用户提出的有关质量标准的设备。</w:t>
      </w:r>
    </w:p>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仿宋_GB2312" w:cs="Times New Roman"/>
          <w:spacing w:val="-5"/>
          <w:kern w:val="0"/>
          <w:sz w:val="24"/>
          <w:szCs w:val="24"/>
          <w:highlight w:val="none"/>
          <w:lang w:val="zh-CN" w:eastAsia="zh-CN"/>
        </w:rPr>
      </w:pPr>
      <w:r>
        <w:rPr>
          <w:rFonts w:hint="default" w:ascii="Times New Roman" w:hAnsi="Times New Roman" w:eastAsia="仿宋_GB2312" w:cs="Times New Roman"/>
          <w:spacing w:val="-5"/>
          <w:kern w:val="0"/>
          <w:sz w:val="24"/>
          <w:szCs w:val="24"/>
          <w:highlight w:val="none"/>
          <w:lang w:val="zh-CN" w:eastAsia="zh-CN"/>
        </w:rPr>
        <w:t>3、投标人应对用户需求书中的设备性能和技术指标在响应详细内容中列出具体数值或明确承诺。如果投标人只注明“正偏离”或“无偏离”，将被视为“负偏离”，从而可能导致严重影响评标结果。</w:t>
      </w:r>
    </w:p>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仿宋_GB2312" w:cs="Times New Roman"/>
          <w:spacing w:val="-5"/>
          <w:kern w:val="0"/>
          <w:sz w:val="24"/>
          <w:szCs w:val="24"/>
          <w:highlight w:val="none"/>
          <w:lang w:val="zh-CN" w:eastAsia="zh-CN"/>
        </w:rPr>
      </w:pPr>
      <w:r>
        <w:rPr>
          <w:rFonts w:hint="default" w:ascii="Times New Roman" w:hAnsi="Times New Roman" w:eastAsia="仿宋_GB2312" w:cs="Times New Roman"/>
          <w:spacing w:val="-5"/>
          <w:kern w:val="0"/>
          <w:sz w:val="24"/>
          <w:szCs w:val="24"/>
          <w:highlight w:val="none"/>
          <w:lang w:val="zh-CN" w:eastAsia="zh-CN"/>
        </w:rPr>
        <w:t>4、投标人所投产品除招标文件中明确规定要求提供彩页或相应检测（技术）报告等证明材料以外，所有技术参数描述均以投标文件为准（投标文件内厂家提供的技术参数描述与投标人投标技术参数描述不一致时，以厂家提供的技术参数描述为准）。投标人须对所投产品技术参数的真实性承担法律责任。</w:t>
      </w:r>
    </w:p>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仿宋_GB2312" w:cs="Times New Roman"/>
          <w:spacing w:val="-5"/>
          <w:kern w:val="0"/>
          <w:sz w:val="24"/>
          <w:szCs w:val="24"/>
          <w:highlight w:val="none"/>
          <w:lang w:val="zh-CN" w:eastAsia="zh-CN"/>
        </w:rPr>
      </w:pPr>
      <w:r>
        <w:rPr>
          <w:rFonts w:hint="default" w:ascii="Times New Roman" w:hAnsi="Times New Roman" w:eastAsia="仿宋_GB2312" w:cs="Times New Roman"/>
          <w:spacing w:val="-5"/>
          <w:kern w:val="0"/>
          <w:sz w:val="24"/>
          <w:szCs w:val="24"/>
          <w:highlight w:val="none"/>
          <w:lang w:val="zh-CN" w:eastAsia="zh-CN"/>
        </w:rPr>
        <w:t>5、涉及到软件产品的，须采购和使用正版软件。</w:t>
      </w:r>
    </w:p>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仿宋_GB2312" w:cs="Times New Roman"/>
          <w:spacing w:val="-5"/>
          <w:kern w:val="0"/>
          <w:sz w:val="24"/>
          <w:szCs w:val="24"/>
          <w:highlight w:val="none"/>
          <w:lang w:val="zh-CN" w:eastAsia="zh-CN"/>
        </w:rPr>
      </w:pPr>
      <w:r>
        <w:rPr>
          <w:rFonts w:hint="default" w:ascii="Times New Roman" w:hAnsi="Times New Roman" w:eastAsia="仿宋_GB2312" w:cs="Times New Roman"/>
          <w:spacing w:val="-5"/>
          <w:kern w:val="0"/>
          <w:sz w:val="24"/>
          <w:szCs w:val="24"/>
          <w:highlight w:val="none"/>
          <w:lang w:val="zh-CN" w:eastAsia="zh-CN"/>
        </w:rPr>
        <w:t>6、投标人没有在投标文件中注明偏离（文字说明或在响应表注明）的参数、配置、条款视为被投标人完全接受。</w:t>
      </w:r>
    </w:p>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仿宋_GB2312" w:cs="Times New Roman"/>
          <w:spacing w:val="-5"/>
          <w:kern w:val="0"/>
          <w:sz w:val="24"/>
          <w:szCs w:val="24"/>
          <w:highlight w:val="none"/>
          <w:lang w:val="zh-CN" w:eastAsia="zh-CN"/>
        </w:rPr>
      </w:pPr>
      <w:r>
        <w:rPr>
          <w:rFonts w:hint="default" w:ascii="Times New Roman" w:hAnsi="Times New Roman" w:eastAsia="仿宋_GB2312" w:cs="Times New Roman"/>
          <w:spacing w:val="-5"/>
          <w:kern w:val="0"/>
          <w:sz w:val="24"/>
          <w:szCs w:val="24"/>
          <w:highlight w:val="none"/>
          <w:lang w:val="zh-CN" w:eastAsia="zh-CN"/>
        </w:rPr>
        <w:t>7、投标人应保证，采购人在中华人民共和国使用该货物或货物的任何一部分时，免受第三方提出的侵犯其专利权、商标权、著作权或其它知识产权的起诉。</w:t>
      </w:r>
    </w:p>
    <w:p>
      <w:pPr>
        <w:keepNext w:val="0"/>
        <w:keepLines w:val="0"/>
        <w:pageBreakBefore w:val="0"/>
        <w:widowControl/>
        <w:kinsoku/>
        <w:wordWrap/>
        <w:overflowPunct/>
        <w:topLinePunct w:val="0"/>
        <w:autoSpaceDE/>
        <w:autoSpaceDN/>
        <w:bidi w:val="0"/>
        <w:adjustRightInd/>
        <w:snapToGrid/>
        <w:spacing w:line="320" w:lineRule="exact"/>
        <w:jc w:val="left"/>
        <w:textAlignment w:val="baseline"/>
        <w:rPr>
          <w:rFonts w:hint="default" w:ascii="Times New Roman" w:hAnsi="Times New Roman" w:eastAsia="仿宋_GB2312" w:cs="Times New Roman"/>
          <w:spacing w:val="-5"/>
          <w:kern w:val="0"/>
          <w:sz w:val="24"/>
          <w:szCs w:val="24"/>
          <w:highlight w:val="none"/>
          <w:lang w:val="zh-CN" w:eastAsia="zh-CN"/>
        </w:rPr>
      </w:pPr>
      <w:r>
        <w:rPr>
          <w:rFonts w:hint="default" w:ascii="Times New Roman" w:hAnsi="Times New Roman" w:eastAsia="仿宋_GB2312" w:cs="Times New Roman"/>
          <w:spacing w:val="-5"/>
          <w:kern w:val="0"/>
          <w:sz w:val="24"/>
          <w:szCs w:val="24"/>
          <w:highlight w:val="none"/>
          <w:lang w:val="en-US" w:eastAsia="zh-CN"/>
        </w:rPr>
        <w:t>8</w:t>
      </w:r>
      <w:r>
        <w:rPr>
          <w:rFonts w:hint="default" w:ascii="Times New Roman" w:hAnsi="Times New Roman" w:eastAsia="仿宋_GB2312" w:cs="Times New Roman"/>
          <w:spacing w:val="-5"/>
          <w:kern w:val="0"/>
          <w:sz w:val="24"/>
          <w:szCs w:val="24"/>
          <w:highlight w:val="none"/>
          <w:lang w:val="zh-CN" w:eastAsia="zh-CN"/>
        </w:rPr>
        <w:t>、投标报价包括：货款、设计、安装、随机零配件、标配工具、运输、保险、包装、调试、验收、培训、售后服务、运维服务、质量保证期服务、各项税费及合同实施过程中不可预见费用等。</w:t>
      </w: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Noto Sans CJK SC Regular">
    <w:panose1 w:val="020B0500000000000000"/>
    <w:charset w:val="86"/>
    <w:family w:val="auto"/>
    <w:pitch w:val="default"/>
    <w:sig w:usb0="30000003" w:usb1="2BDF3C10" w:usb2="00000016" w:usb3="00000000" w:csb0="602E0107" w:csb1="00000000"/>
  </w:font>
  <w:font w:name="方正楷体_GBK">
    <w:panose1 w:val="02000000000000000000"/>
    <w:charset w:val="86"/>
    <w:family w:val="auto"/>
    <w:pitch w:val="default"/>
    <w:sig w:usb0="00000001" w:usb1="08000000" w:usb2="00000000" w:usb3="00000000" w:csb0="00040000" w:csb1="00000000"/>
  </w:font>
  <w:font w:name="方正大标宋简体">
    <w:altName w:val="方正书宋_GBK"/>
    <w:panose1 w:val="02000000000000000000"/>
    <w:charset w:val="86"/>
    <w:family w:val="auto"/>
    <w:pitch w:val="default"/>
    <w:sig w:usb0="00000000" w:usb1="00000000"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00000001" w:usb1="08000000" w:usb2="00000000" w:usb3="00000000" w:csb0="00040000" w:csb1="00000000"/>
  </w:font>
  <w:font w:name="Calibri Light">
    <w:altName w:val="DejaVu Sans"/>
    <w:panose1 w:val="00000000000000000000"/>
    <w:charset w:val="00"/>
    <w:family w:val="auto"/>
    <w:pitch w:val="default"/>
    <w:sig w:usb0="00000000" w:usb1="00000000" w:usb2="00000000" w:usb3="00000000" w:csb0="00000000" w:csb1="00000000"/>
  </w:font>
  <w:font w:name="CESI黑体-GB18030">
    <w:panose1 w:val="02000500000000000000"/>
    <w:charset w:val="86"/>
    <w:family w:val="auto"/>
    <w:pitch w:val="default"/>
    <w:sig w:usb0="A00002BF" w:usb1="38C7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434B06"/>
    <w:multiLevelType w:val="multilevel"/>
    <w:tmpl w:val="7D434B06"/>
    <w:lvl w:ilvl="0" w:tentative="0">
      <w:start w:val="1"/>
      <w:numFmt w:val="ideographDigital"/>
      <w:pStyle w:val="2"/>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08E2A0E"/>
    <w:rsid w:val="0DA770F4"/>
    <w:rsid w:val="10F07890"/>
    <w:rsid w:val="11FFB731"/>
    <w:rsid w:val="12F017DE"/>
    <w:rsid w:val="1C6F14EE"/>
    <w:rsid w:val="1CB31A88"/>
    <w:rsid w:val="1DFE6FB2"/>
    <w:rsid w:val="1F1FC43C"/>
    <w:rsid w:val="1F511CA1"/>
    <w:rsid w:val="1FF3A214"/>
    <w:rsid w:val="241C63FF"/>
    <w:rsid w:val="27AF1E9D"/>
    <w:rsid w:val="27F74992"/>
    <w:rsid w:val="2ABA0836"/>
    <w:rsid w:val="2BF2B967"/>
    <w:rsid w:val="2BFEF74F"/>
    <w:rsid w:val="2FE8DAF1"/>
    <w:rsid w:val="2FFF1466"/>
    <w:rsid w:val="33FF0FAD"/>
    <w:rsid w:val="34A16C46"/>
    <w:rsid w:val="36064819"/>
    <w:rsid w:val="37C750A8"/>
    <w:rsid w:val="39FFB3B5"/>
    <w:rsid w:val="3D6A38DF"/>
    <w:rsid w:val="3E31E310"/>
    <w:rsid w:val="3EED8DBA"/>
    <w:rsid w:val="3F7D9CA4"/>
    <w:rsid w:val="3F9F3665"/>
    <w:rsid w:val="3FDF0B67"/>
    <w:rsid w:val="416F0EAD"/>
    <w:rsid w:val="457B8617"/>
    <w:rsid w:val="473F8AED"/>
    <w:rsid w:val="497FEC9E"/>
    <w:rsid w:val="4A1947CF"/>
    <w:rsid w:val="4B750168"/>
    <w:rsid w:val="4EFBAAE5"/>
    <w:rsid w:val="4FFD620D"/>
    <w:rsid w:val="54FA228A"/>
    <w:rsid w:val="56CB3706"/>
    <w:rsid w:val="57371781"/>
    <w:rsid w:val="57D810AF"/>
    <w:rsid w:val="58ED47BA"/>
    <w:rsid w:val="5B884F17"/>
    <w:rsid w:val="5BBE3EBD"/>
    <w:rsid w:val="5BFF0E6F"/>
    <w:rsid w:val="5EF54CCE"/>
    <w:rsid w:val="5EF8A2B1"/>
    <w:rsid w:val="5FFF62BA"/>
    <w:rsid w:val="62F615EE"/>
    <w:rsid w:val="676AF034"/>
    <w:rsid w:val="67F6ED20"/>
    <w:rsid w:val="6CDE3BFC"/>
    <w:rsid w:val="6DF44F00"/>
    <w:rsid w:val="6EF529EF"/>
    <w:rsid w:val="6F2F64AE"/>
    <w:rsid w:val="6FAEA39B"/>
    <w:rsid w:val="709A3070"/>
    <w:rsid w:val="72BD0035"/>
    <w:rsid w:val="73BE08ED"/>
    <w:rsid w:val="73FFC61E"/>
    <w:rsid w:val="75FB6A43"/>
    <w:rsid w:val="7639B482"/>
    <w:rsid w:val="76B06FB4"/>
    <w:rsid w:val="77AA7745"/>
    <w:rsid w:val="77BB7046"/>
    <w:rsid w:val="77FD8B69"/>
    <w:rsid w:val="780F0D30"/>
    <w:rsid w:val="785972B2"/>
    <w:rsid w:val="78E63D39"/>
    <w:rsid w:val="79DA1B64"/>
    <w:rsid w:val="7AE7DE10"/>
    <w:rsid w:val="7AEFB225"/>
    <w:rsid w:val="7B6FEAD2"/>
    <w:rsid w:val="7B7FD36B"/>
    <w:rsid w:val="7B87BDD5"/>
    <w:rsid w:val="7BB7FE12"/>
    <w:rsid w:val="7BFF891E"/>
    <w:rsid w:val="7CFD2383"/>
    <w:rsid w:val="7D0E8C59"/>
    <w:rsid w:val="7D3F1949"/>
    <w:rsid w:val="7D5E2D16"/>
    <w:rsid w:val="7DCB56F9"/>
    <w:rsid w:val="7DEF35ED"/>
    <w:rsid w:val="7EFE75FF"/>
    <w:rsid w:val="7F2F65BC"/>
    <w:rsid w:val="7F6EA8D5"/>
    <w:rsid w:val="7F7F1DDB"/>
    <w:rsid w:val="7F9FE125"/>
    <w:rsid w:val="7FDA7EE0"/>
    <w:rsid w:val="7FEF7B4B"/>
    <w:rsid w:val="7FEFB0D7"/>
    <w:rsid w:val="7FFBAC6F"/>
    <w:rsid w:val="9B7F19BB"/>
    <w:rsid w:val="9F5B2ACF"/>
    <w:rsid w:val="9FFFF2D0"/>
    <w:rsid w:val="A6BF5FD9"/>
    <w:rsid w:val="AB1AE426"/>
    <w:rsid w:val="AEF3759A"/>
    <w:rsid w:val="B5E56301"/>
    <w:rsid w:val="BB7FE63E"/>
    <w:rsid w:val="BBAF8124"/>
    <w:rsid w:val="BBED17A6"/>
    <w:rsid w:val="BDFD4B44"/>
    <w:rsid w:val="BF4F14A7"/>
    <w:rsid w:val="BF7289F1"/>
    <w:rsid w:val="BF7AE4B6"/>
    <w:rsid w:val="BF7ECD0B"/>
    <w:rsid w:val="BFB5F666"/>
    <w:rsid w:val="BFCDFEA2"/>
    <w:rsid w:val="BFD3D8D1"/>
    <w:rsid w:val="BFFD1307"/>
    <w:rsid w:val="CD532D25"/>
    <w:rsid w:val="CEDFB334"/>
    <w:rsid w:val="D1BD61FE"/>
    <w:rsid w:val="D7BF52E2"/>
    <w:rsid w:val="D7DDA11F"/>
    <w:rsid w:val="D87FD6CF"/>
    <w:rsid w:val="DB430CBF"/>
    <w:rsid w:val="DB7EE471"/>
    <w:rsid w:val="DCFE3CD6"/>
    <w:rsid w:val="DD6754DA"/>
    <w:rsid w:val="DFFA4FC3"/>
    <w:rsid w:val="DFFF71CB"/>
    <w:rsid w:val="E5FFCC91"/>
    <w:rsid w:val="E7FA81BF"/>
    <w:rsid w:val="EDDE04B0"/>
    <w:rsid w:val="EF3F498B"/>
    <w:rsid w:val="EF657C36"/>
    <w:rsid w:val="EFA2FA2A"/>
    <w:rsid w:val="EFCFE634"/>
    <w:rsid w:val="EFDB768E"/>
    <w:rsid w:val="F45B9CC0"/>
    <w:rsid w:val="F5FF0F01"/>
    <w:rsid w:val="F5FF8B99"/>
    <w:rsid w:val="F7DDD0B3"/>
    <w:rsid w:val="F7DF2C12"/>
    <w:rsid w:val="F7EDA1C1"/>
    <w:rsid w:val="F7F59BC2"/>
    <w:rsid w:val="F7FD37B3"/>
    <w:rsid w:val="F97F63BF"/>
    <w:rsid w:val="FAF9F6CC"/>
    <w:rsid w:val="FB72F4C6"/>
    <w:rsid w:val="FBDF9348"/>
    <w:rsid w:val="FD5F4987"/>
    <w:rsid w:val="FD7FFC82"/>
    <w:rsid w:val="FDEB9379"/>
    <w:rsid w:val="FDF2AB8C"/>
    <w:rsid w:val="FE8EA6D9"/>
    <w:rsid w:val="FEFB2E4A"/>
    <w:rsid w:val="FF0FCCB6"/>
    <w:rsid w:val="FF2DCA6A"/>
    <w:rsid w:val="FF72F16E"/>
    <w:rsid w:val="FF7363A1"/>
    <w:rsid w:val="FF7B1D5D"/>
    <w:rsid w:val="FFAF9FE3"/>
    <w:rsid w:val="FFB7B8B9"/>
    <w:rsid w:val="FFBF011A"/>
    <w:rsid w:val="FFE785C9"/>
    <w:rsid w:val="FFE7977F"/>
    <w:rsid w:val="FFE7AE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outlineLvl w:val="0"/>
    </w:pPr>
    <w:rPr>
      <w:rFonts w:eastAsia="黑体"/>
      <w:bCs/>
      <w:kern w:val="44"/>
      <w:sz w:val="30"/>
      <w:szCs w:val="4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pPr>
      <w:spacing w:after="120" w:afterLines="0" w:afterAutospacing="0"/>
    </w:pPr>
  </w:style>
  <w:style w:type="paragraph" w:customStyle="1" w:styleId="5">
    <w:name w:val="引用1"/>
    <w:basedOn w:val="1"/>
    <w:next w:val="1"/>
    <w:qFormat/>
    <w:uiPriority w:val="0"/>
    <w:rPr>
      <w:rFonts w:ascii="Calibri" w:hAnsi="Calibri" w:cs="宋体"/>
      <w:i/>
      <w:color w:val="000000"/>
      <w:kern w:val="0"/>
      <w:sz w:val="20"/>
      <w:szCs w:val="20"/>
    </w:rPr>
  </w:style>
  <w:style w:type="paragraph" w:styleId="6">
    <w:name w:val="Plain Text"/>
    <w:basedOn w:val="1"/>
    <w:qFormat/>
    <w:uiPriority w:val="0"/>
    <w:rPr>
      <w:rFonts w:ascii="宋体" w:hAnsi="Courier New"/>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2">
    <w:name w:val="Table Paragraph"/>
    <w:basedOn w:val="1"/>
    <w:qFormat/>
    <w:uiPriority w:val="1"/>
    <w:pPr>
      <w:spacing w:before="18"/>
      <w:ind w:left="38"/>
    </w:pPr>
  </w:style>
  <w:style w:type="paragraph" w:customStyle="1" w:styleId="13">
    <w:name w:val="标题和内容~LT~Gliederung 1"/>
    <w:basedOn w:val="1"/>
    <w:semiHidden/>
    <w:qFormat/>
    <w:uiPriority w:val="0"/>
    <w:pPr>
      <w:autoSpaceDE w:val="0"/>
      <w:autoSpaceDN w:val="0"/>
      <w:adjustRightInd w:val="0"/>
      <w:jc w:val="left"/>
    </w:pPr>
    <w:rPr>
      <w:rFonts w:ascii="Noto Sans CJK SC Regular" w:hAnsi="Noto Sans CJK SC Regular" w:eastAsia="宋体" w:cs="宋体"/>
      <w:color w:val="000000"/>
      <w:sz w:val="56"/>
      <w:szCs w:val="5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684</Words>
  <Characters>826</Characters>
  <Lines>0</Lines>
  <Paragraphs>0</Paragraphs>
  <TotalTime>10</TotalTime>
  <ScaleCrop>false</ScaleCrop>
  <LinksUpToDate>false</LinksUpToDate>
  <CharactersWithSpaces>826</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2018-07-22T15:11:00Z</dcterms:created>
  <dc:creator>Administrator</dc:creator>
  <cp:lastModifiedBy>guest</cp:lastModifiedBy>
  <cp:lastPrinted>2026-09-10T09:19:15Z</cp:lastPrinted>
  <dcterms:modified xsi:type="dcterms:W3CDTF">2026-09-10T09:19:56Z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119358583CB14DF1B44471A31593DBD9_13</vt:lpwstr>
  </property>
  <property fmtid="{D5CDD505-2E9C-101B-9397-08002B2CF9AE}" pid="4" name="KSOTemplateDocerSaveRecord">
    <vt:lpwstr>eyJoZGlkIjoiNTVlZDVkNWVlNDY3ODMzNjE3NDZiZThmOWVjM2U1MjkiLCJ1c2VySWQiOiIyMTEzNzY5MjEifQ==</vt:lpwstr>
  </property>
</Properties>
</file>