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ind w:left="0" w:leftChars="0" w:firstLine="0" w:firstLineChars="0"/>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综合评分表</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5"/>
        <w:gridCol w:w="1073"/>
        <w:gridCol w:w="9035"/>
        <w:gridCol w:w="1690"/>
        <w:gridCol w:w="5"/>
        <w:gridCol w:w="1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585" w:type="dxa"/>
            <w:vMerge w:val="restart"/>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r>
              <w:rPr>
                <w:rFonts w:hint="eastAsia" w:ascii="仿宋_GB2312" w:hAnsi="仿宋_GB2312" w:eastAsia="仿宋_GB2312" w:cs="仿宋_GB2312"/>
                <w:color w:val="000000"/>
                <w:kern w:val="0"/>
                <w:sz w:val="18"/>
                <w:szCs w:val="18"/>
                <w:lang w:eastAsia="zh-CN" w:bidi="ar"/>
              </w:rPr>
              <w:t>评审因素</w:t>
            </w:r>
          </w:p>
        </w:tc>
        <w:tc>
          <w:tcPr>
            <w:tcW w:w="10108" w:type="dxa"/>
            <w:gridSpan w:val="2"/>
            <w:vMerge w:val="restar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eastAsia" w:ascii="仿宋_GB2312" w:hAnsi="仿宋_GB2312" w:eastAsia="仿宋_GB2312" w:cs="仿宋_GB2312"/>
                <w:color w:val="000000"/>
                <w:kern w:val="0"/>
                <w:sz w:val="18"/>
                <w:szCs w:val="18"/>
                <w:lang w:eastAsia="zh-CN" w:bidi="ar"/>
              </w:rPr>
            </w:pPr>
            <w:r>
              <w:rPr>
                <w:rFonts w:hint="eastAsia" w:ascii="仿宋_GB2312" w:hAnsi="仿宋_GB2312" w:eastAsia="仿宋_GB2312" w:cs="仿宋_GB2312"/>
                <w:color w:val="000000"/>
                <w:kern w:val="0"/>
                <w:sz w:val="18"/>
                <w:szCs w:val="18"/>
                <w:lang w:eastAsia="zh-CN" w:bidi="ar"/>
              </w:rPr>
              <w:t>评审标准</w:t>
            </w:r>
          </w:p>
        </w:tc>
        <w:tc>
          <w:tcPr>
            <w:tcW w:w="3381" w:type="dxa"/>
            <w:gridSpan w:val="3"/>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eastAsia" w:ascii="仿宋_GB2312" w:hAnsi="仿宋_GB2312" w:eastAsia="仿宋_GB2312" w:cs="仿宋_GB2312"/>
                <w:color w:val="000000"/>
                <w:kern w:val="0"/>
                <w:sz w:val="18"/>
                <w:szCs w:val="18"/>
                <w:lang w:eastAsia="zh-CN" w:bidi="ar"/>
              </w:rPr>
            </w:pPr>
            <w:r>
              <w:rPr>
                <w:rFonts w:hint="eastAsia" w:ascii="仿宋_GB2312" w:hAnsi="仿宋_GB2312" w:eastAsia="仿宋_GB2312" w:cs="仿宋_GB2312"/>
                <w:color w:val="000000"/>
                <w:kern w:val="0"/>
                <w:sz w:val="18"/>
                <w:szCs w:val="18"/>
                <w:lang w:eastAsia="zh-CN" w:bidi="ar"/>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trPr>
        <w:tc>
          <w:tcPr>
            <w:tcW w:w="585" w:type="dxa"/>
            <w:vMerge w:val="continue"/>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c>
          <w:tcPr>
            <w:tcW w:w="10108" w:type="dxa"/>
            <w:gridSpan w:val="2"/>
            <w:vMerge w:val="continue"/>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eastAsia" w:ascii="仿宋_GB2312" w:hAnsi="仿宋_GB2312" w:eastAsia="仿宋_GB2312" w:cs="仿宋_GB2312"/>
                <w:color w:val="000000"/>
                <w:kern w:val="0"/>
                <w:sz w:val="18"/>
                <w:szCs w:val="18"/>
                <w:lang w:eastAsia="zh-CN" w:bidi="ar"/>
              </w:rPr>
            </w:pPr>
          </w:p>
        </w:tc>
        <w:tc>
          <w:tcPr>
            <w:tcW w:w="1690"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eastAsia" w:ascii="仿宋_GB2312" w:hAnsi="仿宋_GB2312" w:eastAsia="仿宋_GB2312" w:cs="仿宋_GB2312"/>
                <w:color w:val="000000"/>
                <w:kern w:val="0"/>
                <w:sz w:val="18"/>
                <w:szCs w:val="18"/>
                <w:lang w:eastAsia="zh-CN" w:bidi="ar"/>
              </w:rPr>
            </w:pPr>
          </w:p>
        </w:tc>
        <w:tc>
          <w:tcPr>
            <w:tcW w:w="1691" w:type="dxa"/>
            <w:gridSpan w:val="2"/>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eastAsia" w:ascii="仿宋_GB2312" w:hAnsi="仿宋_GB2312" w:eastAsia="仿宋_GB2312" w:cs="仿宋_GB2312"/>
                <w:color w:val="000000"/>
                <w:kern w:val="0"/>
                <w:sz w:val="18"/>
                <w:szCs w:val="18"/>
                <w:lang w:eastAsia="zh-CN" w:bidi="ar"/>
              </w:rPr>
            </w:pPr>
            <w:r>
              <w:rPr>
                <w:rFonts w:hint="eastAsia" w:ascii="仿宋_GB2312" w:hAnsi="仿宋_GB2312" w:eastAsia="仿宋_GB2312" w:cs="仿宋_GB2312"/>
                <w:color w:val="000000"/>
                <w:kern w:val="0"/>
                <w:sz w:val="18"/>
                <w:szCs w:val="18"/>
                <w:lang w:val="en-US" w:eastAsia="zh-CN" w:bidi="ar"/>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1658" w:type="dxa"/>
            <w:gridSpan w:val="2"/>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default" w:ascii="仿宋_GB2312" w:hAnsi="仿宋_GB2312" w:eastAsia="仿宋_GB2312" w:cs="仿宋_GB2312"/>
                <w:color w:val="000000"/>
                <w:kern w:val="0"/>
                <w:sz w:val="18"/>
                <w:szCs w:val="18"/>
                <w:lang w:eastAsia="zh-CN" w:bidi="ar"/>
              </w:rPr>
            </w:pPr>
            <w:r>
              <w:rPr>
                <w:rFonts w:hint="eastAsia" w:ascii="仿宋_GB2312" w:hAnsi="仿宋_GB2312" w:eastAsia="仿宋_GB2312" w:cs="仿宋_GB2312"/>
                <w:color w:val="000000"/>
                <w:kern w:val="0"/>
                <w:sz w:val="18"/>
                <w:szCs w:val="18"/>
                <w:lang w:val="en-US" w:eastAsia="zh-CN" w:bidi="ar"/>
              </w:rPr>
              <w:t>投标报价</w:t>
            </w:r>
            <w:r>
              <w:rPr>
                <w:rFonts w:hint="default" w:ascii="仿宋_GB2312" w:hAnsi="仿宋_GB2312" w:eastAsia="仿宋_GB2312" w:cs="仿宋_GB2312"/>
                <w:color w:val="000000"/>
                <w:kern w:val="0"/>
                <w:sz w:val="18"/>
                <w:szCs w:val="18"/>
                <w:lang w:eastAsia="zh-CN" w:bidi="ar"/>
              </w:rPr>
              <w:t>（</w:t>
            </w:r>
            <w:r>
              <w:rPr>
                <w:rFonts w:hint="eastAsia" w:ascii="仿宋_GB2312" w:hAnsi="仿宋_GB2312" w:eastAsia="仿宋_GB2312" w:cs="仿宋_GB2312"/>
                <w:color w:val="000000"/>
                <w:kern w:val="0"/>
                <w:sz w:val="18"/>
                <w:szCs w:val="18"/>
                <w:lang w:val="en-US" w:eastAsia="zh-CN" w:bidi="ar"/>
              </w:rPr>
              <w:t>30</w:t>
            </w:r>
            <w:r>
              <w:rPr>
                <w:rFonts w:hint="default" w:ascii="仿宋_GB2312" w:hAnsi="仿宋_GB2312" w:eastAsia="仿宋_GB2312" w:cs="仿宋_GB2312"/>
                <w:color w:val="000000"/>
                <w:kern w:val="0"/>
                <w:sz w:val="18"/>
                <w:szCs w:val="18"/>
                <w:lang w:eastAsia="zh-CN" w:bidi="ar"/>
              </w:rPr>
              <w:t>分）</w:t>
            </w:r>
          </w:p>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default" w:ascii="仿宋_GB2312" w:hAnsi="仿宋_GB2312" w:eastAsia="仿宋_GB2312" w:cs="仿宋_GB2312"/>
                <w:color w:val="000000"/>
                <w:kern w:val="0"/>
                <w:sz w:val="18"/>
                <w:szCs w:val="18"/>
                <w:lang w:eastAsia="zh-CN" w:bidi="ar"/>
              </w:rPr>
            </w:pPr>
          </w:p>
        </w:tc>
        <w:tc>
          <w:tcPr>
            <w:tcW w:w="9035"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default" w:ascii="仿宋_GB2312" w:hAnsi="仿宋_GB2312" w:eastAsia="仿宋_GB2312" w:cs="仿宋_GB2312"/>
                <w:color w:val="000000"/>
                <w:kern w:val="0"/>
                <w:sz w:val="18"/>
                <w:szCs w:val="18"/>
                <w:lang w:eastAsia="zh-CN" w:bidi="ar"/>
              </w:rPr>
            </w:pPr>
            <w:r>
              <w:rPr>
                <w:rFonts w:hint="eastAsia" w:ascii="仿宋_GB2312" w:hAnsi="仿宋_GB2312" w:eastAsia="仿宋_GB2312" w:cs="仿宋_GB2312"/>
                <w:kern w:val="0"/>
                <w:sz w:val="18"/>
                <w:szCs w:val="18"/>
              </w:rPr>
              <w:t>以所有合格供应商评标价（评标价=报价截止时间前广东省发展和改革委员会公布的最新92号汽油的最高零售价格之每升单价-供应商的投标含税单价</w:t>
            </w:r>
            <w:bookmarkStart w:id="0" w:name="_GoBack"/>
            <w:bookmarkEnd w:id="0"/>
            <w:r>
              <w:rPr>
                <w:rFonts w:hint="eastAsia" w:ascii="仿宋_GB2312" w:hAnsi="仿宋_GB2312" w:eastAsia="仿宋_GB2312" w:cs="仿宋_GB2312"/>
                <w:kern w:val="0"/>
                <w:sz w:val="18"/>
                <w:szCs w:val="18"/>
              </w:rPr>
              <w:t>下浮报价）的最低价作为评分基准价。供应商的价格分按下式计算：价格分=（评分基准价/</w:t>
            </w:r>
            <w:r>
              <w:rPr>
                <w:rFonts w:hint="eastAsia" w:ascii="仿宋_GB2312" w:hAnsi="仿宋_GB2312" w:eastAsia="仿宋_GB2312" w:cs="仿宋_GB2312"/>
                <w:kern w:val="0"/>
                <w:sz w:val="18"/>
                <w:szCs w:val="18"/>
                <w:lang w:eastAsia="zh-CN"/>
              </w:rPr>
              <w:t>投标报价</w:t>
            </w:r>
            <w:r>
              <w:rPr>
                <w:rFonts w:hint="eastAsia" w:ascii="仿宋_GB2312" w:hAnsi="仿宋_GB2312" w:eastAsia="仿宋_GB2312" w:cs="仿宋_GB2312"/>
                <w:kern w:val="0"/>
                <w:sz w:val="18"/>
                <w:szCs w:val="18"/>
              </w:rPr>
              <w:t>）×</w:t>
            </w:r>
            <w:r>
              <w:rPr>
                <w:rFonts w:hint="eastAsia" w:ascii="仿宋_GB2312" w:hAnsi="仿宋_GB2312" w:eastAsia="仿宋_GB2312" w:cs="仿宋_GB2312"/>
                <w:kern w:val="0"/>
                <w:sz w:val="18"/>
                <w:szCs w:val="18"/>
                <w:lang w:val="en-US" w:eastAsia="zh-CN"/>
              </w:rPr>
              <w:t>30</w:t>
            </w:r>
            <w:r>
              <w:rPr>
                <w:rFonts w:hint="eastAsia" w:ascii="仿宋_GB2312" w:hAnsi="仿宋_GB2312" w:eastAsia="仿宋_GB2312" w:cs="仿宋_GB2312"/>
                <w:kern w:val="0"/>
                <w:sz w:val="18"/>
                <w:szCs w:val="18"/>
              </w:rPr>
              <w:t>（备注：计算过程及结果数字保留两位小数）。</w:t>
            </w:r>
            <w:r>
              <w:rPr>
                <w:rFonts w:hint="eastAsia" w:ascii="仿宋_GB2312" w:hAnsi="仿宋_GB2312" w:eastAsia="仿宋_GB2312" w:cs="仿宋_GB2312"/>
                <w:color w:val="FF0000"/>
                <w:kern w:val="0"/>
                <w:sz w:val="18"/>
                <w:szCs w:val="18"/>
                <w:lang w:val="en-US" w:eastAsia="zh-CN" w:bidi="ar"/>
              </w:rPr>
              <w:t xml:space="preserve"> 注：本项目最高得30分。</w:t>
            </w:r>
            <w:r>
              <w:rPr>
                <w:rFonts w:hint="default" w:ascii="仿宋_GB2312" w:hAnsi="仿宋_GB2312" w:eastAsia="仿宋_GB2312" w:cs="仿宋_GB2312"/>
                <w:color w:val="FF0000"/>
                <w:kern w:val="0"/>
                <w:sz w:val="18"/>
                <w:szCs w:val="18"/>
                <w:lang w:eastAsia="zh-CN" w:bidi="ar"/>
              </w:rPr>
              <w:t>按照</w:t>
            </w:r>
            <w:r>
              <w:rPr>
                <w:rFonts w:hint="eastAsia" w:ascii="仿宋_GB2312" w:hAnsi="仿宋_GB2312" w:eastAsia="仿宋_GB2312" w:cs="仿宋_GB2312"/>
                <w:color w:val="FF0000"/>
                <w:kern w:val="0"/>
                <w:sz w:val="18"/>
                <w:szCs w:val="18"/>
                <w:lang w:val="en-US" w:eastAsia="zh-CN" w:bidi="ar"/>
              </w:rPr>
              <w:t>承诺函格式</w:t>
            </w:r>
            <w:r>
              <w:rPr>
                <w:rFonts w:hint="default" w:ascii="仿宋_GB2312" w:hAnsi="仿宋_GB2312" w:eastAsia="仿宋_GB2312" w:cs="仿宋_GB2312"/>
                <w:color w:val="FF0000"/>
                <w:kern w:val="0"/>
                <w:sz w:val="18"/>
                <w:szCs w:val="18"/>
                <w:lang w:eastAsia="zh-CN" w:bidi="ar"/>
              </w:rPr>
              <w:t>承诺</w:t>
            </w:r>
            <w:r>
              <w:rPr>
                <w:rFonts w:hint="eastAsia" w:ascii="仿宋_GB2312" w:hAnsi="仿宋_GB2312" w:eastAsia="仿宋_GB2312" w:cs="仿宋_GB2312"/>
                <w:color w:val="FF0000"/>
                <w:kern w:val="0"/>
                <w:sz w:val="18"/>
                <w:szCs w:val="18"/>
                <w:lang w:val="en-US" w:eastAsia="zh-CN" w:bidi="ar"/>
              </w:rPr>
              <w:t>，不提供或提供的承诺不满足评审要求的，不得分</w:t>
            </w:r>
            <w:r>
              <w:rPr>
                <w:rFonts w:hint="eastAsia" w:ascii="仿宋_GB2312" w:hAnsi="仿宋_GB2312" w:eastAsia="仿宋_GB2312" w:cs="仿宋_GB2312"/>
                <w:color w:val="FF0000"/>
                <w:kern w:val="0"/>
                <w:sz w:val="18"/>
                <w:szCs w:val="18"/>
                <w:lang w:eastAsia="zh-CN" w:bidi="ar"/>
              </w:rPr>
              <w:t>。</w:t>
            </w:r>
          </w:p>
        </w:tc>
        <w:tc>
          <w:tcPr>
            <w:tcW w:w="1690"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c>
          <w:tcPr>
            <w:tcW w:w="1691" w:type="dxa"/>
            <w:gridSpan w:val="2"/>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9" w:hRule="atLeast"/>
        </w:trPr>
        <w:tc>
          <w:tcPr>
            <w:tcW w:w="585" w:type="dxa"/>
            <w:vMerge w:val="restar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eastAsia" w:ascii="仿宋_GB2312" w:hAnsi="仿宋_GB2312" w:eastAsia="仿宋_GB2312" w:cs="仿宋_GB2312"/>
                <w:color w:val="000000"/>
                <w:kern w:val="0"/>
                <w:sz w:val="18"/>
                <w:szCs w:val="18"/>
                <w:lang w:eastAsia="zh-CN" w:bidi="ar"/>
              </w:rPr>
            </w:pPr>
            <w:r>
              <w:rPr>
                <w:rFonts w:hint="eastAsia" w:ascii="仿宋_GB2312" w:hAnsi="仿宋_GB2312" w:eastAsia="仿宋_GB2312" w:cs="仿宋_GB2312"/>
                <w:color w:val="000000"/>
                <w:kern w:val="0"/>
                <w:sz w:val="18"/>
                <w:szCs w:val="18"/>
                <w:lang w:eastAsia="zh-CN" w:bidi="ar"/>
              </w:rPr>
              <w:t>技术部分</w:t>
            </w:r>
            <w:r>
              <w:rPr>
                <w:rFonts w:hint="default" w:ascii="仿宋_GB2312" w:hAnsi="仿宋_GB2312" w:eastAsia="仿宋_GB2312" w:cs="仿宋_GB2312"/>
                <w:color w:val="000000"/>
                <w:kern w:val="0"/>
                <w:sz w:val="18"/>
                <w:szCs w:val="18"/>
                <w:lang w:eastAsia="zh-CN" w:bidi="ar"/>
              </w:rPr>
              <w:t>（5</w:t>
            </w:r>
            <w:r>
              <w:rPr>
                <w:rFonts w:hint="eastAsia" w:ascii="仿宋_GB2312" w:hAnsi="仿宋_GB2312" w:eastAsia="仿宋_GB2312" w:cs="仿宋_GB2312"/>
                <w:color w:val="000000"/>
                <w:kern w:val="0"/>
                <w:sz w:val="18"/>
                <w:szCs w:val="18"/>
                <w:lang w:val="en-US" w:eastAsia="zh-CN" w:bidi="ar"/>
              </w:rPr>
              <w:t>5</w:t>
            </w:r>
            <w:r>
              <w:rPr>
                <w:rFonts w:hint="default" w:ascii="仿宋_GB2312" w:hAnsi="仿宋_GB2312" w:eastAsia="仿宋_GB2312" w:cs="仿宋_GB2312"/>
                <w:color w:val="000000"/>
                <w:kern w:val="0"/>
                <w:sz w:val="18"/>
                <w:szCs w:val="18"/>
                <w:lang w:eastAsia="zh-CN" w:bidi="ar"/>
              </w:rPr>
              <w:t>分）</w:t>
            </w:r>
          </w:p>
        </w:tc>
        <w:tc>
          <w:tcPr>
            <w:tcW w:w="107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eastAsia" w:ascii="仿宋_GB2312" w:hAnsi="仿宋_GB2312" w:eastAsia="仿宋_GB2312" w:cs="仿宋_GB2312"/>
                <w:color w:val="000000"/>
                <w:kern w:val="0"/>
                <w:sz w:val="18"/>
                <w:szCs w:val="18"/>
                <w:lang w:eastAsia="zh-CN" w:bidi="ar"/>
              </w:rPr>
            </w:pPr>
            <w:r>
              <w:rPr>
                <w:rFonts w:hint="eastAsia" w:ascii="仿宋_GB2312" w:hAnsi="仿宋_GB2312" w:eastAsia="仿宋_GB2312" w:cs="仿宋_GB2312"/>
                <w:color w:val="000000"/>
                <w:kern w:val="0"/>
                <w:sz w:val="18"/>
                <w:szCs w:val="18"/>
                <w:lang w:eastAsia="zh-CN" w:bidi="ar"/>
              </w:rPr>
              <w:t>服务实施方案</w:t>
            </w:r>
            <w:r>
              <w:rPr>
                <w:rFonts w:hint="default" w:ascii="仿宋_GB2312" w:hAnsi="仿宋_GB2312" w:eastAsia="仿宋_GB2312" w:cs="仿宋_GB2312"/>
                <w:color w:val="000000"/>
                <w:kern w:val="0"/>
                <w:sz w:val="18"/>
                <w:szCs w:val="18"/>
                <w:lang w:eastAsia="zh-CN" w:bidi="ar"/>
              </w:rPr>
              <w:t>（1</w:t>
            </w:r>
            <w:r>
              <w:rPr>
                <w:rFonts w:hint="eastAsia" w:ascii="仿宋_GB2312" w:hAnsi="仿宋_GB2312" w:eastAsia="仿宋_GB2312" w:cs="仿宋_GB2312"/>
                <w:color w:val="000000"/>
                <w:kern w:val="0"/>
                <w:sz w:val="18"/>
                <w:szCs w:val="18"/>
                <w:lang w:val="en-US" w:eastAsia="zh-CN" w:bidi="ar"/>
              </w:rPr>
              <w:t>5</w:t>
            </w:r>
            <w:r>
              <w:rPr>
                <w:rFonts w:hint="default" w:ascii="仿宋_GB2312" w:hAnsi="仿宋_GB2312" w:eastAsia="仿宋_GB2312" w:cs="仿宋_GB2312"/>
                <w:color w:val="000000"/>
                <w:kern w:val="0"/>
                <w:sz w:val="18"/>
                <w:szCs w:val="18"/>
                <w:lang w:eastAsia="zh-CN" w:bidi="ar"/>
              </w:rPr>
              <w:t>分）</w:t>
            </w:r>
          </w:p>
        </w:tc>
        <w:tc>
          <w:tcPr>
            <w:tcW w:w="9035"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val="en-US" w:eastAsia="zh-CN" w:bidi="ar"/>
              </w:rPr>
            </w:pPr>
            <w:r>
              <w:rPr>
                <w:rFonts w:hint="eastAsia" w:ascii="仿宋_GB2312" w:hAnsi="仿宋_GB2312" w:eastAsia="仿宋_GB2312" w:cs="仿宋_GB2312"/>
                <w:color w:val="000000"/>
                <w:kern w:val="0"/>
                <w:sz w:val="18"/>
                <w:szCs w:val="18"/>
                <w:lang w:val="en-US" w:eastAsia="zh-CN" w:bidi="ar"/>
              </w:rPr>
              <w:t>服务实施方案（包括且不限于加油服务的管理、对一车一卡绑定、核对车牌的操作过程、加油服务运作流程、加油人员设置等）进行评审： 1、服务实施方案内容完整、描述详细、清晰，满足采购需求，完全切合本项目实际，可行性强，合理性高，得15分。 2、服务实施方案内容完整、描述详细、清晰，满足采购需求，切合本项目实际，可行性较强，合理性较高，得10分。 3、服务实施方案内容较完整、描述详细，基本满足采购需求，基本切合本项目实际，有一定的可行性，得5分。 4、服务实施方案内容不完整、描述简单，不满足采购需求，可行性较差，得1分。</w:t>
            </w:r>
            <w:r>
              <w:rPr>
                <w:rFonts w:hint="eastAsia" w:ascii="仿宋_GB2312" w:hAnsi="仿宋_GB2312" w:eastAsia="仿宋_GB2312" w:cs="仿宋_GB2312"/>
                <w:color w:val="FF0000"/>
                <w:kern w:val="0"/>
                <w:sz w:val="18"/>
                <w:szCs w:val="18"/>
                <w:lang w:val="en-US" w:eastAsia="zh-CN" w:bidi="ar"/>
              </w:rPr>
              <w:t xml:space="preserve"> 注：不提供方案，不得分</w:t>
            </w:r>
            <w:r>
              <w:rPr>
                <w:rFonts w:hint="default" w:ascii="仿宋_GB2312" w:hAnsi="仿宋_GB2312" w:eastAsia="仿宋_GB2312" w:cs="仿宋_GB2312"/>
                <w:color w:val="FF0000"/>
                <w:kern w:val="0"/>
                <w:sz w:val="18"/>
                <w:szCs w:val="18"/>
                <w:lang w:eastAsia="zh-CN" w:bidi="ar"/>
              </w:rPr>
              <w:t>。</w:t>
            </w:r>
          </w:p>
        </w:tc>
        <w:tc>
          <w:tcPr>
            <w:tcW w:w="1690"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c>
          <w:tcPr>
            <w:tcW w:w="1691" w:type="dxa"/>
            <w:gridSpan w:val="2"/>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3" w:hRule="atLeast"/>
        </w:trPr>
        <w:tc>
          <w:tcPr>
            <w:tcW w:w="585" w:type="dxa"/>
            <w:vMerge w:val="continue"/>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c>
          <w:tcPr>
            <w:tcW w:w="107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eastAsia" w:ascii="仿宋_GB2312" w:hAnsi="仿宋_GB2312" w:eastAsia="仿宋_GB2312" w:cs="仿宋_GB2312"/>
                <w:color w:val="000000"/>
                <w:kern w:val="0"/>
                <w:sz w:val="18"/>
                <w:szCs w:val="18"/>
                <w:lang w:eastAsia="zh-CN" w:bidi="ar"/>
              </w:rPr>
            </w:pPr>
          </w:p>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eastAsia" w:ascii="仿宋_GB2312" w:hAnsi="仿宋_GB2312" w:eastAsia="仿宋_GB2312" w:cs="仿宋_GB2312"/>
                <w:color w:val="000000"/>
                <w:kern w:val="0"/>
                <w:sz w:val="18"/>
                <w:szCs w:val="18"/>
                <w:lang w:eastAsia="zh-CN" w:bidi="ar"/>
              </w:rPr>
            </w:pPr>
          </w:p>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default" w:ascii="仿宋_GB2312" w:hAnsi="仿宋_GB2312" w:eastAsia="仿宋_GB2312" w:cs="仿宋_GB2312"/>
                <w:color w:val="000000"/>
                <w:kern w:val="0"/>
                <w:sz w:val="18"/>
                <w:szCs w:val="18"/>
                <w:lang w:eastAsia="zh-CN" w:bidi="ar"/>
              </w:rPr>
            </w:pPr>
            <w:r>
              <w:rPr>
                <w:rFonts w:hint="eastAsia" w:ascii="仿宋_GB2312" w:hAnsi="仿宋_GB2312" w:eastAsia="仿宋_GB2312" w:cs="仿宋_GB2312"/>
                <w:color w:val="000000"/>
                <w:kern w:val="0"/>
                <w:sz w:val="18"/>
                <w:szCs w:val="18"/>
                <w:lang w:eastAsia="zh-CN" w:bidi="ar"/>
              </w:rPr>
              <w:t>应急保障方案</w:t>
            </w:r>
            <w:r>
              <w:rPr>
                <w:rFonts w:hint="default" w:ascii="仿宋_GB2312" w:hAnsi="仿宋_GB2312" w:eastAsia="仿宋_GB2312" w:cs="仿宋_GB2312"/>
                <w:color w:val="000000"/>
                <w:kern w:val="0"/>
                <w:sz w:val="18"/>
                <w:szCs w:val="18"/>
                <w:lang w:eastAsia="zh-CN" w:bidi="ar"/>
              </w:rPr>
              <w:t>（10分）</w:t>
            </w:r>
          </w:p>
        </w:tc>
        <w:tc>
          <w:tcPr>
            <w:tcW w:w="9035"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r>
              <w:rPr>
                <w:rFonts w:hint="eastAsia" w:ascii="仿宋_GB2312" w:hAnsi="仿宋_GB2312" w:eastAsia="仿宋_GB2312" w:cs="仿宋_GB2312"/>
                <w:color w:val="000000"/>
                <w:kern w:val="0"/>
                <w:sz w:val="18"/>
                <w:szCs w:val="18"/>
                <w:lang w:val="en-US" w:eastAsia="zh-CN" w:bidi="ar"/>
              </w:rPr>
              <w:t xml:space="preserve">响应供应商需针对本项目预测可能出现的如缺油等问题，提供应急方案，确保能在紧急情况下优先满足采购人公务车辆的加油需求： 1、方案内容完整全面完善、描述详细、清晰；所预测可能出现的问题完全贴合本项目加油服务特点，全面透彻；应急解决措施切合本项目实际，可行性强，合理性高的，得10分。 2、方案内容完整、描述详细、清晰；所预测可能出现的问题贴合本项目加油服务特点，考虑全面；应急解决措施切合本项目实际，可行性较强，比较合理的，得7分。 3、方案内容较完整、详细；所预测可能出现的问题基本符合本项目加油服务特点；应急解决措施基本符合本项目实际，有一定的可行性的，得4分。 4、方案内容不完整；所预测可能出现的问题难以体现其符合本项目加油服务特点；应急解决措施切合本项目实际程度低，其可行性较差的，得1分。 </w:t>
            </w:r>
            <w:r>
              <w:rPr>
                <w:rFonts w:hint="eastAsia" w:ascii="仿宋_GB2312" w:hAnsi="仿宋_GB2312" w:eastAsia="仿宋_GB2312" w:cs="仿宋_GB2312"/>
                <w:color w:val="FF0000"/>
                <w:kern w:val="0"/>
                <w:sz w:val="18"/>
                <w:szCs w:val="18"/>
                <w:lang w:val="en-US" w:eastAsia="zh-CN" w:bidi="ar"/>
              </w:rPr>
              <w:t>注：不提供方案，不得分。</w:t>
            </w:r>
            <w:r>
              <w:rPr>
                <w:rFonts w:hint="eastAsia" w:ascii="仿宋_GB2312" w:hAnsi="仿宋_GB2312" w:eastAsia="仿宋_GB2312" w:cs="仿宋_GB2312"/>
                <w:color w:val="000000"/>
                <w:kern w:val="0"/>
                <w:sz w:val="18"/>
                <w:szCs w:val="18"/>
                <w:lang w:val="en-US" w:eastAsia="zh-CN" w:bidi="ar"/>
              </w:rPr>
              <w:t xml:space="preserve"> </w:t>
            </w:r>
          </w:p>
        </w:tc>
        <w:tc>
          <w:tcPr>
            <w:tcW w:w="1690"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c>
          <w:tcPr>
            <w:tcW w:w="1691" w:type="dxa"/>
            <w:gridSpan w:val="2"/>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585" w:type="dxa"/>
            <w:vMerge w:val="continue"/>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c>
          <w:tcPr>
            <w:tcW w:w="107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default" w:ascii="仿宋_GB2312" w:hAnsi="仿宋_GB2312" w:eastAsia="仿宋_GB2312" w:cs="仿宋_GB2312"/>
                <w:sz w:val="18"/>
                <w:szCs w:val="18"/>
              </w:rPr>
            </w:pPr>
            <w:r>
              <w:rPr>
                <w:rFonts w:hint="eastAsia" w:ascii="仿宋_GB2312" w:hAnsi="仿宋_GB2312" w:eastAsia="仿宋_GB2312" w:cs="仿宋_GB2312"/>
                <w:color w:val="000000"/>
                <w:kern w:val="0"/>
                <w:sz w:val="18"/>
                <w:szCs w:val="18"/>
                <w:lang w:val="en-US" w:eastAsia="zh-CN" w:bidi="ar"/>
              </w:rPr>
              <w:t>质量保障方案</w:t>
            </w:r>
            <w:r>
              <w:rPr>
                <w:rFonts w:hint="default" w:ascii="仿宋_GB2312" w:hAnsi="仿宋_GB2312" w:eastAsia="仿宋_GB2312" w:cs="仿宋_GB2312"/>
                <w:color w:val="000000"/>
                <w:kern w:val="0"/>
                <w:sz w:val="18"/>
                <w:szCs w:val="18"/>
                <w:lang w:eastAsia="zh-CN" w:bidi="ar"/>
              </w:rPr>
              <w:t>（10分）</w:t>
            </w:r>
          </w:p>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eastAsia" w:ascii="仿宋_GB2312" w:hAnsi="仿宋_GB2312" w:eastAsia="仿宋_GB2312" w:cs="仿宋_GB2312"/>
                <w:color w:val="000000"/>
                <w:kern w:val="0"/>
                <w:sz w:val="18"/>
                <w:szCs w:val="18"/>
                <w:lang w:eastAsia="zh-CN" w:bidi="ar"/>
              </w:rPr>
            </w:pPr>
          </w:p>
        </w:tc>
        <w:tc>
          <w:tcPr>
            <w:tcW w:w="9035"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sz w:val="18"/>
                <w:szCs w:val="18"/>
              </w:rPr>
            </w:pPr>
            <w:r>
              <w:rPr>
                <w:rFonts w:hint="default" w:ascii="仿宋_GB2312" w:hAnsi="仿宋_GB2312" w:eastAsia="仿宋_GB2312" w:cs="仿宋_GB2312"/>
                <w:color w:val="000000"/>
                <w:kern w:val="0"/>
                <w:sz w:val="18"/>
                <w:szCs w:val="18"/>
                <w:lang w:eastAsia="zh-CN" w:bidi="ar"/>
              </w:rPr>
              <w:t>对</w:t>
            </w:r>
            <w:r>
              <w:rPr>
                <w:rFonts w:hint="eastAsia" w:ascii="仿宋_GB2312" w:hAnsi="仿宋_GB2312" w:eastAsia="仿宋_GB2312" w:cs="仿宋_GB2312"/>
                <w:color w:val="000000"/>
                <w:kern w:val="0"/>
                <w:sz w:val="18"/>
                <w:szCs w:val="18"/>
                <w:lang w:val="en-US" w:eastAsia="zh-CN" w:bidi="ar"/>
              </w:rPr>
              <w:t xml:space="preserve">质量保障方案（包括且不限于油站网点日常经营等全过程质量的保障措施等）进行评审： 1、方案内容完整全面完善、描述详细、清晰，满足采购需求，完全切合本项目实际，可行性强，合理性高，得10分。 2、方案内容完整、描述详细、清晰，满足采购需求，切合本项目实际，可行性较强，合理性较高，得7分。 3、方案内容较完整、描述详细，基本满足采购需求，基本切合本项目实际，有一定的可行性，得4分。 4、方案内容不完整 </w:t>
            </w:r>
          </w:p>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r>
              <w:rPr>
                <w:rFonts w:hint="eastAsia" w:ascii="仿宋_GB2312" w:hAnsi="仿宋_GB2312" w:eastAsia="仿宋_GB2312" w:cs="仿宋_GB2312"/>
                <w:color w:val="000000"/>
                <w:kern w:val="0"/>
                <w:sz w:val="18"/>
                <w:szCs w:val="18"/>
                <w:lang w:val="en-US" w:eastAsia="zh-CN" w:bidi="ar"/>
              </w:rPr>
              <w:t xml:space="preserve">、描述简单，不能完全满足采购需求，切合本项目实际程度低，可行性较差，得1分。 </w:t>
            </w:r>
            <w:r>
              <w:rPr>
                <w:rFonts w:hint="default" w:ascii="仿宋_GB2312" w:hAnsi="仿宋_GB2312" w:eastAsia="仿宋_GB2312" w:cs="仿宋_GB2312"/>
                <w:color w:val="FF0000"/>
                <w:kern w:val="0"/>
                <w:sz w:val="18"/>
                <w:szCs w:val="18"/>
                <w:lang w:eastAsia="zh-CN" w:bidi="ar"/>
              </w:rPr>
              <w:t>注：</w:t>
            </w:r>
            <w:r>
              <w:rPr>
                <w:rFonts w:hint="eastAsia" w:ascii="仿宋_GB2312" w:hAnsi="仿宋_GB2312" w:eastAsia="仿宋_GB2312" w:cs="仿宋_GB2312"/>
                <w:color w:val="FF0000"/>
                <w:kern w:val="0"/>
                <w:sz w:val="18"/>
                <w:szCs w:val="18"/>
                <w:lang w:val="en-US" w:eastAsia="zh-CN" w:bidi="ar"/>
              </w:rPr>
              <w:t xml:space="preserve">不提供方案，不得分。 </w:t>
            </w:r>
          </w:p>
        </w:tc>
        <w:tc>
          <w:tcPr>
            <w:tcW w:w="1690"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c>
          <w:tcPr>
            <w:tcW w:w="1691" w:type="dxa"/>
            <w:gridSpan w:val="2"/>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0" w:hRule="atLeast"/>
        </w:trPr>
        <w:tc>
          <w:tcPr>
            <w:tcW w:w="585" w:type="dxa"/>
            <w:vMerge w:val="continue"/>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c>
          <w:tcPr>
            <w:tcW w:w="107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eastAsia" w:ascii="仿宋_GB2312" w:hAnsi="仿宋_GB2312" w:eastAsia="仿宋_GB2312" w:cs="仿宋_GB2312"/>
                <w:color w:val="000000"/>
                <w:kern w:val="0"/>
                <w:sz w:val="18"/>
                <w:szCs w:val="18"/>
                <w:lang w:eastAsia="zh-CN" w:bidi="ar"/>
              </w:rPr>
            </w:pPr>
            <w:r>
              <w:rPr>
                <w:rFonts w:hint="eastAsia" w:ascii="仿宋_GB2312" w:hAnsi="仿宋_GB2312" w:eastAsia="仿宋_GB2312" w:cs="仿宋_GB2312"/>
                <w:color w:val="000000"/>
                <w:kern w:val="0"/>
                <w:sz w:val="18"/>
                <w:szCs w:val="18"/>
                <w:lang w:val="en-US" w:eastAsia="zh-CN" w:bidi="ar"/>
              </w:rPr>
              <w:t>服务便利性</w:t>
            </w:r>
            <w:r>
              <w:rPr>
                <w:rFonts w:hint="default" w:ascii="仿宋_GB2312" w:hAnsi="仿宋_GB2312" w:eastAsia="仿宋_GB2312" w:cs="仿宋_GB2312"/>
                <w:color w:val="000000"/>
                <w:kern w:val="0"/>
                <w:sz w:val="18"/>
                <w:szCs w:val="18"/>
                <w:lang w:eastAsia="zh-CN" w:bidi="ar"/>
              </w:rPr>
              <w:t>（2</w:t>
            </w:r>
            <w:r>
              <w:rPr>
                <w:rFonts w:hint="eastAsia" w:ascii="仿宋_GB2312" w:hAnsi="仿宋_GB2312" w:eastAsia="仿宋_GB2312" w:cs="仿宋_GB2312"/>
                <w:color w:val="000000"/>
                <w:kern w:val="0"/>
                <w:sz w:val="18"/>
                <w:szCs w:val="18"/>
                <w:lang w:val="en-US" w:eastAsia="zh-CN" w:bidi="ar"/>
              </w:rPr>
              <w:t>0</w:t>
            </w:r>
            <w:r>
              <w:rPr>
                <w:rFonts w:hint="default" w:ascii="仿宋_GB2312" w:hAnsi="仿宋_GB2312" w:eastAsia="仿宋_GB2312" w:cs="仿宋_GB2312"/>
                <w:color w:val="000000"/>
                <w:kern w:val="0"/>
                <w:sz w:val="18"/>
                <w:szCs w:val="18"/>
                <w:lang w:eastAsia="zh-CN" w:bidi="ar"/>
              </w:rPr>
              <w:t>分）</w:t>
            </w:r>
          </w:p>
        </w:tc>
        <w:tc>
          <w:tcPr>
            <w:tcW w:w="9035"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default" w:ascii="仿宋_GB2312" w:hAnsi="仿宋_GB2312" w:eastAsia="仿宋_GB2312" w:cs="仿宋_GB2312"/>
                <w:color w:val="000000"/>
                <w:kern w:val="0"/>
                <w:sz w:val="18"/>
                <w:szCs w:val="18"/>
                <w:lang w:eastAsia="zh-CN" w:bidi="ar"/>
              </w:rPr>
            </w:pPr>
            <w:r>
              <w:rPr>
                <w:rFonts w:hint="eastAsia" w:ascii="仿宋_GB2312" w:hAnsi="仿宋_GB2312" w:eastAsia="仿宋_GB2312" w:cs="仿宋_GB2312"/>
                <w:color w:val="000000"/>
                <w:kern w:val="0"/>
                <w:sz w:val="18"/>
                <w:szCs w:val="18"/>
                <w:lang w:val="en-US" w:eastAsia="zh-CN" w:bidi="ar"/>
              </w:rPr>
              <w:t>对加油站便利性情况进行评审</w:t>
            </w:r>
            <w:r>
              <w:rPr>
                <w:rFonts w:hint="default" w:ascii="仿宋_GB2312" w:hAnsi="仿宋_GB2312" w:eastAsia="仿宋_GB2312" w:cs="仿宋_GB2312"/>
                <w:color w:val="000000"/>
                <w:kern w:val="0"/>
                <w:sz w:val="18"/>
                <w:szCs w:val="18"/>
                <w:lang w:eastAsia="zh-CN" w:bidi="ar"/>
              </w:rPr>
              <w:t>：1.</w:t>
            </w:r>
            <w:r>
              <w:rPr>
                <w:rFonts w:hint="eastAsia" w:ascii="仿宋_GB2312" w:hAnsi="仿宋_GB2312" w:eastAsia="仿宋_GB2312" w:cs="仿宋_GB2312"/>
                <w:color w:val="000000"/>
                <w:kern w:val="0"/>
                <w:sz w:val="18"/>
                <w:szCs w:val="18"/>
                <w:lang w:val="en-US" w:eastAsia="zh-CN" w:bidi="ar"/>
              </w:rPr>
              <w:t>加油站地址</w:t>
            </w:r>
            <w:r>
              <w:rPr>
                <w:rFonts w:hint="default" w:ascii="仿宋_GB2312" w:hAnsi="仿宋_GB2312" w:eastAsia="仿宋_GB2312" w:cs="仿宋_GB2312"/>
                <w:color w:val="000000"/>
                <w:kern w:val="0"/>
                <w:sz w:val="18"/>
                <w:szCs w:val="18"/>
                <w:lang w:eastAsia="zh-CN" w:bidi="ar"/>
              </w:rPr>
              <w:t>距离采购人所在位置</w:t>
            </w:r>
            <w:r>
              <w:rPr>
                <w:rFonts w:hint="eastAsia" w:ascii="仿宋_GB2312" w:hAnsi="仿宋_GB2312" w:eastAsia="仿宋_GB2312" w:cs="仿宋_GB2312"/>
                <w:color w:val="000000"/>
                <w:kern w:val="0"/>
                <w:sz w:val="18"/>
                <w:szCs w:val="18"/>
                <w:lang w:val="en-US" w:eastAsia="zh-CN" w:bidi="ar"/>
              </w:rPr>
              <w:t>的半径距离（以第三方地图直线距离为半径距离）半径在</w:t>
            </w:r>
            <w:r>
              <w:rPr>
                <w:rFonts w:hint="default" w:ascii="仿宋_GB2312" w:hAnsi="仿宋_GB2312" w:eastAsia="仿宋_GB2312" w:cs="仿宋_GB2312"/>
                <w:color w:val="000000"/>
                <w:kern w:val="0"/>
                <w:sz w:val="18"/>
                <w:szCs w:val="18"/>
                <w:lang w:eastAsia="zh-CN" w:bidi="ar"/>
              </w:rPr>
              <w:t>3</w:t>
            </w:r>
            <w:r>
              <w:rPr>
                <w:rFonts w:hint="eastAsia" w:ascii="仿宋_GB2312" w:hAnsi="仿宋_GB2312" w:eastAsia="仿宋_GB2312" w:cs="仿宋_GB2312"/>
                <w:color w:val="000000"/>
                <w:kern w:val="0"/>
                <w:sz w:val="18"/>
                <w:szCs w:val="18"/>
                <w:lang w:val="en-US" w:eastAsia="zh-CN" w:bidi="ar"/>
              </w:rPr>
              <w:t>公里</w:t>
            </w:r>
            <w:r>
              <w:rPr>
                <w:rFonts w:hint="default" w:ascii="仿宋_GB2312" w:hAnsi="仿宋_GB2312" w:eastAsia="仿宋_GB2312" w:cs="仿宋_GB2312"/>
                <w:color w:val="000000"/>
                <w:kern w:val="0"/>
                <w:sz w:val="18"/>
                <w:szCs w:val="18"/>
                <w:lang w:eastAsia="zh-CN" w:bidi="ar"/>
              </w:rPr>
              <w:t>范围内的加油站数量多少</w:t>
            </w:r>
            <w:r>
              <w:rPr>
                <w:rFonts w:hint="eastAsia" w:ascii="仿宋_GB2312" w:hAnsi="仿宋_GB2312" w:eastAsia="仿宋_GB2312" w:cs="仿宋_GB2312"/>
                <w:color w:val="000000"/>
                <w:kern w:val="0"/>
                <w:sz w:val="18"/>
                <w:szCs w:val="18"/>
                <w:lang w:val="en-US" w:eastAsia="zh-CN" w:bidi="ar"/>
              </w:rPr>
              <w:t>，按以下标准得分：</w:t>
            </w:r>
            <w:r>
              <w:rPr>
                <w:rFonts w:hint="default" w:ascii="仿宋_GB2312" w:hAnsi="仿宋_GB2312" w:eastAsia="仿宋_GB2312" w:cs="仿宋_GB2312"/>
                <w:color w:val="000000"/>
                <w:kern w:val="0"/>
                <w:sz w:val="18"/>
                <w:szCs w:val="18"/>
                <w:lang w:eastAsia="zh-CN" w:bidi="ar"/>
              </w:rPr>
              <w:t>超过5座（含）以上</w:t>
            </w:r>
            <w:r>
              <w:rPr>
                <w:rFonts w:hint="eastAsia" w:ascii="仿宋_GB2312" w:hAnsi="仿宋_GB2312" w:eastAsia="仿宋_GB2312" w:cs="仿宋_GB2312"/>
                <w:color w:val="000000"/>
                <w:kern w:val="0"/>
                <w:sz w:val="18"/>
                <w:szCs w:val="18"/>
                <w:lang w:val="en-US" w:eastAsia="zh-CN" w:bidi="ar"/>
              </w:rPr>
              <w:t>得</w:t>
            </w:r>
            <w:r>
              <w:rPr>
                <w:rFonts w:hint="default" w:ascii="仿宋_GB2312" w:hAnsi="仿宋_GB2312" w:eastAsia="仿宋_GB2312" w:cs="仿宋_GB2312"/>
                <w:color w:val="000000"/>
                <w:kern w:val="0"/>
                <w:sz w:val="18"/>
                <w:szCs w:val="18"/>
                <w:lang w:eastAsia="zh-CN" w:bidi="ar"/>
              </w:rPr>
              <w:t>10</w:t>
            </w:r>
            <w:r>
              <w:rPr>
                <w:rFonts w:hint="eastAsia" w:ascii="仿宋_GB2312" w:hAnsi="仿宋_GB2312" w:eastAsia="仿宋_GB2312" w:cs="仿宋_GB2312"/>
                <w:color w:val="000000"/>
                <w:kern w:val="0"/>
                <w:sz w:val="18"/>
                <w:szCs w:val="18"/>
                <w:lang w:val="en-US" w:eastAsia="zh-CN" w:bidi="ar"/>
              </w:rPr>
              <w:t>分</w:t>
            </w:r>
            <w:r>
              <w:rPr>
                <w:rFonts w:hint="default" w:ascii="仿宋_GB2312" w:hAnsi="仿宋_GB2312" w:eastAsia="仿宋_GB2312" w:cs="仿宋_GB2312"/>
                <w:color w:val="000000"/>
                <w:kern w:val="0"/>
                <w:sz w:val="18"/>
                <w:szCs w:val="18"/>
                <w:lang w:eastAsia="zh-CN" w:bidi="ar"/>
              </w:rPr>
              <w:t>；3-4座得8分，1-2座得5分。2.以在江门市辖区内（四市三区）的加油站点总数量最多的得1</w:t>
            </w:r>
            <w:r>
              <w:rPr>
                <w:rFonts w:hint="eastAsia" w:ascii="仿宋_GB2312" w:hAnsi="仿宋_GB2312" w:eastAsia="仿宋_GB2312" w:cs="仿宋_GB2312"/>
                <w:color w:val="000000"/>
                <w:kern w:val="0"/>
                <w:sz w:val="18"/>
                <w:szCs w:val="18"/>
                <w:lang w:val="en-US" w:eastAsia="zh-CN" w:bidi="ar"/>
              </w:rPr>
              <w:t>0</w:t>
            </w:r>
            <w:r>
              <w:rPr>
                <w:rFonts w:hint="default" w:ascii="仿宋_GB2312" w:hAnsi="仿宋_GB2312" w:eastAsia="仿宋_GB2312" w:cs="仿宋_GB2312"/>
                <w:color w:val="000000"/>
                <w:kern w:val="0"/>
                <w:sz w:val="18"/>
                <w:szCs w:val="18"/>
                <w:lang w:eastAsia="zh-CN" w:bidi="ar"/>
              </w:rPr>
              <w:t>分，</w:t>
            </w:r>
            <w:r>
              <w:rPr>
                <w:rFonts w:hint="eastAsia" w:ascii="仿宋_GB2312" w:hAnsi="仿宋_GB2312" w:eastAsia="仿宋_GB2312" w:cs="仿宋_GB2312"/>
                <w:kern w:val="0"/>
                <w:sz w:val="18"/>
                <w:szCs w:val="18"/>
              </w:rPr>
              <w:t>其余投标者分数=（投标</w:t>
            </w:r>
            <w:r>
              <w:rPr>
                <w:rFonts w:hint="default" w:ascii="仿宋_GB2312" w:hAnsi="仿宋_GB2312" w:eastAsia="仿宋_GB2312" w:cs="仿宋_GB2312"/>
                <w:kern w:val="0"/>
                <w:sz w:val="18"/>
                <w:szCs w:val="18"/>
              </w:rPr>
              <w:t>加油站数量</w:t>
            </w:r>
            <w:r>
              <w:rPr>
                <w:rFonts w:hint="eastAsia" w:ascii="仿宋_GB2312" w:hAnsi="仿宋_GB2312" w:eastAsia="仿宋_GB2312" w:cs="仿宋_GB2312"/>
                <w:kern w:val="0"/>
                <w:sz w:val="18"/>
                <w:szCs w:val="18"/>
              </w:rPr>
              <w:t>/最高</w:t>
            </w:r>
            <w:r>
              <w:rPr>
                <w:rFonts w:hint="default" w:ascii="仿宋_GB2312" w:hAnsi="仿宋_GB2312" w:eastAsia="仿宋_GB2312" w:cs="仿宋_GB2312"/>
                <w:kern w:val="0"/>
                <w:sz w:val="18"/>
                <w:szCs w:val="18"/>
              </w:rPr>
              <w:t>加油站数量</w:t>
            </w:r>
            <w:r>
              <w:rPr>
                <w:rFonts w:hint="eastAsia" w:ascii="仿宋_GB2312" w:hAnsi="仿宋_GB2312" w:eastAsia="仿宋_GB2312" w:cs="仿宋_GB2312"/>
                <w:kern w:val="0"/>
                <w:sz w:val="18"/>
                <w:szCs w:val="18"/>
              </w:rPr>
              <w:t>）×1</w:t>
            </w:r>
            <w:r>
              <w:rPr>
                <w:rFonts w:hint="eastAsia" w:ascii="仿宋_GB2312" w:hAnsi="仿宋_GB2312" w:eastAsia="仿宋_GB2312" w:cs="仿宋_GB2312"/>
                <w:kern w:val="0"/>
                <w:sz w:val="18"/>
                <w:szCs w:val="18"/>
                <w:lang w:val="en-US" w:eastAsia="zh-CN"/>
              </w:rPr>
              <w:t>0</w:t>
            </w:r>
            <w:r>
              <w:rPr>
                <w:rFonts w:hint="eastAsia" w:ascii="仿宋_GB2312" w:hAnsi="仿宋_GB2312" w:eastAsia="仿宋_GB2312" w:cs="仿宋_GB2312"/>
                <w:kern w:val="0"/>
                <w:sz w:val="18"/>
                <w:szCs w:val="18"/>
              </w:rPr>
              <w:t>（注：计算过程及结果数字保留两位小数）。</w:t>
            </w:r>
          </w:p>
        </w:tc>
        <w:tc>
          <w:tcPr>
            <w:tcW w:w="1690"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c>
          <w:tcPr>
            <w:tcW w:w="1691" w:type="dxa"/>
            <w:gridSpan w:val="2"/>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trPr>
        <w:tc>
          <w:tcPr>
            <w:tcW w:w="585" w:type="dxa"/>
            <w:vMerge w:val="restar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default" w:ascii="仿宋_GB2312" w:hAnsi="仿宋_GB2312" w:eastAsia="仿宋_GB2312" w:cs="仿宋_GB2312"/>
                <w:sz w:val="18"/>
                <w:szCs w:val="18"/>
              </w:rPr>
            </w:pPr>
            <w:r>
              <w:rPr>
                <w:rFonts w:hint="eastAsia" w:ascii="仿宋_GB2312" w:hAnsi="仿宋_GB2312" w:eastAsia="仿宋_GB2312" w:cs="仿宋_GB2312"/>
                <w:color w:val="000000"/>
                <w:kern w:val="0"/>
                <w:sz w:val="18"/>
                <w:szCs w:val="18"/>
                <w:lang w:val="en-US" w:eastAsia="zh-CN" w:bidi="ar"/>
              </w:rPr>
              <w:t>商务部分</w:t>
            </w:r>
            <w:r>
              <w:rPr>
                <w:rFonts w:hint="default" w:ascii="仿宋_GB2312" w:hAnsi="仿宋_GB2312" w:eastAsia="仿宋_GB2312" w:cs="仿宋_GB2312"/>
                <w:color w:val="000000"/>
                <w:kern w:val="0"/>
                <w:sz w:val="18"/>
                <w:szCs w:val="18"/>
                <w:lang w:eastAsia="zh-CN" w:bidi="ar"/>
              </w:rPr>
              <w:t>（</w:t>
            </w:r>
            <w:r>
              <w:rPr>
                <w:rFonts w:hint="eastAsia" w:ascii="仿宋_GB2312" w:hAnsi="仿宋_GB2312" w:eastAsia="仿宋_GB2312" w:cs="仿宋_GB2312"/>
                <w:color w:val="000000"/>
                <w:kern w:val="0"/>
                <w:sz w:val="18"/>
                <w:szCs w:val="18"/>
                <w:lang w:val="en-US" w:eastAsia="zh-CN" w:bidi="ar"/>
              </w:rPr>
              <w:t>15</w:t>
            </w:r>
            <w:r>
              <w:rPr>
                <w:rFonts w:hint="default" w:ascii="仿宋_GB2312" w:hAnsi="仿宋_GB2312" w:eastAsia="仿宋_GB2312" w:cs="仿宋_GB2312"/>
                <w:color w:val="000000"/>
                <w:kern w:val="0"/>
                <w:sz w:val="18"/>
                <w:szCs w:val="18"/>
                <w:lang w:eastAsia="zh-CN" w:bidi="ar"/>
              </w:rPr>
              <w:t>分）</w:t>
            </w:r>
          </w:p>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eastAsia" w:ascii="仿宋_GB2312" w:hAnsi="仿宋_GB2312" w:eastAsia="仿宋_GB2312" w:cs="仿宋_GB2312"/>
                <w:color w:val="000000"/>
                <w:kern w:val="0"/>
                <w:sz w:val="18"/>
                <w:szCs w:val="18"/>
                <w:lang w:eastAsia="zh-CN" w:bidi="ar"/>
              </w:rPr>
            </w:pPr>
          </w:p>
        </w:tc>
        <w:tc>
          <w:tcPr>
            <w:tcW w:w="107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eastAsia" w:ascii="仿宋_GB2312" w:hAnsi="仿宋_GB2312" w:eastAsia="仿宋_GB2312" w:cs="仿宋_GB2312"/>
                <w:color w:val="000000"/>
                <w:kern w:val="0"/>
                <w:sz w:val="18"/>
                <w:szCs w:val="18"/>
                <w:lang w:eastAsia="zh-CN" w:bidi="ar"/>
              </w:rPr>
            </w:pPr>
            <w:r>
              <w:rPr>
                <w:rFonts w:hint="eastAsia" w:ascii="仿宋_GB2312" w:hAnsi="仿宋_GB2312" w:eastAsia="仿宋_GB2312" w:cs="仿宋_GB2312"/>
                <w:color w:val="000000"/>
                <w:kern w:val="0"/>
                <w:sz w:val="18"/>
                <w:szCs w:val="18"/>
                <w:lang w:val="en-US" w:eastAsia="zh-CN" w:bidi="ar"/>
              </w:rPr>
              <w:t>认证证书</w:t>
            </w:r>
            <w:r>
              <w:rPr>
                <w:rFonts w:hint="default" w:ascii="仿宋_GB2312" w:hAnsi="仿宋_GB2312" w:eastAsia="仿宋_GB2312" w:cs="仿宋_GB2312"/>
                <w:color w:val="000000"/>
                <w:kern w:val="0"/>
                <w:sz w:val="18"/>
                <w:szCs w:val="18"/>
                <w:lang w:eastAsia="zh-CN" w:bidi="ar"/>
              </w:rPr>
              <w:t>（</w:t>
            </w:r>
            <w:r>
              <w:rPr>
                <w:rFonts w:hint="eastAsia" w:ascii="仿宋_GB2312" w:hAnsi="仿宋_GB2312" w:eastAsia="仿宋_GB2312" w:cs="仿宋_GB2312"/>
                <w:color w:val="000000"/>
                <w:kern w:val="0"/>
                <w:sz w:val="18"/>
                <w:szCs w:val="18"/>
                <w:lang w:val="en-US" w:eastAsia="zh-CN" w:bidi="ar"/>
              </w:rPr>
              <w:t>5</w:t>
            </w:r>
            <w:r>
              <w:rPr>
                <w:rFonts w:hint="default" w:ascii="仿宋_GB2312" w:hAnsi="仿宋_GB2312" w:eastAsia="仿宋_GB2312" w:cs="仿宋_GB2312"/>
                <w:color w:val="000000"/>
                <w:kern w:val="0"/>
                <w:sz w:val="18"/>
                <w:szCs w:val="18"/>
                <w:lang w:eastAsia="zh-CN" w:bidi="ar"/>
              </w:rPr>
              <w:t>分）</w:t>
            </w:r>
          </w:p>
        </w:tc>
        <w:tc>
          <w:tcPr>
            <w:tcW w:w="9035"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r>
              <w:rPr>
                <w:rFonts w:hint="eastAsia" w:ascii="仿宋_GB2312" w:hAnsi="仿宋_GB2312" w:eastAsia="仿宋_GB2312" w:cs="仿宋_GB2312"/>
                <w:color w:val="000000"/>
                <w:kern w:val="0"/>
                <w:sz w:val="18"/>
                <w:szCs w:val="18"/>
                <w:lang w:val="en-US" w:eastAsia="zh-CN" w:bidi="ar"/>
              </w:rPr>
              <w:t xml:space="preserve">响应供应商获得以下处于有效期内的体系认证，每提供一项得2分，累计最高得5分。 1、质量管理体系认证证书； 2、环境管理体系认证证书； 3 、职业健康安全管理体系认证证书； </w:t>
            </w:r>
            <w:r>
              <w:rPr>
                <w:rFonts w:hint="eastAsia" w:ascii="仿宋_GB2312" w:hAnsi="仿宋_GB2312" w:eastAsia="仿宋_GB2312" w:cs="仿宋_GB2312"/>
                <w:color w:val="FF0000"/>
                <w:kern w:val="0"/>
                <w:sz w:val="18"/>
                <w:szCs w:val="18"/>
                <w:lang w:val="en-US" w:eastAsia="zh-CN" w:bidi="ar"/>
              </w:rPr>
              <w:t>注：提供证书扫描件</w:t>
            </w:r>
            <w:r>
              <w:rPr>
                <w:rFonts w:hint="default" w:ascii="仿宋_GB2312" w:hAnsi="仿宋_GB2312" w:eastAsia="仿宋_GB2312" w:cs="仿宋_GB2312"/>
                <w:color w:val="FF0000"/>
                <w:kern w:val="0"/>
                <w:sz w:val="18"/>
                <w:szCs w:val="18"/>
                <w:lang w:eastAsia="zh-CN" w:bidi="ar"/>
              </w:rPr>
              <w:t>，</w:t>
            </w:r>
            <w:r>
              <w:rPr>
                <w:rFonts w:hint="eastAsia" w:ascii="仿宋_GB2312" w:hAnsi="仿宋_GB2312" w:eastAsia="仿宋_GB2312" w:cs="仿宋_GB2312"/>
                <w:color w:val="FF0000"/>
                <w:kern w:val="0"/>
                <w:sz w:val="18"/>
                <w:szCs w:val="18"/>
                <w:lang w:val="en-US" w:eastAsia="zh-CN" w:bidi="ar"/>
              </w:rPr>
              <w:t>不提供不得分。</w:t>
            </w:r>
          </w:p>
        </w:tc>
        <w:tc>
          <w:tcPr>
            <w:tcW w:w="1690"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c>
          <w:tcPr>
            <w:tcW w:w="1691" w:type="dxa"/>
            <w:gridSpan w:val="2"/>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trPr>
        <w:tc>
          <w:tcPr>
            <w:tcW w:w="585" w:type="dxa"/>
            <w:vMerge w:val="continue"/>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c>
          <w:tcPr>
            <w:tcW w:w="107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eastAsia" w:ascii="仿宋_GB2312" w:hAnsi="仿宋_GB2312" w:eastAsia="仿宋_GB2312" w:cs="仿宋_GB2312"/>
                <w:color w:val="000000"/>
                <w:kern w:val="0"/>
                <w:sz w:val="18"/>
                <w:szCs w:val="18"/>
                <w:lang w:eastAsia="zh-CN" w:bidi="ar"/>
              </w:rPr>
            </w:pPr>
            <w:r>
              <w:rPr>
                <w:rFonts w:hint="eastAsia" w:ascii="仿宋_GB2312" w:hAnsi="仿宋_GB2312" w:eastAsia="仿宋_GB2312" w:cs="仿宋_GB2312"/>
                <w:color w:val="000000"/>
                <w:kern w:val="0"/>
                <w:sz w:val="18"/>
                <w:szCs w:val="18"/>
                <w:lang w:val="en-US" w:eastAsia="zh-CN" w:bidi="ar"/>
              </w:rPr>
              <w:t>同类项目业绩经验</w:t>
            </w:r>
            <w:r>
              <w:rPr>
                <w:rFonts w:hint="default" w:ascii="仿宋_GB2312" w:hAnsi="仿宋_GB2312" w:eastAsia="仿宋_GB2312" w:cs="仿宋_GB2312"/>
                <w:color w:val="000000"/>
                <w:kern w:val="0"/>
                <w:sz w:val="18"/>
                <w:szCs w:val="18"/>
                <w:lang w:eastAsia="zh-CN" w:bidi="ar"/>
              </w:rPr>
              <w:t>（</w:t>
            </w:r>
            <w:r>
              <w:rPr>
                <w:rFonts w:hint="eastAsia" w:ascii="仿宋_GB2312" w:hAnsi="仿宋_GB2312" w:eastAsia="仿宋_GB2312" w:cs="仿宋_GB2312"/>
                <w:color w:val="000000"/>
                <w:kern w:val="0"/>
                <w:sz w:val="18"/>
                <w:szCs w:val="18"/>
                <w:lang w:val="en-US" w:eastAsia="zh-CN" w:bidi="ar"/>
              </w:rPr>
              <w:t>5</w:t>
            </w:r>
            <w:r>
              <w:rPr>
                <w:rFonts w:hint="default" w:ascii="仿宋_GB2312" w:hAnsi="仿宋_GB2312" w:eastAsia="仿宋_GB2312" w:cs="仿宋_GB2312"/>
                <w:color w:val="000000"/>
                <w:kern w:val="0"/>
                <w:sz w:val="18"/>
                <w:szCs w:val="18"/>
                <w:lang w:eastAsia="zh-CN" w:bidi="ar"/>
              </w:rPr>
              <w:t>分）</w:t>
            </w:r>
          </w:p>
        </w:tc>
        <w:tc>
          <w:tcPr>
            <w:tcW w:w="9035"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r>
              <w:rPr>
                <w:rFonts w:hint="eastAsia" w:ascii="仿宋_GB2312" w:hAnsi="仿宋_GB2312" w:eastAsia="仿宋_GB2312" w:cs="仿宋_GB2312"/>
                <w:color w:val="000000"/>
                <w:kern w:val="0"/>
                <w:sz w:val="18"/>
                <w:szCs w:val="18"/>
                <w:lang w:val="en-US" w:eastAsia="zh-CN" w:bidi="ar"/>
              </w:rPr>
              <w:t>2024年1月1日至今（以合同签订时间为准），响应供应商承接的燃油供应（或燃油定点供应）相关同类项目业绩，每一项业绩得1分，最高得分不超过5分。 注：提供以上业绩对应的合同关键页（包括且不限于项目名称、项目内容、签订时间、双方盖章页）扫描件。不提供或未能有效反映评审内容的不得分。</w:t>
            </w:r>
            <w:r>
              <w:rPr>
                <w:rFonts w:hint="eastAsia" w:ascii="仿宋_GB2312" w:hAnsi="仿宋_GB2312" w:eastAsia="仿宋_GB2312" w:cs="仿宋_GB2312"/>
                <w:color w:val="FF0000"/>
                <w:kern w:val="0"/>
                <w:sz w:val="18"/>
                <w:szCs w:val="18"/>
                <w:lang w:val="en-US" w:eastAsia="zh-CN" w:bidi="ar"/>
              </w:rPr>
              <w:t>不同年度的同一甲方的同一项目仅计算一次。</w:t>
            </w:r>
            <w:r>
              <w:rPr>
                <w:rFonts w:hint="eastAsia" w:ascii="仿宋_GB2312" w:hAnsi="仿宋_GB2312" w:eastAsia="仿宋_GB2312" w:cs="仿宋_GB2312"/>
                <w:color w:val="000000"/>
                <w:kern w:val="0"/>
                <w:sz w:val="18"/>
                <w:szCs w:val="18"/>
                <w:lang w:val="en-US" w:eastAsia="zh-CN" w:bidi="ar"/>
              </w:rPr>
              <w:t xml:space="preserve"> </w:t>
            </w:r>
          </w:p>
        </w:tc>
        <w:tc>
          <w:tcPr>
            <w:tcW w:w="1690"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c>
          <w:tcPr>
            <w:tcW w:w="1691" w:type="dxa"/>
            <w:gridSpan w:val="2"/>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585" w:type="dxa"/>
            <w:vMerge w:val="continue"/>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c>
          <w:tcPr>
            <w:tcW w:w="1073"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default" w:ascii="仿宋_GB2312" w:hAnsi="仿宋_GB2312" w:eastAsia="仿宋_GB2312" w:cs="仿宋_GB2312"/>
                <w:sz w:val="18"/>
                <w:szCs w:val="18"/>
              </w:rPr>
            </w:pPr>
            <w:r>
              <w:rPr>
                <w:rFonts w:hint="eastAsia" w:ascii="仿宋_GB2312" w:hAnsi="仿宋_GB2312" w:eastAsia="仿宋_GB2312" w:cs="仿宋_GB2312"/>
                <w:color w:val="000000"/>
                <w:kern w:val="0"/>
                <w:sz w:val="18"/>
                <w:szCs w:val="18"/>
                <w:lang w:val="en-US" w:eastAsia="zh-CN" w:bidi="ar"/>
              </w:rPr>
              <w:t>企业荣誉</w:t>
            </w:r>
            <w:r>
              <w:rPr>
                <w:rFonts w:hint="default" w:ascii="仿宋_GB2312" w:hAnsi="仿宋_GB2312" w:eastAsia="仿宋_GB2312" w:cs="仿宋_GB2312"/>
                <w:color w:val="000000"/>
                <w:kern w:val="0"/>
                <w:sz w:val="18"/>
                <w:szCs w:val="18"/>
                <w:lang w:eastAsia="zh-CN" w:bidi="ar"/>
              </w:rPr>
              <w:t>（</w:t>
            </w:r>
            <w:r>
              <w:rPr>
                <w:rFonts w:hint="eastAsia" w:ascii="仿宋_GB2312" w:hAnsi="仿宋_GB2312" w:eastAsia="仿宋_GB2312" w:cs="仿宋_GB2312"/>
                <w:color w:val="000000"/>
                <w:kern w:val="0"/>
                <w:sz w:val="18"/>
                <w:szCs w:val="18"/>
                <w:lang w:val="en-US" w:eastAsia="zh-CN" w:bidi="ar"/>
              </w:rPr>
              <w:t>5</w:t>
            </w:r>
            <w:r>
              <w:rPr>
                <w:rFonts w:hint="default" w:ascii="仿宋_GB2312" w:hAnsi="仿宋_GB2312" w:eastAsia="仿宋_GB2312" w:cs="仿宋_GB2312"/>
                <w:color w:val="000000"/>
                <w:kern w:val="0"/>
                <w:sz w:val="18"/>
                <w:szCs w:val="18"/>
                <w:lang w:eastAsia="zh-CN" w:bidi="ar"/>
              </w:rPr>
              <w:t>）</w:t>
            </w:r>
          </w:p>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eastAsia" w:ascii="仿宋_GB2312" w:hAnsi="仿宋_GB2312" w:eastAsia="仿宋_GB2312" w:cs="仿宋_GB2312"/>
                <w:color w:val="000000"/>
                <w:kern w:val="0"/>
                <w:sz w:val="18"/>
                <w:szCs w:val="18"/>
                <w:lang w:eastAsia="zh-CN" w:bidi="ar"/>
              </w:rPr>
            </w:pPr>
          </w:p>
        </w:tc>
        <w:tc>
          <w:tcPr>
            <w:tcW w:w="9035"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val="en-US" w:eastAsia="zh-CN" w:bidi="ar"/>
              </w:rPr>
            </w:pPr>
            <w:r>
              <w:rPr>
                <w:rFonts w:hint="eastAsia" w:ascii="仿宋_GB2312" w:hAnsi="仿宋_GB2312" w:eastAsia="仿宋_GB2312" w:cs="仿宋_GB2312"/>
                <w:color w:val="000000"/>
                <w:kern w:val="0"/>
                <w:sz w:val="18"/>
                <w:szCs w:val="18"/>
                <w:lang w:val="en-US" w:eastAsia="zh-CN" w:bidi="ar"/>
              </w:rPr>
              <w:t>2024年1月1日至本项目提交响应文件截止时间止(以获得时间为准)，响应供应商获得政府行业主管部门颁发的加油服务或燃油等相关表彰、荣誉、奖项的，每个得2分，最高得分不超过5分。 注：提供所获表彰、荣誉、奖项的证明材料照片或扫描件。</w:t>
            </w:r>
            <w:r>
              <w:rPr>
                <w:rFonts w:hint="eastAsia" w:ascii="仿宋_GB2312" w:hAnsi="仿宋_GB2312" w:eastAsia="仿宋_GB2312" w:cs="仿宋_GB2312"/>
                <w:color w:val="FF0000"/>
                <w:kern w:val="0"/>
                <w:sz w:val="18"/>
                <w:szCs w:val="18"/>
                <w:lang w:val="en-US" w:eastAsia="zh-CN" w:bidi="ar"/>
              </w:rPr>
              <w:t>不提供或不能清晰辨认其内容的不得分。</w:t>
            </w:r>
          </w:p>
        </w:tc>
        <w:tc>
          <w:tcPr>
            <w:tcW w:w="1690"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c>
          <w:tcPr>
            <w:tcW w:w="1691" w:type="dxa"/>
            <w:gridSpan w:val="2"/>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trPr>
        <w:tc>
          <w:tcPr>
            <w:tcW w:w="10693" w:type="dxa"/>
            <w:gridSpan w:val="3"/>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auto"/>
              <w:rPr>
                <w:rFonts w:hint="eastAsia" w:ascii="仿宋_GB2312" w:hAnsi="仿宋_GB2312" w:eastAsia="仿宋_GB2312" w:cs="仿宋_GB2312"/>
                <w:color w:val="000000"/>
                <w:kern w:val="0"/>
                <w:sz w:val="18"/>
                <w:szCs w:val="18"/>
                <w:lang w:eastAsia="zh-CN" w:bidi="ar"/>
              </w:rPr>
            </w:pPr>
            <w:r>
              <w:rPr>
                <w:rFonts w:hint="eastAsia" w:ascii="仿宋_GB2312" w:hAnsi="仿宋_GB2312" w:eastAsia="仿宋_GB2312" w:cs="仿宋_GB2312"/>
                <w:color w:val="000000"/>
                <w:kern w:val="0"/>
                <w:sz w:val="18"/>
                <w:szCs w:val="18"/>
                <w:lang w:val="en-US" w:eastAsia="zh-CN" w:bidi="ar"/>
              </w:rPr>
              <w:t>总  得  分</w:t>
            </w:r>
          </w:p>
        </w:tc>
        <w:tc>
          <w:tcPr>
            <w:tcW w:w="1695" w:type="dxa"/>
            <w:gridSpan w:val="2"/>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c>
          <w:tcPr>
            <w:tcW w:w="1686" w:type="dxa"/>
            <w:noWrap w:val="0"/>
            <w:vAlign w:val="top"/>
          </w:tcPr>
          <w:p>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仿宋_GB2312" w:hAnsi="仿宋_GB2312" w:eastAsia="仿宋_GB2312" w:cs="仿宋_GB2312"/>
                <w:color w:val="000000"/>
                <w:kern w:val="0"/>
                <w:sz w:val="18"/>
                <w:szCs w:val="18"/>
                <w:lang w:eastAsia="zh-CN" w:bidi="ar"/>
              </w:rPr>
            </w:pPr>
          </w:p>
        </w:tc>
      </w:tr>
    </w:tbl>
    <w:p/>
    <w:sectPr>
      <w:pgSz w:w="16838" w:h="11906" w:orient="landscape"/>
      <w:pgMar w:top="1800" w:right="1440" w:bottom="1800" w:left="144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Liberation Sans">
    <w:altName w:val="华文中宋"/>
    <w:panose1 w:val="00000000000000000000"/>
    <w:charset w:val="00"/>
    <w:family w:val="swiss"/>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Noto Sans CJK SC Regular">
    <w:panose1 w:val="020B0500000000000000"/>
    <w:charset w:val="86"/>
    <w:family w:val="auto"/>
    <w:pitch w:val="default"/>
    <w:sig w:usb0="30000003" w:usb1="2BDF3C10" w:usb2="00000016" w:usb3="00000000" w:csb0="602E0107"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HorizontalSpacing w:val="1"/>
  <w:drawingGridVerticalSpacing w:val="1"/>
  <w:displayHorizontalDrawingGridEvery w:val="0"/>
  <w:displayVerticalDrawingGridEvery w:val="0"/>
  <w:doNotUseMarginsForDrawingGridOrigin w:val="1"/>
  <w:drawingGridHorizontalOrigin w:val="0"/>
  <w:drawingGridVerticalOrigin w:val="0"/>
  <w:characterSpacingControl w:val="compressPunctuation"/>
  <w:doNotValidateAgainstSchema/>
  <w:doNotDemarcateInvalidXml/>
  <w:compat>
    <w:noLeading/>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23F79A44"/>
    <w:rsid w:val="28EF6E02"/>
    <w:rsid w:val="32AF4AE9"/>
    <w:rsid w:val="3EBF9A0C"/>
    <w:rsid w:val="45938D92"/>
    <w:rsid w:val="4A7D6351"/>
    <w:rsid w:val="59755809"/>
    <w:rsid w:val="5FBF47BD"/>
    <w:rsid w:val="62BF8331"/>
    <w:rsid w:val="66FF40D3"/>
    <w:rsid w:val="67F96A44"/>
    <w:rsid w:val="6C677508"/>
    <w:rsid w:val="6DFB23C1"/>
    <w:rsid w:val="6F4FB4FD"/>
    <w:rsid w:val="79F9ACAA"/>
    <w:rsid w:val="7BDA9E5B"/>
    <w:rsid w:val="7C2F7DB4"/>
    <w:rsid w:val="7EFF26A9"/>
    <w:rsid w:val="7F7CE91D"/>
    <w:rsid w:val="7FCFF14B"/>
    <w:rsid w:val="7FD5EB19"/>
    <w:rsid w:val="89CF315C"/>
    <w:rsid w:val="8F7F5770"/>
    <w:rsid w:val="A9795B19"/>
    <w:rsid w:val="AF4DE702"/>
    <w:rsid w:val="BB17B277"/>
    <w:rsid w:val="BC6E3BB6"/>
    <w:rsid w:val="BD78EFD7"/>
    <w:rsid w:val="BFF66ECF"/>
    <w:rsid w:val="BFFFE888"/>
    <w:rsid w:val="CF951CA9"/>
    <w:rsid w:val="CFDD31E9"/>
    <w:rsid w:val="DEFFFE50"/>
    <w:rsid w:val="DFD45BFB"/>
    <w:rsid w:val="E9FF1915"/>
    <w:rsid w:val="EE9F950E"/>
    <w:rsid w:val="F37F4322"/>
    <w:rsid w:val="F797A8E9"/>
    <w:rsid w:val="F7D6366B"/>
    <w:rsid w:val="FBEFD162"/>
    <w:rsid w:val="FDFB56A9"/>
    <w:rsid w:val="FE6E1340"/>
    <w:rsid w:val="FF7A4E38"/>
    <w:rsid w:val="FFB7D2D1"/>
    <w:rsid w:val="FFE747FF"/>
    <w:rsid w:val="FFF3F64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bidi w:val="0"/>
      <w:jc w:val="both"/>
    </w:pPr>
    <w:rPr>
      <w:rFonts w:ascii="Calibri" w:hAnsi="Calibri" w:eastAsia="宋体" w:cs="Times New Roman"/>
      <w:color w:val="auto"/>
      <w:kern w:val="2"/>
      <w:sz w:val="21"/>
      <w:szCs w:val="24"/>
      <w:lang w:val="en-US" w:eastAsia="zh-CN" w:bidi="ar-SA"/>
    </w:rPr>
  </w:style>
  <w:style w:type="character" w:default="1" w:styleId="9">
    <w:name w:val="Default Paragraph Font"/>
    <w:qFormat/>
    <w:uiPriority w:val="0"/>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ind w:left="420" w:leftChars="200"/>
    </w:pPr>
  </w:style>
  <w:style w:type="paragraph" w:styleId="4">
    <w:name w:val="caption"/>
    <w:basedOn w:val="1"/>
    <w:qFormat/>
    <w:uiPriority w:val="0"/>
    <w:pPr>
      <w:widowControl w:val="0"/>
      <w:suppressLineNumbers/>
      <w:suppressAutoHyphens/>
      <w:spacing w:before="120" w:after="120"/>
    </w:pPr>
    <w:rPr>
      <w:i/>
      <w:iCs/>
      <w:sz w:val="24"/>
      <w:szCs w:val="24"/>
    </w:rPr>
  </w:style>
  <w:style w:type="paragraph" w:styleId="5">
    <w:name w:val="Body Text"/>
    <w:basedOn w:val="1"/>
    <w:qFormat/>
    <w:uiPriority w:val="0"/>
    <w:pPr>
      <w:spacing w:before="0" w:after="140" w:line="276" w:lineRule="auto"/>
    </w:pPr>
  </w:style>
  <w:style w:type="paragraph" w:styleId="6">
    <w:name w:val="List"/>
    <w:basedOn w:val="5"/>
    <w:qFormat/>
    <w:uiPriority w:val="0"/>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默认段落字体1"/>
    <w:qFormat/>
    <w:uiPriority w:val="0"/>
  </w:style>
  <w:style w:type="paragraph" w:customStyle="1" w:styleId="11">
    <w:name w:val="Heading"/>
    <w:basedOn w:val="1"/>
    <w:next w:val="5"/>
    <w:qFormat/>
    <w:uiPriority w:val="0"/>
    <w:pPr>
      <w:keepNext/>
      <w:widowControl w:val="0"/>
      <w:suppressAutoHyphens/>
      <w:spacing w:before="240" w:after="120"/>
    </w:pPr>
    <w:rPr>
      <w:rFonts w:ascii="Liberation Sans" w:hAnsi="Liberation Sans" w:eastAsia="Noto Sans CJK SC Regular" w:cs="Noto Sans CJK SC Regular"/>
      <w:sz w:val="28"/>
      <w:szCs w:val="28"/>
      <w:lang w:bidi="ar-SA"/>
    </w:rPr>
  </w:style>
  <w:style w:type="paragraph" w:customStyle="1" w:styleId="12">
    <w:name w:val="Index"/>
    <w:basedOn w:val="1"/>
    <w:qFormat/>
    <w:uiPriority w:val="0"/>
    <w:pPr>
      <w:widowControl w:val="0"/>
      <w:suppressLineNumbers/>
      <w:suppressAutoHyphens/>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Pages>
  <TotalTime>4</TotalTime>
  <ScaleCrop>false</ScaleCrop>
  <LinksUpToDate>false</LinksUpToDate>
  <Application>WPS Office_12.8.2.15290_F1E327BC-269C-435d-A152-05C5408002CA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2018-12-02T01:47:00Z</dcterms:created>
  <dc:creator>greatwall</dc:creator>
  <cp:lastModifiedBy>greatwall</cp:lastModifiedBy>
  <dcterms:modified xsi:type="dcterms:W3CDTF">2026-09-11T19:02:55Z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2052-12.8.2.15290</vt:lpwstr>
  </property>
  <property fmtid="{D5CDD505-2E9C-101B-9397-08002B2CF9AE}" pid="3" name="ICV">
    <vt:lpwstr>C0CCD2D499C87236DFDFA36A4CA9971A_43</vt:lpwstr>
  </property>
</Properties>
</file>