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D914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黑体_GBK" w:hAnsi="方正黑体_GBK" w:eastAsia="方正黑体_GBK" w:cs="方正黑体_GBK"/>
          <w:sz w:val="34"/>
          <w:szCs w:val="34"/>
          <w:lang w:val="en-US" w:eastAsia="zh-CN"/>
        </w:rPr>
      </w:pPr>
      <w:r>
        <w:rPr>
          <w:rFonts w:hint="eastAsia" w:ascii="方正黑体_GBK" w:hAnsi="方正黑体_GBK" w:eastAsia="方正黑体_GBK" w:cs="方正黑体_GBK"/>
          <w:sz w:val="34"/>
          <w:szCs w:val="34"/>
        </w:rPr>
        <w:t>附</w:t>
      </w:r>
      <w:r>
        <w:rPr>
          <w:rFonts w:hint="eastAsia" w:ascii="方正黑体_GBK" w:hAnsi="方正黑体_GBK" w:eastAsia="方正黑体_GBK" w:cs="方正黑体_GBK"/>
          <w:sz w:val="34"/>
          <w:szCs w:val="34"/>
          <w:lang w:val="en-US" w:eastAsia="zh-CN"/>
        </w:rPr>
        <w:t>件1</w:t>
      </w:r>
    </w:p>
    <w:p w14:paraId="0082D3EB">
      <w:pPr>
        <w:jc w:val="center"/>
        <w:rPr>
          <w:rFonts w:hint="eastAsia" w:ascii="方正小标宋_GBK" w:hAnsi="方正小标宋_GBK" w:eastAsia="方正小标宋_GBK" w:cs="方正小标宋_GBK"/>
          <w:sz w:val="34"/>
          <w:szCs w:val="34"/>
          <w:lang w:eastAsia="zh-CN"/>
        </w:rPr>
      </w:pPr>
    </w:p>
    <w:p w14:paraId="576F2AE3">
      <w:pPr>
        <w:jc w:val="center"/>
        <w:rPr>
          <w:rFonts w:hint="eastAsia" w:ascii="方正仿宋_GBK" w:hAnsi="方正仿宋_GBK" w:eastAsia="方正仿宋_GBK" w:cs="方正仿宋_GBK"/>
          <w:b/>
          <w:bCs/>
          <w:i w:val="0"/>
          <w:iCs w:val="0"/>
          <w:caps w:val="0"/>
          <w:strike w:val="0"/>
          <w:color w:val="auto"/>
          <w:spacing w:val="0"/>
          <w:sz w:val="28"/>
          <w:szCs w:val="24"/>
          <w:u w:val="none"/>
        </w:rPr>
      </w:pPr>
      <w:bookmarkStart w:id="0" w:name="_GoBack"/>
      <w:r>
        <w:rPr>
          <w:rFonts w:hint="eastAsia" w:ascii="方正小标宋_GBK" w:hAnsi="方正小标宋_GBK" w:eastAsia="方正小标宋_GBK" w:cs="方正小标宋_GBK"/>
          <w:sz w:val="44"/>
          <w:szCs w:val="44"/>
          <w:lang w:eastAsia="zh-CN"/>
        </w:rPr>
        <w:t>江门引才宣传片制作项目评分标准</w:t>
      </w:r>
    </w:p>
    <w:bookmarkEnd w:id="0"/>
    <w:p w14:paraId="32FE5F41">
      <w:pPr>
        <w:jc w:val="both"/>
        <w:rPr>
          <w:rFonts w:hint="eastAsia" w:ascii="方正黑体_GBK" w:hAnsi="方正黑体_GBK" w:eastAsia="方正黑体_GBK" w:cs="方正黑体_GBK"/>
          <w:b w:val="0"/>
          <w:bCs w:val="0"/>
          <w:i w:val="0"/>
          <w:iCs w:val="0"/>
          <w:caps w:val="0"/>
          <w:strike w:val="0"/>
          <w:color w:val="auto"/>
          <w:spacing w:val="0"/>
          <w:sz w:val="34"/>
          <w:szCs w:val="34"/>
          <w:u w:val="none"/>
        </w:rPr>
      </w:pPr>
      <w:r>
        <w:rPr>
          <w:rFonts w:hint="eastAsia" w:ascii="方正黑体_GBK" w:hAnsi="方正黑体_GBK" w:eastAsia="方正黑体_GBK" w:cs="方正黑体_GBK"/>
          <w:b w:val="0"/>
          <w:bCs w:val="0"/>
          <w:i w:val="0"/>
          <w:iCs w:val="0"/>
          <w:caps w:val="0"/>
          <w:strike w:val="0"/>
          <w:color w:val="auto"/>
          <w:spacing w:val="0"/>
          <w:sz w:val="34"/>
          <w:szCs w:val="34"/>
          <w:u w:val="none"/>
        </w:rPr>
        <w:t>一、资格性审核表</w:t>
      </w:r>
    </w:p>
    <w:tbl>
      <w:tblPr>
        <w:tblStyle w:val="2"/>
        <w:tblW w:w="96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692"/>
        <w:gridCol w:w="4203"/>
        <w:gridCol w:w="3420"/>
        <w:gridCol w:w="1289"/>
      </w:tblGrid>
      <w:tr w14:paraId="39516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Header/>
          <w:jc w:val="center"/>
        </w:trPr>
        <w:tc>
          <w:tcPr>
            <w:tcW w:w="692" w:type="dxa"/>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6638CD7F">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kern w:val="0"/>
                <w:sz w:val="30"/>
                <w:szCs w:val="30"/>
                <w:lang w:val="en-US" w:eastAsia="zh-CN" w:bidi="ar"/>
              </w:rPr>
              <w:t>序号</w:t>
            </w:r>
          </w:p>
        </w:tc>
        <w:tc>
          <w:tcPr>
            <w:tcW w:w="4203"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0340C50C">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kern w:val="0"/>
                <w:sz w:val="30"/>
                <w:szCs w:val="30"/>
                <w:lang w:val="en-US" w:eastAsia="zh-CN" w:bidi="ar"/>
              </w:rPr>
              <w:t>内容</w:t>
            </w:r>
          </w:p>
        </w:tc>
        <w:tc>
          <w:tcPr>
            <w:tcW w:w="3420"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5EFC7B2A">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kern w:val="0"/>
                <w:sz w:val="30"/>
                <w:szCs w:val="30"/>
                <w:lang w:val="en-US" w:eastAsia="zh-CN" w:bidi="ar"/>
              </w:rPr>
              <w:t>需查验资料清单</w:t>
            </w:r>
          </w:p>
        </w:tc>
        <w:tc>
          <w:tcPr>
            <w:tcW w:w="1289"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7B90ECDD">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kern w:val="0"/>
                <w:sz w:val="30"/>
                <w:szCs w:val="30"/>
                <w:lang w:val="en-US" w:eastAsia="zh-CN" w:bidi="ar"/>
              </w:rPr>
              <w:t>是否符合</w:t>
            </w:r>
          </w:p>
        </w:tc>
      </w:tr>
      <w:tr w14:paraId="67167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19" w:hRule="atLeast"/>
          <w:jc w:val="center"/>
        </w:trPr>
        <w:tc>
          <w:tcPr>
            <w:tcW w:w="692" w:type="dxa"/>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28365D2E">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1</w:t>
            </w:r>
          </w:p>
        </w:tc>
        <w:tc>
          <w:tcPr>
            <w:tcW w:w="4203"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6B112798">
            <w:pPr>
              <w:keepNext w:val="0"/>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服务供应商具有国内独立法人或具有独立承担民事责任的能力的其他组织。</w:t>
            </w:r>
          </w:p>
        </w:tc>
        <w:tc>
          <w:tcPr>
            <w:tcW w:w="3420"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482E94CA">
            <w:pPr>
              <w:keepNext w:val="0"/>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提供营业执照或单位法人证等法人证明复印件（加盖印章）</w:t>
            </w:r>
          </w:p>
        </w:tc>
        <w:tc>
          <w:tcPr>
            <w:tcW w:w="1289"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0" w:type="dxa"/>
            </w:tcMar>
            <w:vAlign w:val="center"/>
          </w:tcPr>
          <w:p w14:paraId="0D1AC36A">
            <w:pPr>
              <w:snapToGrid w:val="0"/>
              <w:ind w:left="0" w:leftChars="0" w:right="0" w:rightChars="0" w:firstLine="0" w:firstLineChars="0"/>
              <w:jc w:val="left"/>
              <w:rPr>
                <w:rFonts w:hint="eastAsia" w:ascii="方正仿宋_GBK" w:hAnsi="方正仿宋_GBK" w:eastAsia="方正仿宋_GBK" w:cs="方正仿宋_GBK"/>
                <w:sz w:val="30"/>
                <w:szCs w:val="30"/>
              </w:rPr>
            </w:pPr>
          </w:p>
        </w:tc>
      </w:tr>
      <w:tr w14:paraId="12217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692" w:type="dxa"/>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240DEC52">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2</w:t>
            </w:r>
          </w:p>
        </w:tc>
        <w:tc>
          <w:tcPr>
            <w:tcW w:w="4203"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55027E16">
            <w:pPr>
              <w:keepNext w:val="0"/>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未被列入“信用中国”网站“记录失信被执行人或重大税收违法失信主体或政府采购严重违法失信行为”名单。</w:t>
            </w:r>
          </w:p>
        </w:tc>
        <w:tc>
          <w:tcPr>
            <w:tcW w:w="3420"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259C2E40">
            <w:pPr>
              <w:keepNext w:val="0"/>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由供应商在《响应及履约承诺函》中作出承诺，提供在“信用中国”网站查询结果证明</w:t>
            </w:r>
          </w:p>
        </w:tc>
        <w:tc>
          <w:tcPr>
            <w:tcW w:w="1289"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0" w:type="dxa"/>
            </w:tcMar>
            <w:vAlign w:val="center"/>
          </w:tcPr>
          <w:p w14:paraId="65D32FAB">
            <w:pPr>
              <w:snapToGrid w:val="0"/>
              <w:ind w:left="0" w:leftChars="0" w:right="0" w:rightChars="0" w:firstLine="0" w:firstLineChars="0"/>
              <w:jc w:val="left"/>
              <w:rPr>
                <w:rFonts w:hint="eastAsia" w:ascii="方正仿宋_GBK" w:hAnsi="方正仿宋_GBK" w:eastAsia="方正仿宋_GBK" w:cs="方正仿宋_GBK"/>
                <w:sz w:val="30"/>
                <w:szCs w:val="30"/>
              </w:rPr>
            </w:pPr>
          </w:p>
        </w:tc>
      </w:tr>
      <w:tr w14:paraId="707DA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692" w:type="dxa"/>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5C9EEF67">
            <w:pPr>
              <w:keepNext w:val="0"/>
              <w:keepLines w:val="0"/>
              <w:widowControl/>
              <w:suppressLineNumbers w:val="0"/>
              <w:snapToGrid w:val="0"/>
              <w:ind w:left="0" w:leftChars="0" w:right="0" w:rightChars="0" w:firstLine="0" w:firstLineChars="0"/>
              <w:jc w:val="center"/>
              <w:rPr>
                <w:rFonts w:hint="default"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3</w:t>
            </w:r>
          </w:p>
        </w:tc>
        <w:tc>
          <w:tcPr>
            <w:tcW w:w="4203"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2D7C5514">
            <w:pPr>
              <w:keepNext w:val="0"/>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bidi="ar"/>
              </w:rPr>
              <w:t>具有良好的商业信誉和健全的财务会计制度，有依法缴纳税收和社会保障资金的良好记录。</w:t>
            </w:r>
          </w:p>
        </w:tc>
        <w:tc>
          <w:tcPr>
            <w:tcW w:w="3420"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69DC000A">
            <w:pPr>
              <w:keepNext w:val="0"/>
              <w:keepLines w:val="0"/>
              <w:widowControl/>
              <w:suppressLineNumbers w:val="0"/>
              <w:snapToGrid w:val="0"/>
              <w:ind w:left="0" w:leftChars="0" w:right="0" w:rightChars="0" w:firstLine="0" w:firstLineChars="0"/>
              <w:jc w:val="left"/>
              <w:rPr>
                <w:rFonts w:hint="default"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提供</w:t>
            </w:r>
            <w:r>
              <w:rPr>
                <w:rFonts w:hint="eastAsia" w:ascii="方正仿宋_GBK" w:hAnsi="方正仿宋_GBK" w:eastAsia="方正仿宋_GBK" w:cs="方正仿宋_GBK"/>
                <w:kern w:val="0"/>
                <w:sz w:val="30"/>
                <w:szCs w:val="30"/>
                <w:lang w:bidi="ar"/>
              </w:rPr>
              <w:t>财务会计制度</w:t>
            </w:r>
            <w:r>
              <w:rPr>
                <w:rFonts w:hint="eastAsia" w:ascii="方正仿宋_GBK" w:hAnsi="方正仿宋_GBK" w:eastAsia="方正仿宋_GBK" w:cs="方正仿宋_GBK"/>
                <w:kern w:val="0"/>
                <w:sz w:val="30"/>
                <w:szCs w:val="30"/>
                <w:lang w:eastAsia="zh-CN" w:bidi="ar"/>
              </w:rPr>
              <w:t>，以及</w:t>
            </w:r>
            <w:r>
              <w:rPr>
                <w:rFonts w:hint="eastAsia" w:ascii="方正仿宋_GBK" w:hAnsi="方正仿宋_GBK" w:eastAsia="方正仿宋_GBK" w:cs="方正仿宋_GBK"/>
                <w:kern w:val="0"/>
                <w:sz w:val="30"/>
                <w:szCs w:val="30"/>
                <w:lang w:val="en-US" w:eastAsia="zh-CN" w:bidi="ar"/>
              </w:rPr>
              <w:t>2026年至今，任意一个月的</w:t>
            </w:r>
            <w:r>
              <w:rPr>
                <w:rFonts w:hint="eastAsia" w:ascii="方正仿宋_GBK" w:hAnsi="方正仿宋_GBK" w:eastAsia="方正仿宋_GBK" w:cs="方正仿宋_GBK"/>
                <w:kern w:val="0"/>
                <w:sz w:val="30"/>
                <w:szCs w:val="30"/>
                <w:lang w:bidi="ar"/>
              </w:rPr>
              <w:t>缴纳税收和</w:t>
            </w:r>
            <w:r>
              <w:rPr>
                <w:rFonts w:hint="eastAsia" w:ascii="方正仿宋_GBK" w:hAnsi="方正仿宋_GBK" w:eastAsia="方正仿宋_GBK" w:cs="方正仿宋_GBK"/>
                <w:kern w:val="0"/>
                <w:sz w:val="30"/>
                <w:szCs w:val="30"/>
                <w:lang w:eastAsia="zh-CN" w:bidi="ar"/>
              </w:rPr>
              <w:t>保</w:t>
            </w:r>
            <w:r>
              <w:rPr>
                <w:rFonts w:hint="eastAsia" w:ascii="方正仿宋_GBK" w:hAnsi="方正仿宋_GBK" w:eastAsia="方正仿宋_GBK" w:cs="方正仿宋_GBK"/>
                <w:kern w:val="0"/>
                <w:sz w:val="30"/>
                <w:szCs w:val="30"/>
                <w:lang w:bidi="ar"/>
              </w:rPr>
              <w:t>记录</w:t>
            </w:r>
          </w:p>
        </w:tc>
        <w:tc>
          <w:tcPr>
            <w:tcW w:w="1289"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0" w:type="dxa"/>
            </w:tcMar>
            <w:vAlign w:val="center"/>
          </w:tcPr>
          <w:p w14:paraId="28A681F7">
            <w:pPr>
              <w:snapToGrid w:val="0"/>
              <w:ind w:left="0" w:leftChars="0" w:right="0" w:rightChars="0" w:firstLine="0" w:firstLineChars="0"/>
              <w:jc w:val="left"/>
              <w:rPr>
                <w:rFonts w:hint="eastAsia" w:ascii="方正仿宋_GBK" w:hAnsi="方正仿宋_GBK" w:eastAsia="方正仿宋_GBK" w:cs="方正仿宋_GBK"/>
                <w:sz w:val="30"/>
                <w:szCs w:val="30"/>
              </w:rPr>
            </w:pPr>
          </w:p>
        </w:tc>
      </w:tr>
      <w:tr w14:paraId="1CFAB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692" w:type="dxa"/>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6D5AB1E0">
            <w:pPr>
              <w:keepNext w:val="0"/>
              <w:keepLines w:val="0"/>
              <w:widowControl/>
              <w:suppressLineNumbers w:val="0"/>
              <w:snapToGrid w:val="0"/>
              <w:ind w:left="0" w:leftChars="0" w:right="0" w:rightChars="0" w:firstLine="0" w:firstLineChars="0"/>
              <w:jc w:val="center"/>
              <w:rPr>
                <w:rFonts w:hint="default" w:ascii="方正仿宋_GBK" w:hAnsi="方正仿宋_GBK" w:eastAsia="方正仿宋_GBK" w:cs="方正仿宋_GBK"/>
                <w:sz w:val="30"/>
                <w:szCs w:val="30"/>
                <w:lang w:val="en-US"/>
              </w:rPr>
            </w:pPr>
            <w:r>
              <w:rPr>
                <w:rFonts w:hint="eastAsia" w:ascii="方正仿宋_GBK" w:hAnsi="方正仿宋_GBK" w:eastAsia="方正仿宋_GBK" w:cs="方正仿宋_GBK"/>
                <w:kern w:val="0"/>
                <w:sz w:val="30"/>
                <w:szCs w:val="30"/>
                <w:lang w:val="en-US" w:eastAsia="zh-CN" w:bidi="ar"/>
              </w:rPr>
              <w:t>4</w:t>
            </w:r>
          </w:p>
        </w:tc>
        <w:tc>
          <w:tcPr>
            <w:tcW w:w="4203"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40750395">
            <w:pPr>
              <w:keepNext w:val="0"/>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单位负责人为同一人或者存在直接控股、管理关系的不同供应商，不得同时参加本项目投标（响应）。本项目不接受联合体服务，不得转包、分包。</w:t>
            </w:r>
          </w:p>
        </w:tc>
        <w:tc>
          <w:tcPr>
            <w:tcW w:w="3420"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1A2CE7FF">
            <w:pPr>
              <w:keepNext w:val="0"/>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由供应商在《响应及履约承诺函》中作出承诺</w:t>
            </w:r>
          </w:p>
        </w:tc>
        <w:tc>
          <w:tcPr>
            <w:tcW w:w="1289"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0" w:type="dxa"/>
            </w:tcMar>
            <w:vAlign w:val="center"/>
          </w:tcPr>
          <w:p w14:paraId="628B9106">
            <w:pPr>
              <w:snapToGrid w:val="0"/>
              <w:ind w:left="0" w:leftChars="0" w:right="0" w:rightChars="0" w:firstLine="0" w:firstLineChars="0"/>
              <w:jc w:val="left"/>
              <w:rPr>
                <w:rFonts w:hint="eastAsia" w:ascii="方正仿宋_GBK" w:hAnsi="方正仿宋_GBK" w:eastAsia="方正仿宋_GBK" w:cs="方正仿宋_GBK"/>
                <w:sz w:val="30"/>
                <w:szCs w:val="30"/>
              </w:rPr>
            </w:pPr>
          </w:p>
        </w:tc>
      </w:tr>
    </w:tbl>
    <w:p w14:paraId="28DAD840">
      <w:pPr>
        <w:jc w:val="both"/>
        <w:rPr>
          <w:rFonts w:hint="eastAsia" w:ascii="方正黑体_GBK" w:hAnsi="方正黑体_GBK" w:eastAsia="方正黑体_GBK" w:cs="方正黑体_GBK"/>
          <w:b w:val="0"/>
          <w:bCs w:val="0"/>
          <w:i w:val="0"/>
          <w:iCs w:val="0"/>
          <w:caps w:val="0"/>
          <w:strike w:val="0"/>
          <w:color w:val="auto"/>
          <w:spacing w:val="0"/>
          <w:sz w:val="34"/>
          <w:szCs w:val="34"/>
          <w:u w:val="none"/>
          <w:lang w:val="en-US" w:eastAsia="zh-CN"/>
        </w:rPr>
      </w:pPr>
      <w:r>
        <w:rPr>
          <w:rFonts w:hint="eastAsia" w:ascii="方正黑体_GBK" w:hAnsi="方正黑体_GBK" w:eastAsia="方正黑体_GBK" w:cs="方正黑体_GBK"/>
          <w:b w:val="0"/>
          <w:bCs w:val="0"/>
          <w:i w:val="0"/>
          <w:iCs w:val="0"/>
          <w:caps w:val="0"/>
          <w:strike w:val="0"/>
          <w:color w:val="auto"/>
          <w:spacing w:val="0"/>
          <w:sz w:val="34"/>
          <w:szCs w:val="34"/>
          <w:u w:val="none"/>
          <w:lang w:val="en-US" w:eastAsia="zh-CN"/>
        </w:rPr>
        <w:t>二、评分表（满分100分）</w:t>
      </w:r>
    </w:p>
    <w:tbl>
      <w:tblPr>
        <w:tblStyle w:val="2"/>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65"/>
        <w:gridCol w:w="1410"/>
        <w:gridCol w:w="784"/>
        <w:gridCol w:w="6196"/>
        <w:gridCol w:w="775"/>
      </w:tblGrid>
      <w:tr w14:paraId="097B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53" w:hRule="atLeast"/>
          <w:tblHeader/>
          <w:jc w:val="center"/>
        </w:trPr>
        <w:tc>
          <w:tcPr>
            <w:tcW w:w="565" w:type="dxa"/>
            <w:noWrap w:val="0"/>
            <w:tcMar>
              <w:top w:w="150" w:type="dxa"/>
              <w:left w:w="0" w:type="dxa"/>
              <w:bottom w:w="150" w:type="dxa"/>
              <w:right w:w="240" w:type="dxa"/>
            </w:tcMar>
            <w:vAlign w:val="top"/>
          </w:tcPr>
          <w:p w14:paraId="0353E37B">
            <w:pPr>
              <w:keepNext/>
              <w:keepLines w:val="0"/>
              <w:widowControl/>
              <w:suppressLineNumbers w:val="0"/>
              <w:snapToGrid w:val="0"/>
              <w:ind w:left="0" w:leftChars="0" w:right="0" w:rightChars="0" w:firstLine="0" w:firstLineChars="0"/>
              <w:jc w:val="center"/>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kern w:val="0"/>
                <w:sz w:val="32"/>
                <w:szCs w:val="32"/>
                <w:lang w:val="en-US" w:eastAsia="zh-CN" w:bidi="ar"/>
              </w:rPr>
              <w:t>序号</w:t>
            </w:r>
          </w:p>
        </w:tc>
        <w:tc>
          <w:tcPr>
            <w:tcW w:w="1410" w:type="dxa"/>
            <w:noWrap w:val="0"/>
            <w:tcMar>
              <w:top w:w="150" w:type="dxa"/>
              <w:left w:w="240" w:type="dxa"/>
              <w:bottom w:w="150" w:type="dxa"/>
              <w:right w:w="240" w:type="dxa"/>
            </w:tcMar>
            <w:vAlign w:val="center"/>
          </w:tcPr>
          <w:p w14:paraId="1B353F1E">
            <w:pPr>
              <w:keepNext/>
              <w:keepLines w:val="0"/>
              <w:widowControl/>
              <w:suppressLineNumbers w:val="0"/>
              <w:snapToGrid w:val="0"/>
              <w:ind w:left="0" w:leftChars="0" w:right="0" w:rightChars="0" w:firstLine="0" w:firstLineChars="0"/>
              <w:jc w:val="center"/>
              <w:rPr>
                <w:rFonts w:hint="eastAsia" w:ascii="方正黑体_GBK" w:hAnsi="方正黑体_GBK" w:eastAsia="方正黑体_GBK" w:cs="方正黑体_GBK"/>
                <w:b w:val="0"/>
                <w:bCs w:val="0"/>
                <w:kern w:val="0"/>
                <w:sz w:val="32"/>
                <w:szCs w:val="32"/>
                <w:lang w:val="en-US" w:eastAsia="zh-CN" w:bidi="ar"/>
              </w:rPr>
            </w:pPr>
            <w:r>
              <w:rPr>
                <w:rFonts w:hint="eastAsia" w:ascii="方正黑体_GBK" w:hAnsi="方正黑体_GBK" w:eastAsia="方正黑体_GBK" w:cs="方正黑体_GBK"/>
                <w:b w:val="0"/>
                <w:bCs w:val="0"/>
                <w:kern w:val="0"/>
                <w:sz w:val="32"/>
                <w:szCs w:val="32"/>
                <w:lang w:val="en-US" w:eastAsia="zh-CN" w:bidi="ar"/>
              </w:rPr>
              <w:t>评审</w:t>
            </w:r>
          </w:p>
          <w:p w14:paraId="73587B86">
            <w:pPr>
              <w:keepNext/>
              <w:keepLines w:val="0"/>
              <w:widowControl/>
              <w:suppressLineNumbers w:val="0"/>
              <w:snapToGrid w:val="0"/>
              <w:ind w:left="0" w:leftChars="0" w:right="0" w:rightChars="0" w:firstLine="0" w:firstLineChars="0"/>
              <w:jc w:val="center"/>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kern w:val="0"/>
                <w:sz w:val="32"/>
                <w:szCs w:val="32"/>
                <w:lang w:val="en-US" w:eastAsia="zh-CN" w:bidi="ar"/>
              </w:rPr>
              <w:t>项目</w:t>
            </w:r>
          </w:p>
        </w:tc>
        <w:tc>
          <w:tcPr>
            <w:tcW w:w="784" w:type="dxa"/>
            <w:noWrap w:val="0"/>
            <w:tcMar>
              <w:top w:w="150" w:type="dxa"/>
              <w:left w:w="240" w:type="dxa"/>
              <w:bottom w:w="150" w:type="dxa"/>
              <w:right w:w="240" w:type="dxa"/>
            </w:tcMar>
            <w:vAlign w:val="center"/>
          </w:tcPr>
          <w:p w14:paraId="56204909">
            <w:pPr>
              <w:keepNext/>
              <w:keepLines w:val="0"/>
              <w:widowControl/>
              <w:suppressLineNumbers w:val="0"/>
              <w:snapToGrid w:val="0"/>
              <w:ind w:left="0" w:leftChars="0" w:right="0" w:rightChars="0" w:firstLine="0" w:firstLineChars="0"/>
              <w:jc w:val="center"/>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kern w:val="0"/>
                <w:sz w:val="32"/>
                <w:szCs w:val="32"/>
                <w:lang w:val="en-US" w:eastAsia="zh-CN" w:bidi="ar"/>
              </w:rPr>
              <w:t>分值</w:t>
            </w:r>
          </w:p>
        </w:tc>
        <w:tc>
          <w:tcPr>
            <w:tcW w:w="6196" w:type="dxa"/>
            <w:noWrap w:val="0"/>
            <w:tcMar>
              <w:top w:w="150" w:type="dxa"/>
              <w:left w:w="240" w:type="dxa"/>
              <w:bottom w:w="150" w:type="dxa"/>
              <w:right w:w="240" w:type="dxa"/>
            </w:tcMar>
            <w:vAlign w:val="center"/>
          </w:tcPr>
          <w:p w14:paraId="0BE69E2A">
            <w:pPr>
              <w:keepNext/>
              <w:keepLines w:val="0"/>
              <w:widowControl/>
              <w:suppressLineNumbers w:val="0"/>
              <w:snapToGrid w:val="0"/>
              <w:ind w:left="0" w:leftChars="0" w:right="0" w:rightChars="0" w:firstLine="0" w:firstLineChars="0"/>
              <w:jc w:val="center"/>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kern w:val="0"/>
                <w:sz w:val="32"/>
                <w:szCs w:val="32"/>
                <w:lang w:val="en-US" w:eastAsia="zh-CN" w:bidi="ar"/>
              </w:rPr>
              <w:t>评分标准</w:t>
            </w:r>
          </w:p>
        </w:tc>
        <w:tc>
          <w:tcPr>
            <w:tcW w:w="775" w:type="dxa"/>
            <w:noWrap w:val="0"/>
            <w:tcMar>
              <w:top w:w="150" w:type="dxa"/>
              <w:left w:w="240" w:type="dxa"/>
              <w:bottom w:w="150" w:type="dxa"/>
              <w:right w:w="240" w:type="dxa"/>
            </w:tcMar>
            <w:vAlign w:val="center"/>
          </w:tcPr>
          <w:p w14:paraId="15677E87">
            <w:pPr>
              <w:keepNext/>
              <w:keepLines w:val="0"/>
              <w:widowControl/>
              <w:suppressLineNumbers w:val="0"/>
              <w:snapToGrid w:val="0"/>
              <w:ind w:left="0" w:leftChars="0" w:right="0" w:rightChars="0" w:firstLine="0" w:firstLineChars="0"/>
              <w:jc w:val="center"/>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kern w:val="0"/>
                <w:sz w:val="32"/>
                <w:szCs w:val="32"/>
                <w:lang w:val="en-US" w:eastAsia="zh-CN" w:bidi="ar"/>
              </w:rPr>
              <w:t>得分</w:t>
            </w:r>
          </w:p>
        </w:tc>
      </w:tr>
      <w:tr w14:paraId="4813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65" w:type="dxa"/>
            <w:noWrap w:val="0"/>
            <w:tcMar>
              <w:top w:w="150" w:type="dxa"/>
              <w:left w:w="0" w:type="dxa"/>
              <w:bottom w:w="150" w:type="dxa"/>
              <w:right w:w="240" w:type="dxa"/>
            </w:tcMar>
            <w:vAlign w:val="center"/>
          </w:tcPr>
          <w:p w14:paraId="3C3200CE">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1</w:t>
            </w:r>
          </w:p>
        </w:tc>
        <w:tc>
          <w:tcPr>
            <w:tcW w:w="1410" w:type="dxa"/>
            <w:noWrap w:val="0"/>
            <w:tcMar>
              <w:top w:w="150" w:type="dxa"/>
              <w:left w:w="240" w:type="dxa"/>
              <w:bottom w:w="150" w:type="dxa"/>
              <w:right w:w="240" w:type="dxa"/>
            </w:tcMar>
            <w:vAlign w:val="center"/>
          </w:tcPr>
          <w:p w14:paraId="06273242">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运营方案与创意剧本</w:t>
            </w:r>
          </w:p>
        </w:tc>
        <w:tc>
          <w:tcPr>
            <w:tcW w:w="784" w:type="dxa"/>
            <w:noWrap w:val="0"/>
            <w:tcMar>
              <w:top w:w="150" w:type="dxa"/>
              <w:left w:w="240" w:type="dxa"/>
              <w:bottom w:w="150" w:type="dxa"/>
              <w:right w:w="240" w:type="dxa"/>
            </w:tcMar>
            <w:vAlign w:val="center"/>
          </w:tcPr>
          <w:p w14:paraId="27A69136">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25</w:t>
            </w:r>
          </w:p>
        </w:tc>
        <w:tc>
          <w:tcPr>
            <w:tcW w:w="6196" w:type="dxa"/>
            <w:noWrap w:val="0"/>
            <w:tcMar>
              <w:top w:w="150" w:type="dxa"/>
              <w:left w:w="240" w:type="dxa"/>
              <w:bottom w:w="150" w:type="dxa"/>
              <w:right w:w="240" w:type="dxa"/>
            </w:tcMar>
            <w:vAlign w:val="center"/>
          </w:tcPr>
          <w:p w14:paraId="46BEE7D6">
            <w:pPr>
              <w:keepNext/>
              <w:keepLines w:val="0"/>
              <w:widowControl/>
              <w:numPr>
                <w:ilvl w:val="0"/>
                <w:numId w:val="1"/>
              </w:numPr>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本项目详细运营方案，包括制作时间安排、选角安排、应急预案等；创意剧本贴合江门引才主题，单元短剧结构新颖，台词诙谐口语化，反差设计巧妙，有明确制作时间安排，得17-25分。</w:t>
            </w:r>
          </w:p>
          <w:p w14:paraId="59EE2743">
            <w:pPr>
              <w:keepNext/>
              <w:keepLines w:val="0"/>
              <w:widowControl/>
              <w:numPr>
                <w:ilvl w:val="0"/>
                <w:numId w:val="1"/>
              </w:numPr>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本项目比较详细运营方案，包括制作时间安排、选角安排等；创意剧本较贴合江门引才主题，结构较合理，台词风格较活泼，有制作时间安排，得9-16分。</w:t>
            </w:r>
          </w:p>
          <w:p w14:paraId="6C0D905F">
            <w:pPr>
              <w:keepNext/>
              <w:keepLines w:val="0"/>
              <w:widowControl/>
              <w:numPr>
                <w:ilvl w:val="0"/>
                <w:numId w:val="1"/>
              </w:numPr>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本项目运营方案，包括制作安排等；创意剧本基本符合主题，结构一般，台词风格一般的，得1-8分。</w:t>
            </w:r>
          </w:p>
          <w:p w14:paraId="555A272A">
            <w:pPr>
              <w:keepNext/>
              <w:keepLines w:val="0"/>
              <w:widowControl/>
              <w:numPr>
                <w:ilvl w:val="0"/>
                <w:numId w:val="0"/>
              </w:numPr>
              <w:suppressLineNumbers w:val="0"/>
              <w:snapToGrid w:val="0"/>
              <w:ind w:leftChars="0" w:right="0" w:right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b/>
                <w:bCs/>
                <w:kern w:val="0"/>
                <w:sz w:val="30"/>
                <w:szCs w:val="30"/>
                <w:lang w:val="en-US" w:eastAsia="zh-CN" w:bidi="ar"/>
              </w:rPr>
              <w:t>备注：</w:t>
            </w:r>
            <w:r>
              <w:rPr>
                <w:rFonts w:hint="eastAsia" w:ascii="方正仿宋_GBK" w:hAnsi="方正仿宋_GBK" w:eastAsia="方正仿宋_GBK" w:cs="方正仿宋_GBK"/>
                <w:kern w:val="0"/>
                <w:sz w:val="30"/>
                <w:szCs w:val="30"/>
                <w:lang w:val="en-US" w:eastAsia="zh-CN" w:bidi="ar"/>
              </w:rPr>
              <w:t>未提供本项响应内容的不得分。</w:t>
            </w:r>
          </w:p>
        </w:tc>
        <w:tc>
          <w:tcPr>
            <w:tcW w:w="775" w:type="dxa"/>
            <w:noWrap w:val="0"/>
            <w:tcMar>
              <w:top w:w="150" w:type="dxa"/>
              <w:left w:w="240" w:type="dxa"/>
              <w:bottom w:w="150" w:type="dxa"/>
              <w:right w:w="0" w:type="dxa"/>
            </w:tcMar>
            <w:vAlign w:val="center"/>
          </w:tcPr>
          <w:p w14:paraId="3B0C8CFD">
            <w:pPr>
              <w:keepNext/>
              <w:snapToGrid w:val="0"/>
              <w:ind w:left="0" w:leftChars="0" w:right="0" w:rightChars="0" w:firstLine="0" w:firstLineChars="0"/>
              <w:jc w:val="left"/>
              <w:rPr>
                <w:rFonts w:hint="eastAsia" w:ascii="方正仿宋_GBK" w:hAnsi="方正仿宋_GBK" w:eastAsia="方正仿宋_GBK" w:cs="方正仿宋_GBK"/>
                <w:sz w:val="30"/>
                <w:szCs w:val="30"/>
              </w:rPr>
            </w:pPr>
          </w:p>
        </w:tc>
      </w:tr>
      <w:tr w14:paraId="7321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65" w:type="dxa"/>
            <w:noWrap w:val="0"/>
            <w:tcMar>
              <w:top w:w="150" w:type="dxa"/>
              <w:left w:w="0" w:type="dxa"/>
              <w:bottom w:w="150" w:type="dxa"/>
              <w:right w:w="240" w:type="dxa"/>
            </w:tcMar>
            <w:vAlign w:val="center"/>
          </w:tcPr>
          <w:p w14:paraId="52F6BA60">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2</w:t>
            </w:r>
          </w:p>
        </w:tc>
        <w:tc>
          <w:tcPr>
            <w:tcW w:w="1410" w:type="dxa"/>
            <w:noWrap w:val="0"/>
            <w:tcMar>
              <w:top w:w="150" w:type="dxa"/>
              <w:left w:w="240" w:type="dxa"/>
              <w:bottom w:w="150" w:type="dxa"/>
              <w:right w:w="240" w:type="dxa"/>
            </w:tcMar>
            <w:vAlign w:val="center"/>
          </w:tcPr>
          <w:p w14:paraId="2EA0581E">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口号</w:t>
            </w:r>
          </w:p>
          <w:p w14:paraId="6861E586">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设计</w:t>
            </w:r>
          </w:p>
        </w:tc>
        <w:tc>
          <w:tcPr>
            <w:tcW w:w="784" w:type="dxa"/>
            <w:noWrap w:val="0"/>
            <w:tcMar>
              <w:top w:w="150" w:type="dxa"/>
              <w:left w:w="240" w:type="dxa"/>
              <w:bottom w:w="150" w:type="dxa"/>
              <w:right w:w="240" w:type="dxa"/>
            </w:tcMar>
            <w:vAlign w:val="center"/>
          </w:tcPr>
          <w:p w14:paraId="57F749D0">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5</w:t>
            </w:r>
          </w:p>
        </w:tc>
        <w:tc>
          <w:tcPr>
            <w:tcW w:w="6196" w:type="dxa"/>
            <w:noWrap w:val="0"/>
            <w:tcMar>
              <w:top w:w="150" w:type="dxa"/>
              <w:left w:w="240" w:type="dxa"/>
              <w:bottom w:w="150" w:type="dxa"/>
              <w:right w:w="240" w:type="dxa"/>
            </w:tcMar>
            <w:vAlign w:val="center"/>
          </w:tcPr>
          <w:p w14:paraId="15570142">
            <w:pPr>
              <w:keepNext/>
              <w:keepLines w:val="0"/>
              <w:widowControl/>
              <w:numPr>
                <w:ilvl w:val="0"/>
                <w:numId w:val="2"/>
              </w:numPr>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核心城市口号设计鲜明独特，大气新颖，对青年群体吸引力强的，得5分。</w:t>
            </w:r>
          </w:p>
          <w:p w14:paraId="41775929">
            <w:pPr>
              <w:keepNext/>
              <w:keepLines w:val="0"/>
              <w:widowControl/>
              <w:numPr>
                <w:ilvl w:val="0"/>
                <w:numId w:val="2"/>
              </w:numPr>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核心城市口号设计较合理，有一定吸引力的，得3分。</w:t>
            </w:r>
          </w:p>
          <w:p w14:paraId="36E9B8E9">
            <w:pPr>
              <w:keepNext/>
              <w:keepLines w:val="0"/>
              <w:widowControl/>
              <w:numPr>
                <w:ilvl w:val="0"/>
                <w:numId w:val="2"/>
              </w:numPr>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核心城市视觉符号和口号设计一般，取景方案一般的，得1分。</w:t>
            </w:r>
          </w:p>
          <w:p w14:paraId="51E3334E">
            <w:pPr>
              <w:keepNext/>
              <w:keepLines w:val="0"/>
              <w:widowControl/>
              <w:numPr>
                <w:ilvl w:val="0"/>
                <w:numId w:val="0"/>
              </w:numPr>
              <w:suppressLineNumbers w:val="0"/>
              <w:snapToGrid w:val="0"/>
              <w:ind w:leftChars="0" w:right="0" w:right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b/>
                <w:bCs/>
                <w:kern w:val="0"/>
                <w:sz w:val="30"/>
                <w:szCs w:val="30"/>
                <w:lang w:val="en-US" w:eastAsia="zh-CN" w:bidi="ar"/>
              </w:rPr>
              <w:t>备注：</w:t>
            </w:r>
            <w:r>
              <w:rPr>
                <w:rFonts w:hint="eastAsia" w:ascii="方正仿宋_GBK" w:hAnsi="方正仿宋_GBK" w:eastAsia="方正仿宋_GBK" w:cs="方正仿宋_GBK"/>
                <w:kern w:val="0"/>
                <w:sz w:val="30"/>
                <w:szCs w:val="30"/>
                <w:lang w:val="en-US" w:eastAsia="zh-CN" w:bidi="ar"/>
              </w:rPr>
              <w:t>未提供本项响应内容的不得分。</w:t>
            </w:r>
          </w:p>
        </w:tc>
        <w:tc>
          <w:tcPr>
            <w:tcW w:w="775" w:type="dxa"/>
            <w:noWrap w:val="0"/>
            <w:tcMar>
              <w:top w:w="150" w:type="dxa"/>
              <w:left w:w="240" w:type="dxa"/>
              <w:bottom w:w="150" w:type="dxa"/>
              <w:right w:w="0" w:type="dxa"/>
            </w:tcMar>
            <w:vAlign w:val="center"/>
          </w:tcPr>
          <w:p w14:paraId="14B0952C">
            <w:pPr>
              <w:keepNext/>
              <w:snapToGrid w:val="0"/>
              <w:ind w:left="0" w:leftChars="0" w:right="0" w:rightChars="0" w:firstLine="0" w:firstLineChars="0"/>
              <w:jc w:val="left"/>
              <w:rPr>
                <w:rFonts w:hint="eastAsia" w:ascii="方正仿宋_GBK" w:hAnsi="方正仿宋_GBK" w:eastAsia="方正仿宋_GBK" w:cs="方正仿宋_GBK"/>
                <w:sz w:val="30"/>
                <w:szCs w:val="30"/>
              </w:rPr>
            </w:pPr>
          </w:p>
        </w:tc>
      </w:tr>
      <w:tr w14:paraId="1891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65" w:type="dxa"/>
            <w:noWrap w:val="0"/>
            <w:tcMar>
              <w:top w:w="150" w:type="dxa"/>
              <w:left w:w="0" w:type="dxa"/>
              <w:bottom w:w="150" w:type="dxa"/>
              <w:right w:w="240" w:type="dxa"/>
            </w:tcMar>
            <w:vAlign w:val="center"/>
          </w:tcPr>
          <w:p w14:paraId="2C5B2373">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3</w:t>
            </w:r>
          </w:p>
        </w:tc>
        <w:tc>
          <w:tcPr>
            <w:tcW w:w="1410" w:type="dxa"/>
            <w:noWrap w:val="0"/>
            <w:tcMar>
              <w:top w:w="150" w:type="dxa"/>
              <w:left w:w="240" w:type="dxa"/>
              <w:bottom w:w="150" w:type="dxa"/>
              <w:right w:w="240" w:type="dxa"/>
            </w:tcMar>
            <w:vAlign w:val="center"/>
          </w:tcPr>
          <w:p w14:paraId="2FA2AA40">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团队</w:t>
            </w:r>
          </w:p>
          <w:p w14:paraId="7AA3F661">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配置</w:t>
            </w:r>
          </w:p>
        </w:tc>
        <w:tc>
          <w:tcPr>
            <w:tcW w:w="784" w:type="dxa"/>
            <w:noWrap w:val="0"/>
            <w:tcMar>
              <w:top w:w="150" w:type="dxa"/>
              <w:left w:w="240" w:type="dxa"/>
              <w:bottom w:w="150" w:type="dxa"/>
              <w:right w:w="240" w:type="dxa"/>
            </w:tcMar>
            <w:vAlign w:val="center"/>
          </w:tcPr>
          <w:p w14:paraId="22C03AE9">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10</w:t>
            </w:r>
          </w:p>
        </w:tc>
        <w:tc>
          <w:tcPr>
            <w:tcW w:w="6196" w:type="dxa"/>
            <w:noWrap w:val="0"/>
            <w:tcMar>
              <w:top w:w="150" w:type="dxa"/>
              <w:left w:w="240" w:type="dxa"/>
              <w:bottom w:w="150" w:type="dxa"/>
              <w:right w:w="240" w:type="dxa"/>
            </w:tcMar>
            <w:vAlign w:val="center"/>
          </w:tcPr>
          <w:p w14:paraId="567C25ED">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b/>
                <w:bCs/>
                <w:kern w:val="0"/>
                <w:sz w:val="30"/>
                <w:szCs w:val="30"/>
                <w:lang w:val="en-US" w:eastAsia="zh-CN" w:bidi="ar"/>
              </w:rPr>
              <w:t>人员配置（5分）</w:t>
            </w:r>
            <w:r>
              <w:rPr>
                <w:rFonts w:hint="eastAsia" w:ascii="方正仿宋_GBK" w:hAnsi="方正仿宋_GBK" w:eastAsia="方正仿宋_GBK" w:cs="方正仿宋_GBK"/>
                <w:kern w:val="0"/>
                <w:sz w:val="30"/>
                <w:szCs w:val="30"/>
                <w:lang w:val="en-US" w:eastAsia="zh-CN" w:bidi="ar"/>
              </w:rPr>
              <w:t> ：拟安排团队成员在6人及以上的得8分，安排4-5人的得5分，安排3-4人得2分，1-2人的得1分，不提供名单不得分。（需提供人员名单和2025年以来任意1个月的社保购买记录）</w:t>
            </w:r>
          </w:p>
          <w:p w14:paraId="3BC75E2E">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b/>
                <w:bCs/>
                <w:kern w:val="0"/>
                <w:sz w:val="30"/>
                <w:szCs w:val="30"/>
                <w:lang w:val="en-US" w:eastAsia="zh-CN" w:bidi="ar"/>
              </w:rPr>
              <w:t>人员安排（2分）</w:t>
            </w:r>
            <w:r>
              <w:rPr>
                <w:rFonts w:hint="eastAsia" w:ascii="方正仿宋_GBK" w:hAnsi="方正仿宋_GBK" w:eastAsia="方正仿宋_GBK" w:cs="方正仿宋_GBK"/>
                <w:kern w:val="0"/>
                <w:sz w:val="30"/>
                <w:szCs w:val="30"/>
                <w:lang w:val="en-US" w:eastAsia="zh-CN" w:bidi="ar"/>
              </w:rPr>
              <w:t> ：提供人员具体分工安排。</w:t>
            </w:r>
          </w:p>
          <w:p w14:paraId="241ADDD1">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b/>
                <w:bCs/>
                <w:kern w:val="0"/>
                <w:sz w:val="30"/>
                <w:szCs w:val="30"/>
                <w:lang w:val="en-US" w:eastAsia="zh-CN" w:bidi="ar"/>
              </w:rPr>
              <w:t>核心人员经验（3分）</w:t>
            </w:r>
            <w:r>
              <w:rPr>
                <w:rFonts w:hint="eastAsia" w:ascii="方正仿宋_GBK" w:hAnsi="方正仿宋_GBK" w:eastAsia="方正仿宋_GBK" w:cs="方正仿宋_GBK"/>
                <w:kern w:val="0"/>
                <w:sz w:val="30"/>
                <w:szCs w:val="30"/>
                <w:lang w:val="en-US" w:eastAsia="zh-CN" w:bidi="ar"/>
              </w:rPr>
              <w:t> ：导演或主创人员具有幽默短剧、创意宣传片或商业广告片制作经验，每个有效项目证明（需提供成片链接或案例，案例有署名）得1.5分，最高3分。</w:t>
            </w:r>
          </w:p>
          <w:p w14:paraId="29805FE3">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备注：如未提供人员社保记录该项全部不得分。</w:t>
            </w:r>
          </w:p>
        </w:tc>
        <w:tc>
          <w:tcPr>
            <w:tcW w:w="775" w:type="dxa"/>
            <w:noWrap w:val="0"/>
            <w:tcMar>
              <w:top w:w="150" w:type="dxa"/>
              <w:left w:w="240" w:type="dxa"/>
              <w:bottom w:w="150" w:type="dxa"/>
              <w:right w:w="0" w:type="dxa"/>
            </w:tcMar>
            <w:vAlign w:val="center"/>
          </w:tcPr>
          <w:p w14:paraId="7547797F">
            <w:pPr>
              <w:keepNext/>
              <w:snapToGrid w:val="0"/>
              <w:ind w:left="0" w:leftChars="0" w:right="0" w:rightChars="0" w:firstLine="0" w:firstLineChars="0"/>
              <w:jc w:val="left"/>
              <w:rPr>
                <w:rFonts w:hint="eastAsia" w:ascii="方正仿宋_GBK" w:hAnsi="方正仿宋_GBK" w:eastAsia="方正仿宋_GBK" w:cs="方正仿宋_GBK"/>
                <w:sz w:val="30"/>
                <w:szCs w:val="30"/>
              </w:rPr>
            </w:pPr>
          </w:p>
        </w:tc>
      </w:tr>
      <w:tr w14:paraId="5830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65" w:type="dxa"/>
            <w:noWrap w:val="0"/>
            <w:tcMar>
              <w:top w:w="150" w:type="dxa"/>
              <w:left w:w="0" w:type="dxa"/>
              <w:bottom w:w="150" w:type="dxa"/>
              <w:right w:w="240" w:type="dxa"/>
            </w:tcMar>
            <w:vAlign w:val="center"/>
          </w:tcPr>
          <w:p w14:paraId="6B3DAE41">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4</w:t>
            </w:r>
          </w:p>
        </w:tc>
        <w:tc>
          <w:tcPr>
            <w:tcW w:w="1410" w:type="dxa"/>
            <w:noWrap w:val="0"/>
            <w:tcMar>
              <w:top w:w="150" w:type="dxa"/>
              <w:left w:w="240" w:type="dxa"/>
              <w:bottom w:w="150" w:type="dxa"/>
              <w:right w:w="240" w:type="dxa"/>
            </w:tcMar>
            <w:vAlign w:val="center"/>
          </w:tcPr>
          <w:p w14:paraId="7ADFF916">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技术</w:t>
            </w:r>
          </w:p>
          <w:p w14:paraId="7E457F9A">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能力</w:t>
            </w:r>
          </w:p>
        </w:tc>
        <w:tc>
          <w:tcPr>
            <w:tcW w:w="784" w:type="dxa"/>
            <w:noWrap w:val="0"/>
            <w:tcMar>
              <w:top w:w="150" w:type="dxa"/>
              <w:left w:w="240" w:type="dxa"/>
              <w:bottom w:w="150" w:type="dxa"/>
              <w:right w:w="240" w:type="dxa"/>
            </w:tcMar>
            <w:vAlign w:val="center"/>
          </w:tcPr>
          <w:p w14:paraId="6FF1BB5A">
            <w:pPr>
              <w:keepNext/>
              <w:keepLines w:val="0"/>
              <w:widowControl/>
              <w:suppressLineNumbers w:val="0"/>
              <w:snapToGrid w:val="0"/>
              <w:ind w:left="0" w:leftChars="0" w:right="0" w:rightChars="0" w:firstLine="0" w:firstLineChars="0"/>
              <w:jc w:val="left"/>
              <w:rPr>
                <w:rFonts w:hint="default" w:ascii="方正仿宋_GBK" w:hAnsi="方正仿宋_GBK" w:eastAsia="方正仿宋_GBK" w:cs="方正仿宋_GBK"/>
                <w:sz w:val="30"/>
                <w:szCs w:val="30"/>
                <w:lang w:val="en-US"/>
              </w:rPr>
            </w:pPr>
            <w:r>
              <w:rPr>
                <w:rFonts w:hint="eastAsia" w:ascii="方正仿宋_GBK" w:hAnsi="方正仿宋_GBK" w:eastAsia="方正仿宋_GBK" w:cs="方正仿宋_GBK"/>
                <w:kern w:val="0"/>
                <w:sz w:val="30"/>
                <w:szCs w:val="30"/>
                <w:lang w:val="en-US" w:eastAsia="zh-CN" w:bidi="ar"/>
              </w:rPr>
              <w:t>20</w:t>
            </w:r>
          </w:p>
        </w:tc>
        <w:tc>
          <w:tcPr>
            <w:tcW w:w="6196" w:type="dxa"/>
            <w:noWrap w:val="0"/>
            <w:tcMar>
              <w:top w:w="150" w:type="dxa"/>
              <w:left w:w="240" w:type="dxa"/>
              <w:bottom w:w="150" w:type="dxa"/>
              <w:right w:w="240" w:type="dxa"/>
            </w:tcMar>
            <w:vAlign w:val="center"/>
          </w:tcPr>
          <w:p w14:paraId="79E21C89">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b/>
                <w:bCs/>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提供以往幽默短剧、创意宣传片案例进行评审：</w:t>
            </w:r>
            <w:r>
              <w:rPr>
                <w:rFonts w:hint="eastAsia" w:ascii="方正仿宋_GBK" w:hAnsi="方正仿宋_GBK" w:eastAsia="方正仿宋_GBK" w:cs="方正仿宋_GBK"/>
                <w:b/>
                <w:bCs/>
                <w:kern w:val="0"/>
                <w:sz w:val="30"/>
                <w:szCs w:val="30"/>
                <w:lang w:val="en-US" w:eastAsia="zh-CN" w:bidi="ar"/>
              </w:rPr>
              <w:t>提供2个成片案例（提供成片链接或者将成片拷贝至U盘）。</w:t>
            </w:r>
          </w:p>
          <w:p w14:paraId="2E6707D8">
            <w:pPr>
              <w:keepNext/>
              <w:keepLines w:val="0"/>
              <w:widowControl/>
              <w:numPr>
                <w:ilvl w:val="0"/>
                <w:numId w:val="3"/>
              </w:numPr>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案例幽默感强、节奏轻快、制作精良、画面大气、传播力强，阅读量超10万，得14-20分；</w:t>
            </w:r>
          </w:p>
          <w:p w14:paraId="2B0A3DEE">
            <w:pPr>
              <w:keepNext/>
              <w:keepLines w:val="0"/>
              <w:widowControl/>
              <w:numPr>
                <w:ilvl w:val="0"/>
                <w:numId w:val="3"/>
              </w:numPr>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案例幽默感较强、制作较精良，阅读量超5万，得7-13分；</w:t>
            </w:r>
          </w:p>
          <w:p w14:paraId="47FB30A3">
            <w:pPr>
              <w:keepNext/>
              <w:keepLines w:val="0"/>
              <w:widowControl/>
              <w:numPr>
                <w:ilvl w:val="0"/>
                <w:numId w:val="3"/>
              </w:numPr>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案例质量一般，阅读量不足5万，得1-6分。</w:t>
            </w:r>
          </w:p>
        </w:tc>
        <w:tc>
          <w:tcPr>
            <w:tcW w:w="775" w:type="dxa"/>
            <w:noWrap w:val="0"/>
            <w:tcMar>
              <w:top w:w="150" w:type="dxa"/>
              <w:left w:w="240" w:type="dxa"/>
              <w:bottom w:w="150" w:type="dxa"/>
              <w:right w:w="0" w:type="dxa"/>
            </w:tcMar>
            <w:vAlign w:val="center"/>
          </w:tcPr>
          <w:p w14:paraId="7DBB1BC7">
            <w:pPr>
              <w:keepNext/>
              <w:snapToGrid w:val="0"/>
              <w:ind w:left="0" w:leftChars="0" w:right="0" w:rightChars="0" w:firstLine="0" w:firstLineChars="0"/>
              <w:jc w:val="left"/>
              <w:rPr>
                <w:rFonts w:hint="eastAsia" w:ascii="方正仿宋_GBK" w:hAnsi="方正仿宋_GBK" w:eastAsia="方正仿宋_GBK" w:cs="方正仿宋_GBK"/>
                <w:sz w:val="30"/>
                <w:szCs w:val="30"/>
              </w:rPr>
            </w:pPr>
          </w:p>
        </w:tc>
      </w:tr>
      <w:tr w14:paraId="783E1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65" w:type="dxa"/>
            <w:noWrap w:val="0"/>
            <w:tcMar>
              <w:top w:w="150" w:type="dxa"/>
              <w:left w:w="0" w:type="dxa"/>
              <w:bottom w:w="150" w:type="dxa"/>
              <w:right w:w="240" w:type="dxa"/>
            </w:tcMar>
            <w:vAlign w:val="center"/>
          </w:tcPr>
          <w:p w14:paraId="584599C2">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5</w:t>
            </w:r>
          </w:p>
        </w:tc>
        <w:tc>
          <w:tcPr>
            <w:tcW w:w="1410" w:type="dxa"/>
            <w:noWrap w:val="0"/>
            <w:tcMar>
              <w:top w:w="150" w:type="dxa"/>
              <w:left w:w="240" w:type="dxa"/>
              <w:bottom w:w="150" w:type="dxa"/>
              <w:right w:w="240" w:type="dxa"/>
            </w:tcMar>
            <w:vAlign w:val="center"/>
          </w:tcPr>
          <w:p w14:paraId="63D7EF96">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传播推广能力</w:t>
            </w:r>
          </w:p>
        </w:tc>
        <w:tc>
          <w:tcPr>
            <w:tcW w:w="784" w:type="dxa"/>
            <w:noWrap w:val="0"/>
            <w:tcMar>
              <w:top w:w="150" w:type="dxa"/>
              <w:left w:w="240" w:type="dxa"/>
              <w:bottom w:w="150" w:type="dxa"/>
              <w:right w:w="240" w:type="dxa"/>
            </w:tcMar>
            <w:vAlign w:val="center"/>
          </w:tcPr>
          <w:p w14:paraId="210C72BE">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15</w:t>
            </w:r>
          </w:p>
        </w:tc>
        <w:tc>
          <w:tcPr>
            <w:tcW w:w="6196" w:type="dxa"/>
            <w:noWrap w:val="0"/>
            <w:tcMar>
              <w:top w:w="150" w:type="dxa"/>
              <w:left w:w="240" w:type="dxa"/>
              <w:bottom w:w="150" w:type="dxa"/>
              <w:right w:w="240" w:type="dxa"/>
            </w:tcMar>
            <w:vAlign w:val="center"/>
          </w:tcPr>
          <w:p w14:paraId="7DED72BB">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根据响应商自身拥有的传播平台资源及推广方案进行评审：</w:t>
            </w:r>
          </w:p>
          <w:p w14:paraId="03962AB7">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b/>
                <w:bCs/>
                <w:kern w:val="0"/>
                <w:sz w:val="30"/>
                <w:szCs w:val="30"/>
                <w:lang w:val="en-US" w:eastAsia="zh-CN" w:bidi="ar"/>
              </w:rPr>
              <w:t>自有平台资源（10分）</w:t>
            </w:r>
            <w:r>
              <w:rPr>
                <w:rFonts w:hint="eastAsia" w:ascii="方正仿宋_GBK" w:hAnsi="方正仿宋_GBK" w:eastAsia="方正仿宋_GBK" w:cs="方正仿宋_GBK"/>
                <w:kern w:val="0"/>
                <w:sz w:val="30"/>
                <w:szCs w:val="30"/>
                <w:lang w:val="en-US" w:eastAsia="zh-CN" w:bidi="ar"/>
              </w:rPr>
              <w:t> ：拥有自有新媒体账号（如抖音、视频号、B站等）或分发渠道，粉丝总量15万及以上每个平台得4分，粉丝总量10-15每个平台得2分，粉丝总量不足10万每个平台得1分，1万以下不得分。该项最高得分10分。（需提供账号截图、粉丝量证明等材料）</w:t>
            </w:r>
          </w:p>
          <w:p w14:paraId="352AF8BC">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b/>
                <w:bCs/>
                <w:kern w:val="0"/>
                <w:sz w:val="30"/>
                <w:szCs w:val="30"/>
                <w:lang w:val="en-US" w:eastAsia="zh-CN" w:bidi="ar"/>
              </w:rPr>
              <w:t>推广方案（5分）</w:t>
            </w:r>
            <w:r>
              <w:rPr>
                <w:rFonts w:hint="eastAsia" w:ascii="方正仿宋_GBK" w:hAnsi="方正仿宋_GBK" w:eastAsia="方正仿宋_GBK" w:cs="方正仿宋_GBK"/>
                <w:kern w:val="0"/>
                <w:sz w:val="30"/>
                <w:szCs w:val="30"/>
                <w:lang w:val="en-US" w:eastAsia="zh-CN" w:bidi="ar"/>
              </w:rPr>
              <w:t> ：1.推广方案针对性强、覆盖渠道广、传播策略清晰的，有明确时间节点，得4-5分；</w:t>
            </w:r>
          </w:p>
          <w:p w14:paraId="3E8A9DBE">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2.推广方案较合理、有一定针对性的、有推广渠道，得2-3分；</w:t>
            </w:r>
          </w:p>
          <w:p w14:paraId="0E5909AB">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3.推广方案一般、针对性较弱的，得1分。</w:t>
            </w:r>
          </w:p>
          <w:p w14:paraId="64241F86">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b/>
                <w:bCs/>
                <w:kern w:val="0"/>
                <w:sz w:val="30"/>
                <w:szCs w:val="30"/>
                <w:lang w:val="en-US" w:eastAsia="zh-CN" w:bidi="ar"/>
              </w:rPr>
              <w:t>备注：</w:t>
            </w:r>
            <w:r>
              <w:rPr>
                <w:rFonts w:hint="eastAsia" w:ascii="方正仿宋_GBK" w:hAnsi="方正仿宋_GBK" w:eastAsia="方正仿宋_GBK" w:cs="方正仿宋_GBK"/>
                <w:kern w:val="0"/>
                <w:sz w:val="30"/>
                <w:szCs w:val="30"/>
                <w:lang w:val="en-US" w:eastAsia="zh-CN" w:bidi="ar"/>
              </w:rPr>
              <w:t>未提供本项响应内容的不得分。</w:t>
            </w:r>
          </w:p>
        </w:tc>
        <w:tc>
          <w:tcPr>
            <w:tcW w:w="775" w:type="dxa"/>
            <w:noWrap w:val="0"/>
            <w:tcMar>
              <w:top w:w="150" w:type="dxa"/>
              <w:left w:w="240" w:type="dxa"/>
              <w:bottom w:w="150" w:type="dxa"/>
              <w:right w:w="0" w:type="dxa"/>
            </w:tcMar>
            <w:vAlign w:val="center"/>
          </w:tcPr>
          <w:p w14:paraId="176DF40D">
            <w:pPr>
              <w:keepNext/>
              <w:snapToGrid w:val="0"/>
              <w:ind w:left="0" w:leftChars="0" w:right="0" w:rightChars="0" w:firstLine="0" w:firstLineChars="0"/>
              <w:jc w:val="left"/>
              <w:rPr>
                <w:rFonts w:hint="eastAsia" w:ascii="方正仿宋_GBK" w:hAnsi="方正仿宋_GBK" w:eastAsia="方正仿宋_GBK" w:cs="方正仿宋_GBK"/>
                <w:sz w:val="30"/>
                <w:szCs w:val="30"/>
              </w:rPr>
            </w:pPr>
          </w:p>
        </w:tc>
      </w:tr>
      <w:tr w14:paraId="42E44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65" w:type="dxa"/>
            <w:noWrap w:val="0"/>
            <w:tcMar>
              <w:top w:w="150" w:type="dxa"/>
              <w:left w:w="0" w:type="dxa"/>
              <w:bottom w:w="150" w:type="dxa"/>
              <w:right w:w="240" w:type="dxa"/>
            </w:tcMar>
            <w:vAlign w:val="center"/>
          </w:tcPr>
          <w:p w14:paraId="49340203">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6</w:t>
            </w:r>
          </w:p>
        </w:tc>
        <w:tc>
          <w:tcPr>
            <w:tcW w:w="1410" w:type="dxa"/>
            <w:noWrap w:val="0"/>
            <w:tcMar>
              <w:top w:w="150" w:type="dxa"/>
              <w:left w:w="240" w:type="dxa"/>
              <w:bottom w:w="150" w:type="dxa"/>
              <w:right w:w="240" w:type="dxa"/>
            </w:tcMar>
            <w:vAlign w:val="center"/>
          </w:tcPr>
          <w:p w14:paraId="53FAF61C">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同类</w:t>
            </w:r>
          </w:p>
          <w:p w14:paraId="0DFBEB24">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业绩</w:t>
            </w:r>
          </w:p>
        </w:tc>
        <w:tc>
          <w:tcPr>
            <w:tcW w:w="784" w:type="dxa"/>
            <w:noWrap w:val="0"/>
            <w:tcMar>
              <w:top w:w="150" w:type="dxa"/>
              <w:left w:w="240" w:type="dxa"/>
              <w:bottom w:w="150" w:type="dxa"/>
              <w:right w:w="240" w:type="dxa"/>
            </w:tcMar>
            <w:vAlign w:val="center"/>
          </w:tcPr>
          <w:p w14:paraId="074DE61A">
            <w:pPr>
              <w:keepNext/>
              <w:keepLines w:val="0"/>
              <w:widowControl/>
              <w:suppressLineNumbers w:val="0"/>
              <w:snapToGrid w:val="0"/>
              <w:ind w:left="0" w:leftChars="0" w:right="0" w:rightChars="0" w:firstLine="0" w:firstLineChars="0"/>
              <w:jc w:val="left"/>
              <w:rPr>
                <w:rFonts w:hint="default" w:ascii="方正仿宋_GBK" w:hAnsi="方正仿宋_GBK" w:eastAsia="方正仿宋_GBK" w:cs="方正仿宋_GBK"/>
                <w:sz w:val="30"/>
                <w:szCs w:val="30"/>
                <w:lang w:val="en-US"/>
              </w:rPr>
            </w:pPr>
            <w:r>
              <w:rPr>
                <w:rFonts w:hint="eastAsia" w:ascii="方正仿宋_GBK" w:hAnsi="方正仿宋_GBK" w:eastAsia="方正仿宋_GBK" w:cs="方正仿宋_GBK"/>
                <w:kern w:val="0"/>
                <w:sz w:val="30"/>
                <w:szCs w:val="30"/>
                <w:lang w:val="en-US" w:eastAsia="zh-CN" w:bidi="ar"/>
              </w:rPr>
              <w:t>10</w:t>
            </w:r>
          </w:p>
        </w:tc>
        <w:tc>
          <w:tcPr>
            <w:tcW w:w="6196" w:type="dxa"/>
            <w:noWrap w:val="0"/>
            <w:tcMar>
              <w:top w:w="150" w:type="dxa"/>
              <w:left w:w="240" w:type="dxa"/>
              <w:bottom w:w="150" w:type="dxa"/>
              <w:right w:w="240" w:type="dxa"/>
            </w:tcMar>
            <w:vAlign w:val="center"/>
          </w:tcPr>
          <w:p w14:paraId="39A5716F">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根据投标人2023年1月1日（以合同签订时间为准）至本项目投标截止之日承接大型地级城市宣传片或引才创意宣传片制作项目案例进行评分，每提供1项有效业绩得5分，本小项最高10分。</w:t>
            </w:r>
          </w:p>
          <w:p w14:paraId="4FBADE9B">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（提供合同关键页证明文件复印件，未提供或无法判断的不计分。）</w:t>
            </w:r>
          </w:p>
        </w:tc>
        <w:tc>
          <w:tcPr>
            <w:tcW w:w="775" w:type="dxa"/>
            <w:noWrap w:val="0"/>
            <w:tcMar>
              <w:top w:w="150" w:type="dxa"/>
              <w:left w:w="240" w:type="dxa"/>
              <w:bottom w:w="150" w:type="dxa"/>
              <w:right w:w="0" w:type="dxa"/>
            </w:tcMar>
            <w:vAlign w:val="center"/>
          </w:tcPr>
          <w:p w14:paraId="7810642F">
            <w:pPr>
              <w:keepNext/>
              <w:snapToGrid w:val="0"/>
              <w:ind w:left="0" w:leftChars="0" w:right="0" w:rightChars="0" w:firstLine="0" w:firstLineChars="0"/>
              <w:jc w:val="left"/>
              <w:rPr>
                <w:rFonts w:hint="eastAsia" w:ascii="方正仿宋_GBK" w:hAnsi="方正仿宋_GBK" w:eastAsia="方正仿宋_GBK" w:cs="方正仿宋_GBK"/>
                <w:sz w:val="30"/>
                <w:szCs w:val="30"/>
              </w:rPr>
            </w:pPr>
          </w:p>
        </w:tc>
      </w:tr>
      <w:tr w14:paraId="3DAE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565" w:type="dxa"/>
            <w:noWrap w:val="0"/>
            <w:tcMar>
              <w:top w:w="150" w:type="dxa"/>
              <w:left w:w="0" w:type="dxa"/>
              <w:bottom w:w="150" w:type="dxa"/>
              <w:right w:w="240" w:type="dxa"/>
            </w:tcMar>
            <w:vAlign w:val="center"/>
          </w:tcPr>
          <w:p w14:paraId="01C24E2A">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7</w:t>
            </w:r>
          </w:p>
        </w:tc>
        <w:tc>
          <w:tcPr>
            <w:tcW w:w="1410" w:type="dxa"/>
            <w:noWrap w:val="0"/>
            <w:tcMar>
              <w:top w:w="150" w:type="dxa"/>
              <w:left w:w="240" w:type="dxa"/>
              <w:bottom w:w="150" w:type="dxa"/>
              <w:right w:w="240" w:type="dxa"/>
            </w:tcMar>
            <w:vAlign w:val="center"/>
          </w:tcPr>
          <w:p w14:paraId="43042CC1">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价格</w:t>
            </w:r>
          </w:p>
          <w:p w14:paraId="185AE3C2">
            <w:pPr>
              <w:keepNext/>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评分</w:t>
            </w:r>
          </w:p>
        </w:tc>
        <w:tc>
          <w:tcPr>
            <w:tcW w:w="784" w:type="dxa"/>
            <w:noWrap w:val="0"/>
            <w:tcMar>
              <w:top w:w="150" w:type="dxa"/>
              <w:left w:w="240" w:type="dxa"/>
              <w:bottom w:w="150" w:type="dxa"/>
              <w:right w:w="240" w:type="dxa"/>
            </w:tcMar>
            <w:vAlign w:val="center"/>
          </w:tcPr>
          <w:p w14:paraId="086B7987">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lang w:val="en-US" w:eastAsia="zh-CN" w:bidi="ar"/>
              </w:rPr>
              <w:t>15</w:t>
            </w:r>
          </w:p>
        </w:tc>
        <w:tc>
          <w:tcPr>
            <w:tcW w:w="6196" w:type="dxa"/>
            <w:noWrap w:val="0"/>
            <w:tcMar>
              <w:top w:w="150" w:type="dxa"/>
              <w:left w:w="240" w:type="dxa"/>
              <w:bottom w:w="150" w:type="dxa"/>
              <w:right w:w="240" w:type="dxa"/>
            </w:tcMar>
            <w:vAlign w:val="center"/>
          </w:tcPr>
          <w:p w14:paraId="51A33B1F">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kern w:val="0"/>
                <w:sz w:val="30"/>
                <w:szCs w:val="30"/>
                <w:lang w:val="en-US" w:eastAsia="zh-CN" w:bidi="ar"/>
              </w:rPr>
            </w:pPr>
            <w:r>
              <w:rPr>
                <w:rFonts w:hint="eastAsia" w:ascii="方正仿宋_GBK" w:hAnsi="方正仿宋_GBK" w:eastAsia="方正仿宋_GBK" w:cs="方正仿宋_GBK"/>
                <w:kern w:val="0"/>
                <w:sz w:val="30"/>
                <w:szCs w:val="30"/>
                <w:lang w:val="en-US" w:eastAsia="zh-CN" w:bidi="ar"/>
              </w:rPr>
              <w:t>各有效投标人的评标价中，取最低价为评标基准价，其价格为满分，其他投标人价格分按公式计算：价格评分=（评分基准价/评标价）×15分。</w:t>
            </w:r>
          </w:p>
          <w:p w14:paraId="58D84262">
            <w:pPr>
              <w:keepNext/>
              <w:keepLines w:val="0"/>
              <w:widowControl/>
              <w:suppressLineNumbers w:val="0"/>
              <w:snapToGrid w:val="0"/>
              <w:ind w:left="0" w:leftChars="0" w:right="0" w:rightChars="0" w:firstLine="0" w:firstLineChars="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b/>
                <w:bCs/>
                <w:kern w:val="0"/>
                <w:sz w:val="30"/>
                <w:szCs w:val="30"/>
                <w:lang w:val="en-US" w:eastAsia="zh-CN" w:bidi="ar"/>
              </w:rPr>
              <w:t>注：</w:t>
            </w:r>
            <w:r>
              <w:rPr>
                <w:rFonts w:hint="eastAsia" w:ascii="方正仿宋_GBK" w:hAnsi="方正仿宋_GBK" w:eastAsia="方正仿宋_GBK" w:cs="方正仿宋_GBK"/>
                <w:kern w:val="0"/>
                <w:sz w:val="30"/>
                <w:szCs w:val="30"/>
                <w:lang w:val="en-US" w:eastAsia="zh-CN" w:bidi="ar"/>
              </w:rPr>
              <w:t>若报价低于采购预算金额的80%，须对报价合理性及成本构成作书面说明，否则视为报价无效。</w:t>
            </w:r>
          </w:p>
        </w:tc>
        <w:tc>
          <w:tcPr>
            <w:tcW w:w="775" w:type="dxa"/>
            <w:noWrap w:val="0"/>
            <w:vAlign w:val="center"/>
          </w:tcPr>
          <w:p w14:paraId="0D816F4B">
            <w:pPr>
              <w:keepNext/>
              <w:snapToGrid w:val="0"/>
              <w:ind w:left="0" w:leftChars="0" w:right="0" w:rightChars="0" w:firstLine="0" w:firstLineChars="0"/>
              <w:jc w:val="left"/>
              <w:rPr>
                <w:rFonts w:hint="eastAsia" w:ascii="方正仿宋_GBK" w:hAnsi="方正仿宋_GBK" w:eastAsia="方正仿宋_GBK" w:cs="方正仿宋_GBK"/>
                <w:sz w:val="30"/>
                <w:szCs w:val="30"/>
              </w:rPr>
            </w:pPr>
          </w:p>
        </w:tc>
      </w:tr>
    </w:tbl>
    <w:p w14:paraId="17E0F886">
      <w:pPr>
        <w:adjustRightInd w:val="0"/>
        <w:snapToGrid w:val="0"/>
        <w:spacing w:line="560" w:lineRule="exact"/>
        <w:jc w:val="left"/>
        <w:rPr>
          <w:rFonts w:hint="eastAsia" w:ascii="方正黑体_GBK" w:hAnsi="方正黑体_GBK" w:eastAsia="方正黑体_GBK" w:cs="方正黑体_GBK"/>
          <w:b w:val="0"/>
          <w:bCs/>
          <w:sz w:val="32"/>
          <w:szCs w:val="32"/>
          <w:lang w:val="en-US" w:eastAsia="zh-CN"/>
        </w:rPr>
      </w:pPr>
    </w:p>
    <w:p w14:paraId="7765D2B9">
      <w:pPr>
        <w:adjustRightInd w:val="0"/>
        <w:snapToGrid w:val="0"/>
        <w:spacing w:line="560" w:lineRule="exact"/>
        <w:jc w:val="left"/>
        <w:rPr>
          <w:rFonts w:hint="eastAsia" w:ascii="方正黑体_GBK" w:hAnsi="方正黑体_GBK" w:eastAsia="方正黑体_GBK" w:cs="方正黑体_GBK"/>
          <w:b w:val="0"/>
          <w:bCs/>
          <w:sz w:val="32"/>
          <w:szCs w:val="32"/>
          <w:lang w:val="en-US" w:eastAsia="zh-CN"/>
        </w:rPr>
      </w:pPr>
    </w:p>
    <w:p w14:paraId="47959943">
      <w:pPr>
        <w:adjustRightInd w:val="0"/>
        <w:snapToGrid w:val="0"/>
        <w:spacing w:line="560" w:lineRule="exact"/>
        <w:jc w:val="left"/>
        <w:rPr>
          <w:rFonts w:hint="eastAsia" w:ascii="方正黑体_GBK" w:hAnsi="方正黑体_GBK" w:eastAsia="方正黑体_GBK" w:cs="方正黑体_GBK"/>
          <w:b w:val="0"/>
          <w:bCs/>
          <w:sz w:val="32"/>
          <w:szCs w:val="32"/>
          <w:lang w:val="en-US" w:eastAsia="zh-CN"/>
        </w:rPr>
      </w:pPr>
    </w:p>
    <w:p w14:paraId="10D6EDB9">
      <w:pPr>
        <w:adjustRightInd w:val="0"/>
        <w:snapToGrid w:val="0"/>
        <w:spacing w:line="560" w:lineRule="exact"/>
        <w:jc w:val="left"/>
        <w:rPr>
          <w:rFonts w:hint="eastAsia" w:ascii="方正黑体_GBK" w:hAnsi="方正黑体_GBK" w:eastAsia="方正黑体_GBK" w:cs="方正黑体_GBK"/>
          <w:b w:val="0"/>
          <w:bCs/>
          <w:sz w:val="32"/>
          <w:szCs w:val="32"/>
          <w:lang w:val="en-US" w:eastAsia="zh-CN"/>
        </w:rPr>
      </w:pPr>
    </w:p>
    <w:p w14:paraId="6AB48EE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48042FA-0461-4927-A612-76C3D7708FAB}"/>
  </w:font>
  <w:font w:name="方正黑体_GBK">
    <w:panose1 w:val="02010600010101010101"/>
    <w:charset w:val="86"/>
    <w:family w:val="auto"/>
    <w:pitch w:val="default"/>
    <w:sig w:usb0="00000001" w:usb1="080E0000" w:usb2="00000000" w:usb3="00000000" w:csb0="00040000" w:csb1="00000000"/>
    <w:embedRegular r:id="rId2" w:fontKey="{F19DF28E-3CFE-4055-85D3-842C98BD51E7}"/>
  </w:font>
  <w:font w:name="方正小标宋_GBK">
    <w:panose1 w:val="02000000000000000000"/>
    <w:charset w:val="86"/>
    <w:family w:val="auto"/>
    <w:pitch w:val="default"/>
    <w:sig w:usb0="A00002BF" w:usb1="38CF7CFA" w:usb2="00082016" w:usb3="00000000" w:csb0="00040001" w:csb1="00000000"/>
    <w:embedRegular r:id="rId3" w:fontKey="{ECCC2721-6527-4FD3-9D07-4C6D1EE2EF0C}"/>
  </w:font>
  <w:font w:name="方正仿宋_GBK">
    <w:panose1 w:val="02000000000000000000"/>
    <w:charset w:val="86"/>
    <w:family w:val="auto"/>
    <w:pitch w:val="default"/>
    <w:sig w:usb0="A00002BF" w:usb1="38CF7CFA" w:usb2="00082016" w:usb3="00000000" w:csb0="00040001" w:csb1="00000000"/>
    <w:embedRegular r:id="rId4" w:fontKey="{B44EAF0F-4E8C-42C7-B0BB-9D38DB17E4A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B6B2A2"/>
    <w:multiLevelType w:val="singleLevel"/>
    <w:tmpl w:val="8CB6B2A2"/>
    <w:lvl w:ilvl="0" w:tentative="0">
      <w:start w:val="1"/>
      <w:numFmt w:val="decimal"/>
      <w:lvlText w:val="%1."/>
      <w:lvlJc w:val="left"/>
      <w:pPr>
        <w:tabs>
          <w:tab w:val="left" w:pos="312"/>
        </w:tabs>
      </w:pPr>
    </w:lvl>
  </w:abstractNum>
  <w:abstractNum w:abstractNumId="1">
    <w:nsid w:val="1AAF5FCA"/>
    <w:multiLevelType w:val="singleLevel"/>
    <w:tmpl w:val="1AAF5FCA"/>
    <w:lvl w:ilvl="0" w:tentative="0">
      <w:start w:val="1"/>
      <w:numFmt w:val="decimal"/>
      <w:lvlText w:val="%1."/>
      <w:lvlJc w:val="left"/>
      <w:pPr>
        <w:tabs>
          <w:tab w:val="left" w:pos="312"/>
        </w:tabs>
      </w:pPr>
    </w:lvl>
  </w:abstractNum>
  <w:abstractNum w:abstractNumId="2">
    <w:nsid w:val="44B7B8C8"/>
    <w:multiLevelType w:val="singleLevel"/>
    <w:tmpl w:val="44B7B8C8"/>
    <w:lvl w:ilvl="0" w:tentative="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18504B"/>
    <w:rsid w:val="18185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2026-09-14T03:13:00Z</dcterms:created>
  <dc:creator>陈琪琪</dc:creator>
  <cp:lastModifiedBy>陈琪琪</cp:lastModifiedBy>
  <dcterms:modified xsi:type="dcterms:W3CDTF">2026-09-14T03:19:15Z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B603FD47B556458EAC95731A193A7212_11</vt:lpwstr>
  </property>
  <property fmtid="{D5CDD505-2E9C-101B-9397-08002B2CF9AE}" pid="4" name="KSOTemplateDocerSaveRecord">
    <vt:lpwstr>eyJoZGlkIjoiOWUxOWNlZTRmNmNjMzZiZjExZGI2MTE2YjFjMmEwOGQiLCJ1c2VySWQiOiIyNTMwODYwMjcifQ==</vt:lpwstr>
  </property>
</Properties>
</file>