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val="0"/>
        <w:snapToGrid w:val="0"/>
        <w:spacing w:after="0" w:line="560" w:lineRule="atLeast"/>
        <w:ind w:firstLine="0" w:firstLineChars="0"/>
        <w:jc w:val="both"/>
        <w:textAlignment w:val="auto"/>
        <w:rPr>
          <w:rFonts w:hint="eastAsia" w:ascii="黑体" w:hAnsi="黑体" w:eastAsia="黑体" w:cs="黑体"/>
          <w:sz w:val="32"/>
          <w:szCs w:val="32"/>
        </w:rPr>
      </w:pPr>
      <w:r>
        <w:rPr>
          <w:rFonts w:hint="eastAsia" w:ascii="黑体" w:hAnsi="黑体" w:eastAsia="黑体" w:cs="黑体"/>
          <w:sz w:val="32"/>
          <w:szCs w:val="32"/>
        </w:rPr>
        <w:t>附件1</w:t>
      </w:r>
    </w:p>
    <w:p>
      <w:pPr>
        <w:pStyle w:val="5"/>
        <w:keepNext w:val="0"/>
        <w:keepLines w:val="0"/>
        <w:pageBreakBefore w:val="0"/>
        <w:widowControl w:val="0"/>
        <w:kinsoku/>
        <w:wordWrap/>
        <w:overflowPunct/>
        <w:topLinePunct w:val="0"/>
        <w:autoSpaceDE/>
        <w:autoSpaceDN/>
        <w:bidi w:val="0"/>
        <w:adjustRightInd w:val="0"/>
        <w:snapToGrid w:val="0"/>
        <w:spacing w:after="0" w:line="560" w:lineRule="atLeas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供应商评审表</w:t>
      </w:r>
    </w:p>
    <w:p>
      <w:pPr>
        <w:pStyle w:val="6"/>
        <w:keepNext w:val="0"/>
        <w:keepLines w:val="0"/>
        <w:pageBreakBefore w:val="0"/>
        <w:widowControl w:val="0"/>
        <w:tabs>
          <w:tab w:val="left" w:pos="540"/>
        </w:tabs>
        <w:kinsoku/>
        <w:wordWrap/>
        <w:overflowPunct/>
        <w:topLinePunct w:val="0"/>
        <w:autoSpaceDE/>
        <w:autoSpaceDN/>
        <w:bidi w:val="0"/>
        <w:adjustRightInd w:val="0"/>
        <w:snapToGrid w:val="0"/>
        <w:spacing w:after="0" w:line="560" w:lineRule="atLeast"/>
        <w:jc w:val="both"/>
        <w:textAlignment w:val="auto"/>
        <w:rPr>
          <w:rFonts w:hint="eastAsia" w:ascii="黑体" w:hAnsi="黑体" w:eastAsia="黑体" w:cs="黑体"/>
          <w:sz w:val="32"/>
          <w:szCs w:val="32"/>
        </w:rPr>
      </w:pPr>
    </w:p>
    <w:p>
      <w:pPr>
        <w:pStyle w:val="6"/>
        <w:keepNext w:val="0"/>
        <w:keepLines w:val="0"/>
        <w:pageBreakBefore w:val="0"/>
        <w:widowControl w:val="0"/>
        <w:tabs>
          <w:tab w:val="left" w:pos="540"/>
        </w:tabs>
        <w:kinsoku/>
        <w:wordWrap/>
        <w:overflowPunct/>
        <w:topLinePunct w:val="0"/>
        <w:autoSpaceDE/>
        <w:autoSpaceDN/>
        <w:bidi w:val="0"/>
        <w:adjustRightInd w:val="0"/>
        <w:snapToGrid w:val="0"/>
        <w:spacing w:after="0" w:line="560" w:lineRule="atLeast"/>
        <w:ind w:firstLine="642" w:firstLineChars="200"/>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一、商务要求</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1.供应商应具备《政府采购法》第二十二条规定的条件：</w:t>
      </w:r>
    </w:p>
    <w:p>
      <w:pPr>
        <w:pStyle w:val="12"/>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具有独立承担民事责任的能力；（提供营业执照或事业单位法人证书，或其他主体登记证书等证明文件，自然人参加磋商时须提供自然人的身份证明材料。）</w:t>
      </w:r>
    </w:p>
    <w:p>
      <w:pPr>
        <w:pStyle w:val="12"/>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具有良好的商业信誉和健全的财务会计制度；（提供财务报告或基本开户银行出具的资信证明）</w:t>
      </w:r>
    </w:p>
    <w:p>
      <w:pPr>
        <w:pStyle w:val="12"/>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依法缴纳税收和社会保障资金的良好记录。（提供依法缴纳税收和社会保障资金的相关材料。如依法免税或不需要缴纳社会保障资金的，须提供相应证明材料）</w:t>
      </w:r>
    </w:p>
    <w:p>
      <w:pPr>
        <w:pStyle w:val="12"/>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供应商参加政府采购活动前三年内，在经营活动中没有重大违法记录。（须提供书面声明）</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keepNext w:val="0"/>
        <w:keepLines w:val="0"/>
        <w:pageBreakBefore w:val="0"/>
        <w:widowControl w:val="0"/>
        <w:kinsoku w:val="0"/>
        <w:wordWrap/>
        <w:overflowPunct w:val="0"/>
        <w:topLinePunct w:val="0"/>
        <w:autoSpaceDE w:val="0"/>
        <w:autoSpaceDN w:val="0"/>
        <w:bidi w:val="0"/>
        <w:adjustRightInd w:val="0"/>
        <w:snapToGrid w:val="0"/>
        <w:spacing w:after="0" w:line="560" w:lineRule="atLeast"/>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lang w:val="en-US" w:eastAsia="zh-CN"/>
        </w:rPr>
        <w:t>必</w:t>
      </w:r>
      <w:r>
        <w:rPr>
          <w:rFonts w:hint="eastAsia" w:ascii="仿宋_GB2312" w:hAnsi="仿宋_GB2312" w:eastAsia="仿宋_GB2312" w:cs="仿宋_GB2312"/>
          <w:sz w:val="32"/>
          <w:szCs w:val="32"/>
        </w:rPr>
        <w:t>须未被列入“信用中国”网站（www.creditchina.gov.cn）“记录失信被执行人或重大税收违法案件当事人名单”记录名单；且不处于中国政府采购网（www.ccgp.gov.cn）“政府采购严重违法失信行为信息记录”中的禁止参加政府采购活动期间。（以采购代理机构于提交响应文件截止日当天在“信用中国”网站（www.creditchina.gov.cn）及中国政府采购网查询结果为准，如相关失信记录已失效，供应商需提供相关证明资料）</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二、评分标准</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本次采用综合评分法。评审以文件规定的条件为依据。评分比重构成如下：</w:t>
      </w:r>
    </w:p>
    <w:tbl>
      <w:tblPr>
        <w:tblStyle w:val="10"/>
        <w:tblpPr w:leftFromText="180" w:rightFromText="180" w:vertAnchor="text" w:tblpXSpec="center" w:tblpY="1"/>
        <w:tblOverlap w:val="never"/>
        <w:tblW w:w="904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2055"/>
        <w:gridCol w:w="2796"/>
        <w:gridCol w:w="2096"/>
        <w:gridCol w:w="21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94" w:hRule="atLeast"/>
          <w:jc w:val="center"/>
        </w:trPr>
        <w:tc>
          <w:tcPr>
            <w:tcW w:w="2055"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rPr>
              <w:t>评分项目</w:t>
            </w:r>
          </w:p>
        </w:tc>
        <w:tc>
          <w:tcPr>
            <w:tcW w:w="2796"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szCs w:val="21"/>
                <w:lang w:bidi="ar"/>
              </w:rPr>
              <w:t>技术分</w:t>
            </w:r>
          </w:p>
        </w:tc>
        <w:tc>
          <w:tcPr>
            <w:tcW w:w="2096"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lang w:val="en-US" w:eastAsia="zh-CN"/>
              </w:rPr>
              <w:t>商务</w:t>
            </w:r>
            <w:r>
              <w:rPr>
                <w:rFonts w:hint="eastAsia" w:ascii="宋体" w:hAnsi="宋体"/>
                <w:b/>
                <w:bCs/>
              </w:rPr>
              <w:t>分</w:t>
            </w:r>
          </w:p>
        </w:tc>
        <w:tc>
          <w:tcPr>
            <w:tcW w:w="2100"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rPr>
              <w:t>价格分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628" w:hRule="atLeast"/>
          <w:jc w:val="center"/>
        </w:trPr>
        <w:tc>
          <w:tcPr>
            <w:tcW w:w="2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rPr>
            </w:pPr>
            <w:r>
              <w:rPr>
                <w:rFonts w:hint="eastAsia" w:ascii="宋体" w:hAnsi="宋体"/>
                <w:color w:val="auto"/>
                <w:szCs w:val="21"/>
              </w:rPr>
              <w:t>权重</w:t>
            </w:r>
          </w:p>
        </w:tc>
        <w:tc>
          <w:tcPr>
            <w:tcW w:w="2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highlight w:val="none"/>
              </w:rPr>
            </w:pPr>
            <w:r>
              <w:rPr>
                <w:rFonts w:hint="eastAsia" w:ascii="宋体" w:hAnsi="宋体"/>
                <w:color w:val="auto"/>
                <w:szCs w:val="21"/>
                <w:highlight w:val="none"/>
                <w:lang w:val="en-US" w:eastAsia="zh-CN"/>
              </w:rPr>
              <w:t>50</w:t>
            </w:r>
            <w:r>
              <w:rPr>
                <w:rFonts w:hint="eastAsia" w:ascii="宋体" w:hAnsi="宋体"/>
                <w:color w:val="auto"/>
                <w:szCs w:val="21"/>
                <w:highlight w:val="none"/>
              </w:rPr>
              <w:t>%</w:t>
            </w:r>
          </w:p>
        </w:tc>
        <w:tc>
          <w:tcPr>
            <w:tcW w:w="20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highlight w:val="none"/>
              </w:rPr>
            </w:pPr>
            <w:r>
              <w:rPr>
                <w:rFonts w:hint="eastAsia" w:ascii="宋体" w:hAnsi="宋体"/>
                <w:color w:val="auto"/>
                <w:szCs w:val="21"/>
                <w:highlight w:val="none"/>
                <w:lang w:val="en-US" w:eastAsia="zh-CN"/>
              </w:rPr>
              <w:t>40</w:t>
            </w:r>
            <w:r>
              <w:rPr>
                <w:rFonts w:hint="eastAsia" w:ascii="宋体" w:hAnsi="宋体"/>
                <w:color w:val="auto"/>
                <w:szCs w:val="21"/>
                <w:highlight w:val="none"/>
              </w:rPr>
              <w:t>%</w:t>
            </w:r>
          </w:p>
        </w:tc>
        <w:tc>
          <w:tcPr>
            <w:tcW w:w="210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rPr>
            </w:pPr>
            <w:r>
              <w:rPr>
                <w:rFonts w:hint="eastAsia" w:ascii="宋体" w:hAnsi="宋体"/>
                <w:color w:val="auto"/>
                <w:szCs w:val="21"/>
                <w:lang w:val="en-US" w:eastAsia="zh-CN"/>
              </w:rPr>
              <w:t>10</w:t>
            </w:r>
            <w:r>
              <w:rPr>
                <w:rFonts w:hint="eastAsia" w:ascii="宋体" w:hAnsi="宋体"/>
                <w:color w:val="auto"/>
                <w:szCs w:val="21"/>
              </w:rPr>
              <w:t>%</w:t>
            </w:r>
          </w:p>
        </w:tc>
      </w:tr>
    </w:tbl>
    <w:p>
      <w:pPr>
        <w:keepNext w:val="0"/>
        <w:keepLines w:val="0"/>
        <w:pageBreakBefore w:val="0"/>
        <w:wordWrap/>
        <w:topLinePunct w:val="0"/>
        <w:bidi w:val="0"/>
        <w:spacing w:after="0"/>
        <w:rPr>
          <w:rFonts w:hint="eastAsia" w:ascii="宋体" w:hAnsi="宋体"/>
          <w:b/>
          <w:bCs/>
          <w:color w:val="auto"/>
          <w:sz w:val="44"/>
          <w:szCs w:val="44"/>
          <w:lang w:val="zh-CN"/>
        </w:rPr>
      </w:pPr>
    </w:p>
    <w:tbl>
      <w:tblPr>
        <w:tblStyle w:val="10"/>
        <w:tblW w:w="5288" w:type="pct"/>
        <w:tblInd w:w="-26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0"/>
        <w:gridCol w:w="1612"/>
        <w:gridCol w:w="71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评审因素</w:t>
            </w:r>
          </w:p>
        </w:tc>
        <w:tc>
          <w:tcPr>
            <w:tcW w:w="4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评审标准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技术部分</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项目建设方案</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考察内容：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投标人提供的项目建设方案包括下述内容：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1.本项目的建设背景、现状、业务需求；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2.目前存在的问题以及业务需求、性能需求、本项目建设必要性；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3.本项目采用的服务方案。</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评审标准：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提供上述一项内容得2分，此项最高得6分，未满足不得分。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在此基础上，评委根据项目建设方案的具体响应内容按照量化的评审因素指标进一步评审：</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（1）项目建设方案响应内容全面；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（2）项目建设方案响应内容具体；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（3）项目建设方案响应内容针对性强；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（4）项目建设方案响应内容科学合理；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（5）项目建设方案响应内容可操作性强。</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优评分标准：满足以上五项要求的评价为优，加4分；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良评分标准：满足以上四项要求的评价为良，加2分；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中评分标准：满足以上三项要求的评价为中，加1分；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差评分标准：上述情况之外的或未提供的，不得分。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项目重点难点分析、应对措施及相关的合理化建议</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考察内容：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根据投标人对重点难点分析、应对措施及相关的合理化建议进行评审，方案内容包括以下内容：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1.项目重点难点进行分析；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2.针对重点难点的相关提供应对措施；</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3.针对本项目重点难点的合理化建议。</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评审标准：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提供上述一项内容得2分，此项最高得6分，未满足不得分。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在此基础上，评委根据项目重点难点分析、应对措施及相关的合理化建议的具体响应内容按照量化的评审因素指标进一步评审：</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（1）项目重点难点分析、应对措施及相关的合理化建议响应内容全面；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（2）项目重点难点分析、应对措施及相关的合理化建议响应内容具体；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（3）项目重点难点分析、应对措施及相关的合理化建议响应内容针对性强；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（4）项目重点难点分析、应对措施及相关的合理化建议响应内容科学合理；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（5）项目重点难点分析、应对措施及相关的合理化建议响应内容可操作性强。</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优评分标准：满足以上五项要求的评价为优，加4分；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良评分标准：满足以上四项要求的评价为良，加2分；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中评分标准：满足以上三项要求的评价为中，加1分；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差评分标准：上述情况之外的或未提供的，不得分。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项目实施方案</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考察内容：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投标人提供的项目实施方案包括下述内容：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1、针对本项目的实施方案；</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2、项目安排方案；</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3、售后服务方案。</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评审标准：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提供上述一项内容得2分，此项最高得6分，未满足不得分。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在此基础上，评委根据项目实施方案的具体响应内容按照量化的评审因素指标进一步评审：</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（1）项目实施方案响应内容全面；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（2）项目实施方案响应内容具体；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 xml:space="preserve">（3）项目实施方案响应内容针对性强； </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（4）项目实施方案响应内容科学合理；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（5）项目实施方案响应内容可操作性强。</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优评分标准：满足以上五项要求的评价为优，加4分；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良评分标准：满足以上四项要求的评价为良，加2分；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中评分标准：满足以上三项要求的评价为中，加1分；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差评分标准：上述情况之外的或未提供的，不得分。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拟安排的项目负责人情况（仅限一人）</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评审标准：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投标人拟安排的项目负责人（须为投标人自有员工）：</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1、具有信息电子类专业或计算机类相关专业硕士学历得2分，博士学历得4分；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2、具有信息类高级工程师证书，得4分；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3、具有类似公共卫生领域同类服务项目经验，得2分；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以上合计最高得10分。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证明文件：</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提供项目负责人通过投标人单位缴纳的载有政府部门印章的近三个月中任意一个月的社保证明（社保资料必须至少包含养老保险信息）作为本单位员工的证明依据。若投标人成立不足一个月的，可提供加盖公章的情况说明或者证明材料亦视为符合。若为退休返聘人员，需提供加盖公章的说明函（格式自拟），无需提供相关人员社保，亦可得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境内学历要求提供学历证书复印件和学信网查询截图（对于较早颁发的学历证书，学信网无法查询的，要求提供学历证书复印件和毕业院校、人社部门等颁发机构或监管机构等单位出具的证明）；境外学历学位相关证书要求提供教育部留学服务中心出具的国外学历学位认证书复印件或教育部留学服务中心网站（http://zwfw.cscse.edu.cn/）在线查询截图。</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3.不接受返聘人员。证明材料均提供复印件。评分中出现无证明资料或者评审委员会无法凭所提供资料判断是否得分的情况，一律做不得分处理。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拟安排的项目主要团队成员情况（项目负责人除外）</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考察内容：</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拟安排项目主要团队成员不少于4人（项目负责人除外），均须为投标人正式聘任员工（要求提供社保证明），否则本项不得分。在此基础上，按以下标准评分：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（1）具有信息电子类专业或计算机类相关专业本科（或以上）学历，提供一人得1分，最高得4分。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（2）团队成员具有类似公共卫生领域同类服务项目经验，每1人得1分，最多得3分。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（3）团队成员具有以下职称证书。每提供一个得1分，最多得3分。</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技术负责人（仅限1人）具有人社部门颁发的计算机类高级工程师证书；</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项目管理负责人（仅限1人）具有项目管理协会（PMI）颁发的PMP证书；</w:t>
            </w:r>
          </w:p>
          <w:p>
            <w:pPr>
              <w:widowControl/>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安全管理负责人（仅限1人）具有人社部门和工信部门颁发的计算机技术与软件专业技术资格证书(专业：信息安全工程师)。</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证明文件：</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提供团队成员通过投标人单位缴纳的载有政府部门印章的近三个月中任意一个月的社保证明（社保资料必须至少包含养老保险信息）作为本单位员工的证明依据。若投标人成立不足一个月的，可提供加盖公章的情况说明或者证明材料亦视为符合。若为退休返聘人员，需提供加盖公章的说明函（格式自拟），无需提供相关人员社保，亦可得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境内学历要求提供学历证书复印件和学信网查询截图（对于较早颁发的学历证书，学信网无法查询的，要求提供学历证书复印件和毕业院校、人社部门等颁发机构或监管机构等单位出具的证明）；境外学历学位相关证书要求提供教育部留学服务中心出具的国外学历学位认证书复印件或教育部留学服务中心网站（http://zwfw.cscse.edu.cn/）在线查询截图。</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提供职称证书复印件。其中高级工程师证书和计算机技术与软件专业技术资格证书，如果是广东省人社部门颁发的证书，需要提供广东政务服务网广东省专业技术人才职称管理系统证书查询记录(https://ggfw.hrss.gd.gov.cn/gdweb/ggfw/web/pub/ggfwzyjs.do)，如果是其他省份人社部门颁发的证书，需要提供全国人力资源和社会保障政务服务平台职称评审信息查询记录（https://www.12333.gov.cn）</w:t>
            </w:r>
          </w:p>
          <w:p>
            <w:pPr>
              <w:widowControl/>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PMP证书需要同时提供PMI官方网站证书有效性查验记录(https://www.pmichina.org/zscycs/index.jhtml)。</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3.不接受返聘人员。证明材料均提供复印件。评分中出现无证明资料或者评审委员会无法凭所提供资料判断是否得分的情况，一律做不得分处理。</w:t>
            </w:r>
          </w:p>
          <w:p>
            <w:pPr>
              <w:pStyle w:val="2"/>
              <w:jc w:val="left"/>
              <w:rPr>
                <w:rFonts w:hint="eastAsia"/>
              </w:rPr>
            </w:pPr>
            <w:r>
              <w:rPr>
                <w:rFonts w:hint="eastAsia" w:ascii="仿宋_GB2312" w:hAnsi="仿宋_GB2312" w:eastAsia="仿宋_GB2312" w:cs="仿宋_GB2312"/>
                <w:i w:val="0"/>
                <w:iCs w:val="0"/>
                <w:color w:val="000000"/>
                <w:kern w:val="0"/>
                <w:sz w:val="21"/>
                <w:szCs w:val="21"/>
                <w:u w:val="none"/>
                <w:lang w:val="en-US" w:eastAsia="zh-CN" w:bidi="ar"/>
              </w:rPr>
              <w:t>4.证明材料均提供复印件并加盖投标人公章，原件备查。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商务部分</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有效业绩</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1.供应商提供自2024年1月1日起至投标截止时间前，承接过省级基本公共卫生数据服务项目的同类项目业绩（以合同签订日期为准），每提供一个得3分，最高得3分。</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2.供应商提供自2024年1月1日起至投标截止时间前，承接过市级基本公共卫生数据服务项目的同类项目业绩（以合同签订日期为准），每提供一个得1.5分，最高得6分。</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3.供应商提供自2024年1月1日起至投标截止时间前，承接过区县级基本公共卫生数据服务项目的同类项目业绩（以合同签订日期为准），每提供一个得1分，最高得5分。</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4.供应商提供自2024年1月1日起至投标截止时间前，承接过省级或地市级智能语音类项目的同类项目业绩（以合同签订日期为准），每提供一个得1分，最高得4</w:t>
            </w:r>
            <w:bookmarkStart w:id="0" w:name="_GoBack"/>
            <w:bookmarkEnd w:id="0"/>
            <w:r>
              <w:rPr>
                <w:rFonts w:hint="eastAsia" w:ascii="仿宋_GB2312" w:hAnsi="仿宋_GB2312" w:eastAsia="仿宋_GB2312" w:cs="仿宋_GB2312"/>
                <w:i w:val="0"/>
                <w:iCs w:val="0"/>
                <w:color w:val="000000"/>
                <w:kern w:val="0"/>
                <w:sz w:val="21"/>
                <w:szCs w:val="21"/>
                <w:u w:val="none"/>
                <w:lang w:val="en-US" w:eastAsia="zh-CN" w:bidi="ar"/>
              </w:rPr>
              <w:t>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备注：1.提供合同关键页（含项目名称、项目内容、双方签字盖章页）扫描件并加盖供应商公章。同一个客户的多个合同按照一个业绩进行计算。</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2.未提供或提供的证明文件不清晰导致专家不能判定的，按不得分处理。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3.有效业绩指合同名称及内容包含：基本公共卫生数据治理、基本公共卫生数据服务、基本公共卫生绩效评价、基本公共卫生督导考核、基本公共卫生质控、智能语音等。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履约评价</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供应商在上述“有效业绩”评审项中参加评审并被认定有效的业绩（且获得评分），能够提供用户出具的履约评价书，且评价为优或者合格的：</w:t>
            </w:r>
          </w:p>
          <w:p>
            <w:pPr>
              <w:keepNext w:val="0"/>
              <w:keepLines w:val="0"/>
              <w:widowControl/>
              <w:numPr>
                <w:ilvl w:val="0"/>
                <w:numId w:val="1"/>
              </w:numPr>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每份基本公共卫生数据服务项目的同类项目业绩评价书，得2.5分，最高得5分。</w:t>
            </w:r>
          </w:p>
          <w:p>
            <w:pPr>
              <w:keepNext w:val="0"/>
              <w:keepLines w:val="0"/>
              <w:widowControl/>
              <w:numPr>
                <w:ilvl w:val="0"/>
                <w:numId w:val="1"/>
              </w:numPr>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每份智能语音项目业绩评价书，得2.5分，最高得5分。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证明文件：</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须提供用户出具的履约评价书（评价书需有甲方公章或业务章），未按要求提供或无法判断则不得分。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综合实力</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（12分）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本次基本公共卫生服务全量数据核查项目涉及大量数据的交互和处理，因此需要供应商提供以下证明资料，以确保数据的安全性和准确性。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1.具有有效的“质量管理体系认证证书”，得2分。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备注：响应文件中提供认证证书复印件或提供以上认证在“全国认证认可信息公共服务平台”的查询截图（网址：http：//cx.cnca.cn/CertECloud/result/skipResultList），截图必须含有“证书编号”“证书状态”的内容，截图中的“证书状态”应处于“有效”状态；（2）如因供应商成立时间不足导致无法获得相关认证，请提供有认证机构出具“因成立时间不足，无法办理认证”的相关证明材料，视为已获得计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2.具有有效的信息安全管理体系认证证书，得2分。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3.提供含有“公共卫生服务领域数据核查或督导考核”同类功能描述内容的软件著作权，每提供一个得2分，最高得6分。</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4.提供含有“语音消息服务系统类”同类功能描述内容的软件著作权，每提供一个得2分，最高得2分。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备注：响应文件中提供由中华人民共和国国家版权局颁发的《软件著作权登记证书》扫描件并加盖公章，未按要求提供或提供不清晰导致专家无法判断的不得分。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报价</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报价得分</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（10分）</w:t>
            </w:r>
          </w:p>
        </w:tc>
        <w:tc>
          <w:tcPr>
            <w:tcW w:w="3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响应报价得分＝（评标基准价/响应报价）×价格分值【注：满足磋商文件要求且响应价格最低的响应报价为评标基准价。】最低报价不是中标的唯一依据。因落实政府采购政策进行价格调整的，以调整后的价格计算评标基准价和响应报价。</w:t>
            </w:r>
          </w:p>
        </w:tc>
      </w:tr>
    </w:tbl>
    <w:p/>
    <w:sectPr>
      <w:footerReference r:id="rId5" w:type="default"/>
      <w:pgSz w:w="11906" w:h="16838"/>
      <w:pgMar w:top="2041" w:right="1531" w:bottom="204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MT Extra">
    <w:panose1 w:val="02000609000000000000"/>
    <w:charset w:val="00"/>
    <w:family w:val="auto"/>
    <w:pitch w:val="default"/>
    <w:sig w:usb0="00000001"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E3C46"/>
    <w:multiLevelType w:val="singleLevel"/>
    <w:tmpl w:val="03CE3C4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E2175"/>
    <w:rsid w:val="00522102"/>
    <w:rsid w:val="00824069"/>
    <w:rsid w:val="03C03826"/>
    <w:rsid w:val="0DDE3227"/>
    <w:rsid w:val="0E676D31"/>
    <w:rsid w:val="0E7772CD"/>
    <w:rsid w:val="0EA77ABC"/>
    <w:rsid w:val="108B39B5"/>
    <w:rsid w:val="11152AD3"/>
    <w:rsid w:val="125205A9"/>
    <w:rsid w:val="12B25C29"/>
    <w:rsid w:val="13632EEB"/>
    <w:rsid w:val="13F05A62"/>
    <w:rsid w:val="1EBF49AE"/>
    <w:rsid w:val="1FD17977"/>
    <w:rsid w:val="20384A18"/>
    <w:rsid w:val="206B2A19"/>
    <w:rsid w:val="22671B8E"/>
    <w:rsid w:val="241D26AD"/>
    <w:rsid w:val="25D06CD1"/>
    <w:rsid w:val="25ED4163"/>
    <w:rsid w:val="260E3549"/>
    <w:rsid w:val="265005E2"/>
    <w:rsid w:val="268F110A"/>
    <w:rsid w:val="26AB5818"/>
    <w:rsid w:val="2B365FF8"/>
    <w:rsid w:val="2C9B3BF3"/>
    <w:rsid w:val="2D424634"/>
    <w:rsid w:val="2D4C4AC5"/>
    <w:rsid w:val="2DD65871"/>
    <w:rsid w:val="2ED86F8A"/>
    <w:rsid w:val="2F3A598B"/>
    <w:rsid w:val="2F5D4ACE"/>
    <w:rsid w:val="2F936653"/>
    <w:rsid w:val="30D817A3"/>
    <w:rsid w:val="31436D79"/>
    <w:rsid w:val="31BB7257"/>
    <w:rsid w:val="34990BE5"/>
    <w:rsid w:val="34E310CD"/>
    <w:rsid w:val="38B139C9"/>
    <w:rsid w:val="39007C46"/>
    <w:rsid w:val="3BEF64A3"/>
    <w:rsid w:val="3BF85A90"/>
    <w:rsid w:val="3D0C997C"/>
    <w:rsid w:val="3D304FEA"/>
    <w:rsid w:val="3F1B7587"/>
    <w:rsid w:val="3F535259"/>
    <w:rsid w:val="3FBFE965"/>
    <w:rsid w:val="40D20119"/>
    <w:rsid w:val="413B2328"/>
    <w:rsid w:val="4441183E"/>
    <w:rsid w:val="495913D8"/>
    <w:rsid w:val="4AC155F1"/>
    <w:rsid w:val="4B243214"/>
    <w:rsid w:val="4B6C340C"/>
    <w:rsid w:val="4BBFE25B"/>
    <w:rsid w:val="507654D1"/>
    <w:rsid w:val="511C73FC"/>
    <w:rsid w:val="5268268C"/>
    <w:rsid w:val="528172AA"/>
    <w:rsid w:val="5382777D"/>
    <w:rsid w:val="54496296"/>
    <w:rsid w:val="55F0546C"/>
    <w:rsid w:val="573E16B1"/>
    <w:rsid w:val="582E3A30"/>
    <w:rsid w:val="59777174"/>
    <w:rsid w:val="5A8F5056"/>
    <w:rsid w:val="5DFF214D"/>
    <w:rsid w:val="5E323725"/>
    <w:rsid w:val="5FF68CDA"/>
    <w:rsid w:val="60BE40C4"/>
    <w:rsid w:val="613C540F"/>
    <w:rsid w:val="61A565D2"/>
    <w:rsid w:val="62155647"/>
    <w:rsid w:val="62F12229"/>
    <w:rsid w:val="6486265D"/>
    <w:rsid w:val="66386F2C"/>
    <w:rsid w:val="679F9F25"/>
    <w:rsid w:val="67EBACD6"/>
    <w:rsid w:val="6BED679D"/>
    <w:rsid w:val="6D481041"/>
    <w:rsid w:val="6DCEBB19"/>
    <w:rsid w:val="719E532A"/>
    <w:rsid w:val="745E2175"/>
    <w:rsid w:val="752D36AD"/>
    <w:rsid w:val="76FD2BA2"/>
    <w:rsid w:val="7A5F7C75"/>
    <w:rsid w:val="7BDE7CF1"/>
    <w:rsid w:val="7BEADA21"/>
    <w:rsid w:val="7BEB3B32"/>
    <w:rsid w:val="7E276078"/>
    <w:rsid w:val="7FB227FF"/>
    <w:rsid w:val="7FBD5F72"/>
    <w:rsid w:val="7FEC1957"/>
    <w:rsid w:val="B7F9880B"/>
    <w:rsid w:val="BE5D4908"/>
    <w:rsid w:val="C7FFA707"/>
    <w:rsid w:val="D3BB18A0"/>
    <w:rsid w:val="E8FF792C"/>
    <w:rsid w:val="FA7F1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Calibri" w:hAnsi="Calibri" w:eastAsia="宋体" w:cs="宋体"/>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after="160" w:line="320" w:lineRule="exact"/>
      <w:jc w:val="center"/>
    </w:pPr>
    <w:rPr>
      <w:rFonts w:hint="eastAsia" w:ascii="Times New Roman" w:hAnsi="Times New Roman" w:eastAsia="宋体" w:cs="Times New Roman"/>
      <w:kern w:val="2"/>
      <w:sz w:val="32"/>
      <w:szCs w:val="24"/>
      <w:lang w:val="en-US" w:eastAsia="zh-CN" w:bidi="ar-SA"/>
    </w:rPr>
  </w:style>
  <w:style w:type="paragraph" w:styleId="3">
    <w:name w:val="Title"/>
    <w:basedOn w:val="1"/>
    <w:next w:val="1"/>
    <w:qFormat/>
    <w:uiPriority w:val="0"/>
    <w:pPr>
      <w:widowControl w:val="0"/>
      <w:spacing w:before="240" w:after="60" w:line="278" w:lineRule="auto"/>
      <w:jc w:val="center"/>
      <w:outlineLvl w:val="0"/>
    </w:pPr>
    <w:rPr>
      <w:rFonts w:ascii="Cambria" w:hAnsi="Cambria" w:eastAsia="宋体" w:cs="Times New Roman"/>
      <w:b/>
      <w:bCs/>
      <w:kern w:val="2"/>
      <w:sz w:val="32"/>
      <w:szCs w:val="32"/>
      <w:lang w:val="en-US" w:eastAsia="zh-CN" w:bidi="ar-SA"/>
    </w:rPr>
  </w:style>
  <w:style w:type="paragraph" w:styleId="5">
    <w:name w:val="Normal Indent"/>
    <w:basedOn w:val="1"/>
    <w:next w:val="2"/>
    <w:unhideWhenUsed/>
    <w:qFormat/>
    <w:uiPriority w:val="99"/>
    <w:pPr>
      <w:ind w:firstLine="420" w:firstLineChars="200"/>
    </w:pPr>
  </w:style>
  <w:style w:type="paragraph" w:styleId="6">
    <w:name w:val="Plain Text"/>
    <w:basedOn w:val="1"/>
    <w:qFormat/>
    <w:uiPriority w:val="0"/>
    <w:rPr>
      <w:rFonts w:hAnsi="Courier New"/>
      <w:szCs w:val="20"/>
    </w:rPr>
  </w:style>
  <w:style w:type="paragraph" w:styleId="7">
    <w:name w:val="footer"/>
    <w:basedOn w:val="1"/>
    <w:qFormat/>
    <w:uiPriority w:val="0"/>
    <w:pPr>
      <w:tabs>
        <w:tab w:val="center" w:pos="4153"/>
        <w:tab w:val="right" w:pos="8306"/>
      </w:tabs>
      <w:snapToGrid w:val="0"/>
      <w:spacing w:after="0" w:line="560" w:lineRule="exact"/>
      <w:jc w:val="left"/>
    </w:pPr>
    <w:rPr>
      <w:rFonts w:ascii="Calibri" w:hAnsi="Calibri" w:eastAsia="宋体" w:cs="Times New Roman"/>
      <w:sz w:val="18"/>
      <w:szCs w:val="22"/>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12">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974</Words>
  <Characters>1043</Characters>
  <Lines>0</Lines>
  <Paragraphs>0</Paragraphs>
  <TotalTime>8</TotalTime>
  <ScaleCrop>false</ScaleCrop>
  <LinksUpToDate>false</LinksUpToDate>
  <CharactersWithSpaces>1046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2025-01-14T01:16:00Z</dcterms:created>
  <dc:creator>Administrator</dc:creator>
  <cp:lastModifiedBy>黄展翔</cp:lastModifiedBy>
  <cp:lastPrinted>2025-08-08T02:44:00Z</cp:lastPrinted>
  <dcterms:modified xsi:type="dcterms:W3CDTF">2026-09-13T18:26:36Z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A404045BD3354F949DB5E0B41649F2BA_13</vt:lpwstr>
  </property>
  <property fmtid="{D5CDD505-2E9C-101B-9397-08002B2CF9AE}" pid="4" name="KSOTemplateDocerSaveRecord">
    <vt:lpwstr>eyJoZGlkIjoiOGJmNmQ1YTU3MzAzNzliOTQ2MDY3NmQ4ODc3Y2NiY2EiLCJ1c2VySWQiOiI0NTQ5ODYzNDgifQ==</vt:lpwstr>
  </property>
</Properties>
</file>