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Autospacing="0" w:after="0" w:line="560" w:lineRule="exact"/>
        <w:jc w:val="center"/>
        <w:textAlignment w:val="auto"/>
        <w:outlineLvl w:val="9"/>
        <w:rPr>
          <w:rFonts w:hint="eastAsia" w:ascii="方正小标宋简体" w:hAnsi="方正小标宋简体" w:eastAsia="方正小标宋简体" w:cs="方正小标宋简体"/>
          <w:b/>
          <w:color w:val="auto"/>
          <w:sz w:val="44"/>
          <w:szCs w:val="44"/>
          <w:lang w:eastAsia="zh-CN"/>
        </w:rPr>
      </w:pPr>
      <w:r>
        <w:rPr>
          <w:rFonts w:hint="eastAsia" w:ascii="方正小标宋简体" w:hAnsi="方正小标宋简体" w:eastAsia="方正小标宋简体" w:cs="方正小标宋简体"/>
          <w:b/>
          <w:color w:val="auto"/>
          <w:sz w:val="44"/>
          <w:szCs w:val="44"/>
          <w:lang w:eastAsia="zh-CN"/>
        </w:rPr>
        <w:t>关于江门市2026年中央农业防灾减灾和水利救灾资金（防灾救灾第二批）粮食作物</w:t>
      </w:r>
    </w:p>
    <w:p>
      <w:pPr>
        <w:keepNext w:val="0"/>
        <w:keepLines w:val="0"/>
        <w:pageBreakBefore w:val="0"/>
        <w:widowControl/>
        <w:kinsoku/>
        <w:wordWrap/>
        <w:overflowPunct/>
        <w:topLinePunct w:val="0"/>
        <w:autoSpaceDE/>
        <w:autoSpaceDN/>
        <w:bidi w:val="0"/>
        <w:adjustRightInd/>
        <w:snapToGrid/>
        <w:spacing w:beforeAutospacing="0" w:after="0" w:line="560" w:lineRule="exact"/>
        <w:jc w:val="center"/>
        <w:textAlignment w:val="auto"/>
        <w:outlineLvl w:val="9"/>
        <w:rPr>
          <w:rFonts w:hint="eastAsia" w:ascii="方正小标宋简体" w:hAnsi="方正小标宋简体" w:eastAsia="方正小标宋简体" w:cs="方正小标宋简体"/>
          <w:b/>
          <w:color w:val="auto"/>
          <w:sz w:val="44"/>
          <w:szCs w:val="44"/>
          <w:lang w:eastAsia="zh-CN"/>
        </w:rPr>
      </w:pPr>
      <w:r>
        <w:rPr>
          <w:rFonts w:hint="eastAsia" w:ascii="方正小标宋简体" w:hAnsi="方正小标宋简体" w:eastAsia="方正小标宋简体" w:cs="方正小标宋简体"/>
          <w:b/>
          <w:color w:val="auto"/>
          <w:sz w:val="44"/>
          <w:szCs w:val="44"/>
          <w:lang w:eastAsia="zh-CN"/>
        </w:rPr>
        <w:t>病虫害防控服务采购的第二次公告</w:t>
      </w:r>
    </w:p>
    <w:p>
      <w:pPr>
        <w:keepNext w:val="0"/>
        <w:keepLines w:val="0"/>
        <w:pageBreakBefore w:val="0"/>
        <w:widowControl/>
        <w:kinsoku/>
        <w:wordWrap/>
        <w:overflowPunct/>
        <w:topLinePunct w:val="0"/>
        <w:autoSpaceDE/>
        <w:autoSpaceDN/>
        <w:bidi w:val="0"/>
        <w:adjustRightInd/>
        <w:snapToGrid/>
        <w:spacing w:beforeAutospacing="0" w:line="560" w:lineRule="exact"/>
        <w:textAlignment w:val="auto"/>
        <w:outlineLvl w:val="9"/>
        <w:rPr>
          <w:rFonts w:hint="eastAsia"/>
        </w:rPr>
      </w:pP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江门市2026年中央农业防灾减灾和水利救灾资金（防灾救灾第二批）粮食作物病虫害防控服务采购项目于202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lang w:eastAsia="zh-CN"/>
        </w:rPr>
        <w:t>日在江门市农业农村局官网首次发布采购公告，至投标截止时间，投标供应商不足3家，不符合开标条件，按照自行采购的相关规定，项目第一次采购失败，现重新采购，发布二次公告。</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0" w:firstLineChars="200"/>
        <w:jc w:val="both"/>
        <w:textAlignment w:val="auto"/>
        <w:outlineLvl w:val="9"/>
        <w:rPr>
          <w:rFonts w:hint="eastAsia" w:ascii="仿宋_GB2312" w:hAnsi="仿宋_GB2312" w:eastAsia="仿宋_GB2312" w:cs="仿宋_GB2312"/>
          <w:b/>
          <w:color w:val="auto"/>
          <w:sz w:val="32"/>
          <w:szCs w:val="32"/>
          <w:lang w:eastAsia="zh-CN"/>
        </w:rPr>
      </w:pPr>
      <w:r>
        <w:rPr>
          <w:rFonts w:hint="eastAsia" w:ascii="仿宋_GB2312" w:hAnsi="仿宋_GB2312" w:eastAsia="仿宋_GB2312" w:cs="仿宋_GB2312"/>
          <w:color w:val="auto"/>
          <w:sz w:val="32"/>
          <w:szCs w:val="32"/>
          <w:lang w:eastAsia="zh-CN"/>
        </w:rPr>
        <w:t>根据江门市财政局《关于执行广东省政府采购集中采购目录及标准（</w:t>
      </w:r>
      <w:r>
        <w:rPr>
          <w:rFonts w:hint="eastAsia" w:ascii="仿宋_GB2312" w:hAnsi="仿宋_GB2312" w:eastAsia="仿宋_GB2312" w:cs="仿宋_GB2312"/>
          <w:color w:val="auto"/>
          <w:sz w:val="32"/>
          <w:szCs w:val="32"/>
        </w:rPr>
        <w:t>2020</w:t>
      </w:r>
      <w:r>
        <w:rPr>
          <w:rFonts w:hint="eastAsia" w:ascii="仿宋_GB2312" w:hAnsi="仿宋_GB2312" w:eastAsia="仿宋_GB2312" w:cs="仿宋_GB2312"/>
          <w:color w:val="auto"/>
          <w:sz w:val="32"/>
          <w:szCs w:val="32"/>
          <w:lang w:eastAsia="zh-CN"/>
        </w:rPr>
        <w:t>年版）有关事项的通知》（江财采购〔</w:t>
      </w:r>
      <w:r>
        <w:rPr>
          <w:rFonts w:hint="eastAsia" w:ascii="仿宋_GB2312" w:hAnsi="仿宋_GB2312" w:eastAsia="仿宋_GB2312" w:cs="仿宋_GB2312"/>
          <w:color w:val="auto"/>
          <w:sz w:val="32"/>
          <w:szCs w:val="32"/>
        </w:rPr>
        <w:t>2020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32</w:t>
      </w:r>
      <w:r>
        <w:rPr>
          <w:rFonts w:hint="eastAsia" w:ascii="仿宋_GB2312" w:hAnsi="仿宋_GB2312" w:eastAsia="仿宋_GB2312" w:cs="仿宋_GB2312"/>
          <w:color w:val="auto"/>
          <w:sz w:val="32"/>
          <w:szCs w:val="32"/>
          <w:lang w:eastAsia="zh-CN"/>
        </w:rPr>
        <w:t>号）、《江门市农业农村局（市委农办、市乡村振兴局）采购管理制度（试行）》等相关规定，我局以竞争性磋商采购方式选定江门市</w:t>
      </w:r>
      <w:r>
        <w:rPr>
          <w:rFonts w:hint="eastAsia" w:ascii="仿宋_GB2312" w:hAnsi="仿宋_GB2312" w:eastAsia="仿宋_GB2312" w:cs="仿宋_GB2312"/>
          <w:color w:val="auto"/>
          <w:sz w:val="32"/>
          <w:szCs w:val="32"/>
        </w:rPr>
        <w:t>2026</w:t>
      </w:r>
      <w:r>
        <w:rPr>
          <w:rFonts w:hint="eastAsia" w:ascii="仿宋_GB2312" w:hAnsi="仿宋_GB2312" w:eastAsia="仿宋_GB2312" w:cs="仿宋_GB2312"/>
          <w:color w:val="auto"/>
          <w:sz w:val="32"/>
          <w:szCs w:val="32"/>
          <w:lang w:eastAsia="zh-CN"/>
        </w:rPr>
        <w:t>年中央农业防灾减灾和水利救灾资金（防灾救灾第二批）粮食作物病虫害防控服务项目实施主体，现将有关事项公告如下：</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一、简要说明</w:t>
      </w:r>
      <w:bookmarkStart w:id="1" w:name="_GoBack"/>
      <w:bookmarkEnd w:id="1"/>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（一）项目名称：</w:t>
      </w:r>
      <w:r>
        <w:rPr>
          <w:rFonts w:hint="eastAsia" w:ascii="仿宋_GB2312" w:hAnsi="仿宋_GB2312" w:eastAsia="仿宋_GB2312" w:cs="仿宋_GB2312"/>
          <w:color w:val="auto"/>
          <w:sz w:val="32"/>
          <w:szCs w:val="32"/>
        </w:rPr>
        <w:t>江门市2026年中央农业防灾减灾和水利救灾资金（防灾救灾第二批）粮食作物病虫害防控服务</w:t>
      </w:r>
      <w:r>
        <w:rPr>
          <w:rFonts w:hint="eastAsia" w:ascii="仿宋_GB2312" w:hAnsi="仿宋_GB2312" w:eastAsia="仿宋_GB2312" w:cs="仿宋_GB2312"/>
          <w:color w:val="auto"/>
          <w:sz w:val="32"/>
          <w:szCs w:val="32"/>
          <w:lang w:eastAsia="zh-CN"/>
        </w:rPr>
        <w:t>。</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（二）项目预算：玖拾万元整（￥</w:t>
      </w:r>
      <w:r>
        <w:rPr>
          <w:rFonts w:hint="eastAsia" w:ascii="仿宋_GB2312" w:hAnsi="仿宋_GB2312" w:eastAsia="仿宋_GB2312" w:cs="仿宋_GB2312"/>
          <w:color w:val="auto"/>
          <w:sz w:val="32"/>
          <w:szCs w:val="32"/>
        </w:rPr>
        <w:t>900000.00</w:t>
      </w:r>
      <w:r>
        <w:rPr>
          <w:rFonts w:hint="eastAsia" w:ascii="仿宋_GB2312" w:hAnsi="仿宋_GB2312" w:eastAsia="仿宋_GB2312" w:cs="仿宋_GB2312"/>
          <w:color w:val="auto"/>
          <w:sz w:val="32"/>
          <w:szCs w:val="32"/>
          <w:lang w:eastAsia="zh-CN"/>
        </w:rPr>
        <w:t>）。投标报价应包括开展水稻病虫害防治</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eastAsia="zh-CN"/>
        </w:rPr>
        <w:t>万亩次（其中生物防治面积</w:t>
      </w:r>
      <w:r>
        <w:rPr>
          <w:rFonts w:hint="eastAsia" w:ascii="仿宋_GB2312" w:hAnsi="仿宋_GB2312" w:eastAsia="仿宋_GB2312" w:cs="仿宋_GB2312"/>
          <w:color w:val="auto"/>
          <w:sz w:val="32"/>
          <w:szCs w:val="32"/>
        </w:rPr>
        <w:t>1.2</w:t>
      </w:r>
      <w:r>
        <w:rPr>
          <w:rFonts w:hint="eastAsia" w:ascii="仿宋_GB2312" w:hAnsi="仿宋_GB2312" w:eastAsia="仿宋_GB2312" w:cs="仿宋_GB2312"/>
          <w:color w:val="auto"/>
          <w:sz w:val="32"/>
          <w:szCs w:val="32"/>
          <w:lang w:eastAsia="zh-CN"/>
        </w:rPr>
        <w:t>万亩次）所需的药物、设备、人力等费用。</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（三）采购内容：选定粮食作物病虫害防控实施主体，由成交供应商提供水稻病虫害防控药剂，开展重大病虫害应急处置、监测普查、培训宣传和技术指导等工作。</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（四）实施规模：实施水稻病虫害防治</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eastAsia="zh-CN"/>
        </w:rPr>
        <w:t>万亩次，其中水稻生物防治</w:t>
      </w:r>
      <w:r>
        <w:rPr>
          <w:rFonts w:hint="eastAsia" w:ascii="仿宋_GB2312" w:hAnsi="仿宋_GB2312" w:eastAsia="仿宋_GB2312" w:cs="仿宋_GB2312"/>
          <w:color w:val="auto"/>
          <w:sz w:val="32"/>
          <w:szCs w:val="32"/>
        </w:rPr>
        <w:t>1.2</w:t>
      </w:r>
      <w:r>
        <w:rPr>
          <w:rFonts w:hint="eastAsia" w:ascii="仿宋_GB2312" w:hAnsi="仿宋_GB2312" w:eastAsia="仿宋_GB2312" w:cs="仿宋_GB2312"/>
          <w:color w:val="auto"/>
          <w:sz w:val="32"/>
          <w:szCs w:val="32"/>
          <w:lang w:eastAsia="zh-CN"/>
        </w:rPr>
        <w:t>万亩次以上。防控任务按因素分配法分解到各县（市、区），具体实施工作由各县跟进（分配情况见附件</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（五）绩效目标：实施水稻病虫害防治</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eastAsia="zh-CN"/>
        </w:rPr>
        <w:t>万亩次（其中生物防治面积</w:t>
      </w:r>
      <w:r>
        <w:rPr>
          <w:rFonts w:hint="eastAsia" w:ascii="仿宋_GB2312" w:hAnsi="仿宋_GB2312" w:eastAsia="仿宋_GB2312" w:cs="仿宋_GB2312"/>
          <w:color w:val="auto"/>
          <w:sz w:val="32"/>
          <w:szCs w:val="32"/>
        </w:rPr>
        <w:t>1.2</w:t>
      </w:r>
      <w:r>
        <w:rPr>
          <w:rFonts w:hint="eastAsia" w:ascii="仿宋_GB2312" w:hAnsi="仿宋_GB2312" w:eastAsia="仿宋_GB2312" w:cs="仿宋_GB2312"/>
          <w:color w:val="auto"/>
          <w:sz w:val="32"/>
          <w:szCs w:val="32"/>
          <w:lang w:eastAsia="zh-CN"/>
        </w:rPr>
        <w:t>万亩次），有效遏制水稻病虫害暴发流行成灾。项目区内水稻病虫害应急处置率达到</w:t>
      </w:r>
      <w:r>
        <w:rPr>
          <w:rFonts w:hint="eastAsia" w:ascii="仿宋_GB2312" w:hAnsi="仿宋_GB2312" w:eastAsia="仿宋_GB2312" w:cs="仿宋_GB2312"/>
          <w:color w:val="auto"/>
          <w:sz w:val="32"/>
          <w:szCs w:val="32"/>
        </w:rPr>
        <w:t>90%</w:t>
      </w:r>
      <w:r>
        <w:rPr>
          <w:rFonts w:hint="eastAsia" w:ascii="仿宋_GB2312" w:hAnsi="仿宋_GB2312" w:eastAsia="仿宋_GB2312" w:cs="仿宋_GB2312"/>
          <w:color w:val="auto"/>
          <w:sz w:val="32"/>
          <w:szCs w:val="32"/>
          <w:lang w:eastAsia="zh-CN"/>
        </w:rPr>
        <w:t>以上，水稻产量损失率控制在</w:t>
      </w: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eastAsia="zh-CN"/>
        </w:rPr>
        <w:t>以下，水稻统防统治覆盖率达到</w:t>
      </w:r>
      <w:r>
        <w:rPr>
          <w:rFonts w:hint="eastAsia" w:ascii="仿宋_GB2312" w:hAnsi="仿宋_GB2312" w:eastAsia="仿宋_GB2312" w:cs="仿宋_GB2312"/>
          <w:color w:val="auto"/>
          <w:sz w:val="32"/>
          <w:szCs w:val="32"/>
        </w:rPr>
        <w:t>100%</w:t>
      </w:r>
      <w:r>
        <w:rPr>
          <w:rFonts w:hint="eastAsia" w:ascii="仿宋_GB2312" w:hAnsi="仿宋_GB2312" w:eastAsia="仿宋_GB2312" w:cs="仿宋_GB2312"/>
          <w:color w:val="auto"/>
          <w:sz w:val="32"/>
          <w:szCs w:val="32"/>
          <w:lang w:eastAsia="zh-CN"/>
        </w:rPr>
        <w:t>，农药包装废弃物回收率达到</w:t>
      </w:r>
      <w:r>
        <w:rPr>
          <w:rFonts w:hint="eastAsia" w:ascii="仿宋_GB2312" w:hAnsi="仿宋_GB2312" w:eastAsia="仿宋_GB2312" w:cs="仿宋_GB2312"/>
          <w:color w:val="auto"/>
          <w:sz w:val="32"/>
          <w:szCs w:val="32"/>
        </w:rPr>
        <w:t>100%</w:t>
      </w:r>
      <w:r>
        <w:rPr>
          <w:rFonts w:hint="eastAsia" w:ascii="仿宋_GB2312" w:hAnsi="仿宋_GB2312" w:eastAsia="仿宋_GB2312" w:cs="仿宋_GB2312"/>
          <w:color w:val="auto"/>
          <w:sz w:val="32"/>
          <w:szCs w:val="32"/>
          <w:lang w:eastAsia="zh-CN"/>
        </w:rPr>
        <w:t>，群众满意度达到</w:t>
      </w:r>
      <w:r>
        <w:rPr>
          <w:rFonts w:hint="eastAsia" w:ascii="仿宋_GB2312" w:hAnsi="仿宋_GB2312" w:eastAsia="仿宋_GB2312" w:cs="仿宋_GB2312"/>
          <w:color w:val="auto"/>
          <w:sz w:val="32"/>
          <w:szCs w:val="32"/>
        </w:rPr>
        <w:t>85%</w:t>
      </w:r>
      <w:r>
        <w:rPr>
          <w:rFonts w:hint="eastAsia" w:ascii="仿宋_GB2312" w:hAnsi="仿宋_GB2312" w:eastAsia="仿宋_GB2312" w:cs="仿宋_GB2312"/>
          <w:color w:val="auto"/>
          <w:sz w:val="32"/>
          <w:szCs w:val="32"/>
          <w:lang w:eastAsia="zh-CN"/>
        </w:rPr>
        <w:t>以上。</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二、防控内容及要求</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以水稻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三虫两病</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防控为主，主要采取资金或物化补助方式，支持开展水稻病虫害统防统治、绿色防控、种子处理及带药移栽，推广高效低风险生物农药，促进农药减量增效。可根据实际情况开展水稻跗线螨、稻粉虱、福寿螺、水稻细菌性条斑病、农田鼠害等病虫统防统治、应急防控；开展农药包装废弃物回收；推广种子处理（浸种、拌种）和带药移栽等健康栽培方式。做好突发植物疫情监测，可根据实际情况开展农业检疫性有害生物监测、快速检测等工作，用于包括监测点日常维护、维修等。</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三、项目补助要求和标准</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项目补助资金为</w:t>
      </w:r>
      <w:r>
        <w:rPr>
          <w:rFonts w:hint="eastAsia" w:ascii="仿宋_GB2312" w:hAnsi="仿宋_GB2312" w:eastAsia="仿宋_GB2312" w:cs="仿宋_GB2312"/>
          <w:color w:val="auto"/>
          <w:sz w:val="32"/>
          <w:szCs w:val="32"/>
        </w:rPr>
        <w:t>90</w:t>
      </w:r>
      <w:r>
        <w:rPr>
          <w:rFonts w:hint="eastAsia" w:ascii="仿宋_GB2312" w:hAnsi="仿宋_GB2312" w:eastAsia="仿宋_GB2312" w:cs="仿宋_GB2312"/>
          <w:color w:val="auto"/>
          <w:sz w:val="32"/>
          <w:szCs w:val="32"/>
          <w:lang w:eastAsia="zh-CN"/>
        </w:rPr>
        <w:t>万元，资金补助对象为公开采购确定的专业化防治组织。专业化防治组织与我局签订服务合同，并按合同要求完成统防统治社会化服务，项目验收合格后申请财政补助。</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水稻病虫害防控，按每亩次补助不超过</w:t>
      </w:r>
      <w:r>
        <w:rPr>
          <w:rFonts w:hint="eastAsia" w:ascii="仿宋_GB2312" w:hAnsi="仿宋_GB2312" w:eastAsia="仿宋_GB2312" w:cs="仿宋_GB2312"/>
          <w:color w:val="auto"/>
          <w:sz w:val="32"/>
          <w:szCs w:val="32"/>
        </w:rPr>
        <w:t>15</w:t>
      </w:r>
      <w:r>
        <w:rPr>
          <w:rFonts w:hint="eastAsia" w:ascii="仿宋_GB2312" w:hAnsi="仿宋_GB2312" w:eastAsia="仿宋_GB2312" w:cs="仿宋_GB2312"/>
          <w:color w:val="auto"/>
          <w:sz w:val="32"/>
          <w:szCs w:val="32"/>
          <w:lang w:eastAsia="zh-CN"/>
        </w:rPr>
        <w:t>元，每造每亩补助资金不超过</w:t>
      </w:r>
      <w:r>
        <w:rPr>
          <w:rFonts w:hint="eastAsia" w:ascii="仿宋_GB2312" w:hAnsi="仿宋_GB2312" w:eastAsia="仿宋_GB2312" w:cs="仿宋_GB2312"/>
          <w:color w:val="auto"/>
          <w:sz w:val="32"/>
          <w:szCs w:val="32"/>
        </w:rPr>
        <w:t>45</w:t>
      </w:r>
      <w:r>
        <w:rPr>
          <w:rFonts w:hint="eastAsia" w:ascii="仿宋_GB2312" w:hAnsi="仿宋_GB2312" w:eastAsia="仿宋_GB2312" w:cs="仿宋_GB2312"/>
          <w:color w:val="auto"/>
          <w:sz w:val="32"/>
          <w:szCs w:val="32"/>
          <w:lang w:eastAsia="zh-CN"/>
        </w:rPr>
        <w:t>元；病虫监测所需诱捕器、测报灯等设备购置、修护补助，根据设备类型、市场价格和当地人工成本确定补助标准；种子处理、带药移栽按秧田计算，每亩补助不超过</w:t>
      </w:r>
      <w:r>
        <w:rPr>
          <w:rFonts w:hint="eastAsia" w:ascii="仿宋_GB2312" w:hAnsi="仿宋_GB2312" w:eastAsia="仿宋_GB2312" w:cs="仿宋_GB2312"/>
          <w:color w:val="auto"/>
          <w:sz w:val="32"/>
          <w:szCs w:val="32"/>
        </w:rPr>
        <w:t>10</w:t>
      </w:r>
      <w:r>
        <w:rPr>
          <w:rFonts w:hint="eastAsia" w:ascii="仿宋_GB2312" w:hAnsi="仿宋_GB2312" w:eastAsia="仿宋_GB2312" w:cs="仿宋_GB2312"/>
          <w:color w:val="auto"/>
          <w:sz w:val="32"/>
          <w:szCs w:val="32"/>
          <w:lang w:eastAsia="zh-CN"/>
        </w:rPr>
        <w:t>元，各地根据播种、移栽后的大田面积，自行折算防控面积和生物防控面积。</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使用目的相同的同类财政资金不可叠加使用。</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四、申请人的资格条件</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具备《中华人民共和国政府采购法》第二十二条规定的条件。</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）合法有效的法人或者其他组织的营业执照等证明文件，自然人的身份证明，以上证明文件提供原件的扫描件。</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）财务状况报告（即提供投标人的本项目开标时间前</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eastAsia="zh-CN"/>
        </w:rPr>
        <w:t>个月内任何时间的资产负债表、利润表各一份，或提供投标人上年度财务报告，或投标人的本项目开标时间前</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eastAsia="zh-CN"/>
        </w:rPr>
        <w:t>个月内银行出具的资信证明扫描件）（成立不满一年不需提供）。</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）供应商的提交响应文件时间前</w:t>
      </w: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eastAsia="zh-CN"/>
        </w:rPr>
        <w:t>个月内任何</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月的依法缴纳税收和社会保障资金的相关材料扫描件（依法免税或不需要缴纳社会保障资金的供应商，提供相应文件证明其依法免税或不需要缴纳社会保障资金）。</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未被列入</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信用中国</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网站（</w:t>
      </w:r>
      <w:r>
        <w:rPr>
          <w:rFonts w:hint="eastAsia" w:ascii="仿宋_GB2312" w:hAnsi="仿宋_GB2312" w:eastAsia="仿宋_GB2312" w:cs="仿宋_GB2312"/>
          <w:color w:val="auto"/>
          <w:sz w:val="32"/>
          <w:szCs w:val="32"/>
        </w:rPr>
        <w:t>www.creditchina.gov.cn</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记录失信被执行人或重大税收违法案件当事人名单或政府采购严重违法失信行为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记录名单，不处于中国政府采购网（</w:t>
      </w:r>
      <w:r>
        <w:rPr>
          <w:rFonts w:hint="eastAsia" w:ascii="仿宋_GB2312" w:hAnsi="仿宋_GB2312" w:eastAsia="仿宋_GB2312" w:cs="仿宋_GB2312"/>
          <w:color w:val="auto"/>
          <w:sz w:val="32"/>
          <w:szCs w:val="32"/>
        </w:rPr>
        <w:t>www.ccgp.gov.cn</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政府采购严重违法失信行为信息记录</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中的禁止参加政府采购活动期间。（需提供网站截图证明）</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投标人必须具有从事本项目的经营范围和能力。</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具备履行合同所必需的设备和专业技术能力的书面声明。</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五、供应商选定方式</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从专家库抽取</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名专家、加上</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名我局种植业科代表组成的项目评审小组，对投标人的标书进行开标、审查、评分，评选出中标单位。</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家以上（含</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家）供应商投标才开标，评审小组对供应商提交的响应文件进行公开唱标，评审过程需有两家以上（含两家）符合资格条件才能继续评审，对照评分细则打分得出综合得分，再求出平均分，平均分最高的成为服务商（平均得分相同的，按申报组织服务能力由高到低顺序排列），排在次位的，为中标候选供应商，以此类推。</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b/>
          <w:color w:val="auto"/>
          <w:sz w:val="32"/>
          <w:szCs w:val="32"/>
          <w:lang w:eastAsia="zh-CN"/>
        </w:rPr>
      </w:pPr>
      <w:r>
        <w:rPr>
          <w:rFonts w:hint="eastAsia" w:ascii="仿宋_GB2312" w:hAnsi="仿宋_GB2312" w:eastAsia="仿宋_GB2312" w:cs="仿宋_GB2312"/>
          <w:b/>
          <w:color w:val="auto"/>
          <w:sz w:val="32"/>
          <w:szCs w:val="32"/>
          <w:lang w:eastAsia="zh-CN"/>
        </w:rPr>
        <w:t>六、评审程序及标准</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（一）资格性评审</w:t>
      </w:r>
    </w:p>
    <w:p>
      <w:pPr>
        <w:pStyle w:val="24"/>
        <w:keepNext w:val="0"/>
        <w:keepLines w:val="0"/>
        <w:pageBreakBefore w:val="0"/>
        <w:widowControl/>
        <w:kinsoku/>
        <w:wordWrap/>
        <w:overflowPunct/>
        <w:topLinePunct w:val="0"/>
        <w:autoSpaceDE/>
        <w:autoSpaceDN/>
        <w:bidi w:val="0"/>
        <w:adjustRightInd/>
        <w:snapToGrid/>
        <w:spacing w:beforeAutospacing="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对申报组织资格性进行评审，具体见《资格性评审表》，通过后进行综合性评审。</w:t>
      </w:r>
    </w:p>
    <w:p>
      <w:pPr>
        <w:keepNext w:val="0"/>
        <w:keepLines w:val="0"/>
        <w:pageBreakBefore w:val="0"/>
        <w:kinsoku/>
        <w:wordWrap/>
        <w:overflowPunct/>
        <w:topLinePunct w:val="0"/>
        <w:autoSpaceDE/>
        <w:autoSpaceDN/>
        <w:bidi w:val="0"/>
        <w:adjustRightInd/>
        <w:snapToGrid/>
        <w:spacing w:beforeAutospacing="0" w:line="540" w:lineRule="exact"/>
        <w:jc w:val="center"/>
        <w:textAlignment w:val="auto"/>
        <w:rPr>
          <w:rFonts w:ascii="仿宋" w:hAnsi="仿宋" w:eastAsia="仿宋" w:cs="仿宋"/>
          <w:b/>
          <w:bCs/>
          <w:sz w:val="24"/>
        </w:rPr>
      </w:pPr>
      <w:r>
        <w:rPr>
          <w:rFonts w:hint="eastAsia" w:ascii="仿宋" w:hAnsi="仿宋" w:eastAsia="仿宋" w:cs="仿宋"/>
          <w:b/>
          <w:bCs/>
          <w:sz w:val="24"/>
        </w:rPr>
        <w:t>资格性评审表</w:t>
      </w:r>
    </w:p>
    <w:tbl>
      <w:tblPr>
        <w:tblStyle w:val="33"/>
        <w:tblW w:w="84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5457"/>
        <w:gridCol w:w="816"/>
        <w:gridCol w:w="816"/>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20" w:type="dxa"/>
            <w:noWrap w:val="0"/>
            <w:vAlign w:val="center"/>
          </w:tcPr>
          <w:p>
            <w:pPr>
              <w:pStyle w:val="24"/>
              <w:keepNext w:val="0"/>
              <w:keepLines w:val="0"/>
              <w:pageBreakBefore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序号</w:t>
            </w:r>
          </w:p>
        </w:tc>
        <w:tc>
          <w:tcPr>
            <w:tcW w:w="5457" w:type="dxa"/>
            <w:noWrap w:val="0"/>
            <w:vAlign w:val="center"/>
          </w:tcPr>
          <w:p>
            <w:pPr>
              <w:pStyle w:val="24"/>
              <w:keepNext w:val="0"/>
              <w:keepLines w:val="0"/>
              <w:pageBreakBefore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评审内容</w:t>
            </w:r>
          </w:p>
        </w:tc>
        <w:tc>
          <w:tcPr>
            <w:tcW w:w="2450" w:type="dxa"/>
            <w:gridSpan w:val="3"/>
            <w:noWrap w:val="0"/>
            <w:vAlign w:val="center"/>
          </w:tcPr>
          <w:p>
            <w:pPr>
              <w:pStyle w:val="24"/>
              <w:keepNext w:val="0"/>
              <w:keepLines w:val="0"/>
              <w:pageBreakBefore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申报组织名称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5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ascii="仿宋" w:hAnsi="仿宋" w:eastAsia="仿宋" w:cs="仿宋"/>
                <w:color w:val="000000"/>
                <w:sz w:val="24"/>
              </w:rPr>
            </w:pPr>
            <w:r>
              <w:rPr>
                <w:rFonts w:hint="eastAsia" w:ascii="仿宋" w:hAnsi="仿宋" w:eastAsia="仿宋" w:cs="仿宋"/>
                <w:color w:val="000000"/>
                <w:sz w:val="24"/>
              </w:rPr>
              <w:t>1</w:t>
            </w:r>
          </w:p>
        </w:tc>
        <w:tc>
          <w:tcPr>
            <w:tcW w:w="545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left"/>
              <w:textAlignment w:val="auto"/>
              <w:rPr>
                <w:rFonts w:hint="eastAsia" w:ascii="仿宋" w:hAnsi="仿宋" w:eastAsia="仿宋" w:cs="仿宋"/>
                <w:sz w:val="24"/>
              </w:rPr>
            </w:pPr>
            <w:r>
              <w:rPr>
                <w:rFonts w:hint="eastAsia" w:ascii="仿宋" w:hAnsi="仿宋" w:eastAsia="仿宋" w:cs="仿宋"/>
                <w:color w:val="000000"/>
                <w:sz w:val="24"/>
              </w:rPr>
              <w:t>在市场监督管理部门依法注册登记，具有法人资格。营业执照、开户</w:t>
            </w:r>
            <w:r>
              <w:rPr>
                <w:rFonts w:hint="eastAsia" w:cs="仿宋"/>
                <w:color w:val="000000"/>
                <w:sz w:val="24"/>
                <w:lang w:eastAsia="zh-CN"/>
              </w:rPr>
              <w:t>证明</w:t>
            </w:r>
            <w:r>
              <w:rPr>
                <w:rFonts w:hint="eastAsia" w:ascii="仿宋" w:hAnsi="仿宋" w:eastAsia="仿宋" w:cs="仿宋"/>
                <w:color w:val="000000"/>
                <w:sz w:val="24"/>
              </w:rPr>
              <w:t>等证照齐全。营业执照经营范围须包含农业生产托管服务。</w:t>
            </w: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ascii="仿宋" w:hAnsi="仿宋" w:eastAsia="仿宋" w:cs="仿宋"/>
                <w:sz w:val="24"/>
              </w:rPr>
            </w:pPr>
            <w:r>
              <w:rPr>
                <w:rFonts w:hint="eastAsia" w:ascii="仿宋" w:hAnsi="仿宋" w:eastAsia="仿宋" w:cs="仿宋"/>
                <w:sz w:val="24"/>
              </w:rPr>
              <w:t>2</w:t>
            </w:r>
          </w:p>
        </w:tc>
        <w:tc>
          <w:tcPr>
            <w:tcW w:w="545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left"/>
              <w:textAlignment w:val="auto"/>
              <w:rPr>
                <w:rFonts w:hint="eastAsia" w:ascii="仿宋" w:hAnsi="仿宋" w:eastAsia="仿宋" w:cs="仿宋"/>
                <w:sz w:val="24"/>
              </w:rPr>
            </w:pPr>
            <w:r>
              <w:rPr>
                <w:rFonts w:hint="eastAsia" w:ascii="仿宋" w:hAnsi="仿宋" w:eastAsia="仿宋" w:cs="仿宋"/>
                <w:sz w:val="24"/>
              </w:rPr>
              <w:t>截至评审日期前，在全国农作物病虫专业化统防统治信息管理系统备案。</w:t>
            </w: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5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ascii="仿宋" w:hAnsi="仿宋" w:eastAsia="仿宋" w:cs="仿宋"/>
                <w:sz w:val="24"/>
              </w:rPr>
            </w:pPr>
            <w:r>
              <w:rPr>
                <w:rFonts w:hint="eastAsia" w:ascii="仿宋" w:hAnsi="仿宋" w:eastAsia="仿宋" w:cs="仿宋"/>
                <w:sz w:val="24"/>
              </w:rPr>
              <w:t>3</w:t>
            </w:r>
          </w:p>
        </w:tc>
        <w:tc>
          <w:tcPr>
            <w:tcW w:w="545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left"/>
              <w:textAlignment w:val="auto"/>
              <w:rPr>
                <w:rFonts w:hint="eastAsia" w:ascii="仿宋" w:hAnsi="仿宋" w:eastAsia="仿宋" w:cs="仿宋"/>
                <w:sz w:val="24"/>
              </w:rPr>
            </w:pPr>
            <w:r>
              <w:rPr>
                <w:rFonts w:hint="eastAsia" w:ascii="仿宋" w:hAnsi="仿宋" w:eastAsia="仿宋" w:cs="仿宋"/>
                <w:sz w:val="24"/>
              </w:rPr>
              <w:t>在江门市内具有固定的经营服务场所和符合安全要求的物资储存条件。自有的须提供房产证明，租赁的须提供租赁合同及租金转账凭证。</w:t>
            </w: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5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ascii="仿宋" w:hAnsi="仿宋" w:eastAsia="仿宋" w:cs="仿宋"/>
                <w:color w:val="000000"/>
                <w:sz w:val="24"/>
              </w:rPr>
            </w:pPr>
            <w:r>
              <w:rPr>
                <w:rFonts w:hint="eastAsia" w:ascii="仿宋" w:hAnsi="仿宋" w:eastAsia="仿宋" w:cs="仿宋"/>
                <w:color w:val="000000"/>
                <w:sz w:val="24"/>
              </w:rPr>
              <w:t>4</w:t>
            </w:r>
          </w:p>
        </w:tc>
        <w:tc>
          <w:tcPr>
            <w:tcW w:w="545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left"/>
              <w:textAlignment w:val="auto"/>
              <w:rPr>
                <w:rFonts w:hint="eastAsia" w:ascii="仿宋" w:hAnsi="仿宋" w:eastAsia="仿宋" w:cs="仿宋"/>
                <w:color w:val="000000"/>
                <w:sz w:val="24"/>
              </w:rPr>
            </w:pPr>
            <w:r>
              <w:rPr>
                <w:rFonts w:hint="eastAsia" w:ascii="仿宋" w:hAnsi="仿宋" w:eastAsia="仿宋" w:cs="仿宋"/>
                <w:color w:val="000000"/>
                <w:sz w:val="24"/>
              </w:rPr>
              <w:t>申报组织无不良信用记录。</w:t>
            </w: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5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ascii="仿宋" w:hAnsi="仿宋" w:eastAsia="仿宋" w:cs="仿宋"/>
                <w:color w:val="000000"/>
                <w:sz w:val="24"/>
              </w:rPr>
            </w:pPr>
            <w:r>
              <w:rPr>
                <w:rFonts w:hint="eastAsia" w:ascii="仿宋" w:hAnsi="仿宋" w:eastAsia="仿宋" w:cs="仿宋"/>
                <w:color w:val="000000"/>
                <w:sz w:val="24"/>
              </w:rPr>
              <w:t>5</w:t>
            </w:r>
          </w:p>
        </w:tc>
        <w:tc>
          <w:tcPr>
            <w:tcW w:w="545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left"/>
              <w:textAlignment w:val="auto"/>
              <w:rPr>
                <w:rFonts w:hint="eastAsia" w:ascii="仿宋" w:hAnsi="仿宋" w:eastAsia="仿宋" w:cs="仿宋"/>
                <w:color w:val="000000"/>
                <w:sz w:val="24"/>
              </w:rPr>
            </w:pPr>
            <w:r>
              <w:rPr>
                <w:rFonts w:ascii="仿宋" w:hAnsi="仿宋" w:eastAsia="仿宋" w:cs="仿宋"/>
                <w:color w:val="000000"/>
                <w:sz w:val="24"/>
              </w:rPr>
              <w:t>自愿接受江门市农业农村局全过程监督管理，承诺严格按照项目合同约定、技术标准及时限要求，保质保量完成全部防治服务任务。</w:t>
            </w: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c>
          <w:tcPr>
            <w:tcW w:w="81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20"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ascii="仿宋" w:hAnsi="仿宋" w:eastAsia="仿宋" w:cs="仿宋"/>
                <w:color w:val="000000"/>
                <w:sz w:val="24"/>
              </w:rPr>
            </w:pPr>
            <w:r>
              <w:rPr>
                <w:rFonts w:ascii="仿宋" w:hAnsi="仿宋" w:eastAsia="仿宋" w:cs="仿宋"/>
                <w:color w:val="000000"/>
                <w:sz w:val="24"/>
              </w:rPr>
              <w:t>6</w:t>
            </w:r>
          </w:p>
        </w:tc>
        <w:tc>
          <w:tcPr>
            <w:tcW w:w="545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left"/>
              <w:textAlignment w:val="auto"/>
              <w:rPr>
                <w:rFonts w:hint="eastAsia" w:ascii="仿宋" w:hAnsi="仿宋" w:eastAsia="仿宋" w:cs="仿宋"/>
                <w:color w:val="000000"/>
                <w:sz w:val="24"/>
              </w:rPr>
            </w:pPr>
            <w:r>
              <w:rPr>
                <w:rFonts w:hint="eastAsia" w:ascii="仿宋" w:hAnsi="仿宋" w:eastAsia="仿宋" w:cs="仿宋"/>
                <w:color w:val="000000"/>
                <w:sz w:val="24"/>
              </w:rPr>
              <w:t>是否通过资格性评审</w:t>
            </w: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p>
        </w:tc>
        <w:tc>
          <w:tcPr>
            <w:tcW w:w="816"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p>
        </w:tc>
        <w:tc>
          <w:tcPr>
            <w:tcW w:w="818"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p>
        </w:tc>
      </w:tr>
    </w:tbl>
    <w:p>
      <w:pPr>
        <w:pStyle w:val="24"/>
        <w:keepNext w:val="0"/>
        <w:keepLines w:val="0"/>
        <w:pageBreakBefore w:val="0"/>
        <w:widowControl/>
        <w:kinsoku/>
        <w:wordWrap/>
        <w:overflowPunct/>
        <w:topLinePunct w:val="0"/>
        <w:autoSpaceDE/>
        <w:autoSpaceDN/>
        <w:bidi w:val="0"/>
        <w:adjustRightInd/>
        <w:snapToGrid/>
        <w:spacing w:beforeAutospacing="0" w:after="0" w:line="540" w:lineRule="exact"/>
        <w:textAlignment w:val="auto"/>
        <w:rPr>
          <w:rFonts w:hint="eastAsia" w:ascii="楷体_GB2312" w:hAnsi="楷体_GB2312" w:eastAsia="楷体_GB2312" w:cs="楷体_GB2312"/>
          <w:b/>
          <w:bCs/>
          <w:sz w:val="32"/>
          <w:szCs w:val="32"/>
        </w:rPr>
      </w:pPr>
    </w:p>
    <w:p>
      <w:pPr>
        <w:pStyle w:val="24"/>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textAlignment w:val="auto"/>
        <w:rPr>
          <w:rFonts w:hint="eastAsia" w:ascii="楷体_GB2312" w:hAnsi="楷体_GB2312" w:eastAsia="楷体_GB2312" w:cs="楷体_GB2312"/>
          <w:b w:val="0"/>
          <w:bCs w:val="0"/>
          <w:color w:val="000000"/>
          <w:sz w:val="32"/>
          <w:szCs w:val="32"/>
          <w:lang w:val="en-US" w:eastAsia="en-US" w:bidi="ar-SA"/>
        </w:rPr>
      </w:pPr>
      <w:r>
        <w:rPr>
          <w:rFonts w:hint="eastAsia" w:ascii="楷体_GB2312" w:hAnsi="楷体_GB2312" w:eastAsia="楷体_GB2312" w:cs="楷体_GB2312"/>
          <w:b w:val="0"/>
          <w:bCs w:val="0"/>
          <w:color w:val="000000"/>
          <w:sz w:val="32"/>
          <w:szCs w:val="32"/>
          <w:lang w:val="en-US" w:eastAsia="en-US" w:bidi="ar-SA"/>
        </w:rPr>
        <w:t>（二）综合性评审</w:t>
      </w:r>
    </w:p>
    <w:p>
      <w:pPr>
        <w:pStyle w:val="24"/>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textAlignment w:val="auto"/>
        <w:rPr>
          <w:rFonts w:hint="eastAsia" w:ascii="仿宋_GB2312" w:hAnsi="仿宋_GB2312" w:eastAsia="仿宋_GB2312" w:cs="仿宋_GB2312"/>
          <w:sz w:val="32"/>
          <w:szCs w:val="32"/>
        </w:rPr>
      </w:pPr>
      <w:bookmarkStart w:id="0" w:name="_Hlk239758579"/>
      <w:r>
        <w:rPr>
          <w:rFonts w:hint="eastAsia" w:ascii="仿宋_GB2312" w:hAnsi="仿宋_GB2312" w:eastAsia="仿宋_GB2312" w:cs="仿宋_GB2312"/>
          <w:sz w:val="32"/>
          <w:szCs w:val="32"/>
        </w:rPr>
        <w:t>综合性评审评分总值最高为100分，具体见《综合性评审表》。</w:t>
      </w:r>
    </w:p>
    <w:p>
      <w:pPr>
        <w:pStyle w:val="24"/>
        <w:keepNext w:val="0"/>
        <w:keepLines w:val="0"/>
        <w:pageBreakBefore w:val="0"/>
        <w:kinsoku/>
        <w:wordWrap/>
        <w:overflowPunct/>
        <w:topLinePunct w:val="0"/>
        <w:autoSpaceDE/>
        <w:autoSpaceDN/>
        <w:bidi w:val="0"/>
        <w:adjustRightInd/>
        <w:snapToGrid/>
        <w:spacing w:beforeAutospacing="0" w:line="540" w:lineRule="exact"/>
        <w:jc w:val="center"/>
        <w:textAlignment w:val="auto"/>
        <w:rPr>
          <w:rFonts w:hint="eastAsia" w:ascii="仿宋" w:hAnsi="仿宋" w:eastAsia="仿宋" w:cs="仿宋"/>
          <w:b/>
          <w:bCs/>
          <w:sz w:val="24"/>
          <w:szCs w:val="24"/>
        </w:rPr>
      </w:pPr>
      <w:r>
        <w:rPr>
          <w:rFonts w:hint="eastAsia" w:ascii="仿宋" w:hAnsi="仿宋" w:eastAsia="仿宋" w:cs="仿宋"/>
          <w:b/>
          <w:bCs/>
          <w:sz w:val="24"/>
          <w:szCs w:val="24"/>
        </w:rPr>
        <w:t>综合性评审表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858"/>
        <w:gridCol w:w="6153"/>
        <w:gridCol w:w="940"/>
        <w:gridCol w:w="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0" w:type="auto"/>
            <w:gridSpan w:val="5"/>
            <w:noWrap w:val="0"/>
            <w:vAlign w:val="center"/>
          </w:tcPr>
          <w:p>
            <w:pPr>
              <w:pStyle w:val="24"/>
              <w:keepNext w:val="0"/>
              <w:keepLines w:val="0"/>
              <w:pageBreakBefore w:val="0"/>
              <w:widowControl w:val="0"/>
              <w:kinsoku/>
              <w:wordWrap/>
              <w:overflowPunct/>
              <w:topLinePunct w:val="0"/>
              <w:autoSpaceDE/>
              <w:autoSpaceDN/>
              <w:bidi w:val="0"/>
              <w:adjustRightInd/>
              <w:snapToGrid/>
              <w:spacing w:beforeAutospacing="0" w:after="0" w:line="540" w:lineRule="exact"/>
              <w:jc w:val="both"/>
              <w:textAlignment w:val="auto"/>
              <w:rPr>
                <w:rFonts w:hint="eastAsia" w:ascii="仿宋" w:hAnsi="仿宋" w:eastAsia="仿宋" w:cs="仿宋"/>
                <w:sz w:val="24"/>
                <w:szCs w:val="24"/>
              </w:rPr>
            </w:pPr>
            <w:r>
              <w:rPr>
                <w:rFonts w:hint="eastAsia" w:ascii="仿宋" w:hAnsi="仿宋" w:eastAsia="仿宋" w:cs="仿宋"/>
                <w:b/>
                <w:bCs/>
                <w:sz w:val="24"/>
                <w:szCs w:val="24"/>
              </w:rPr>
              <w:t>评分标准（100分）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0" w:type="auto"/>
            <w:noWrap w:val="0"/>
            <w:vAlign w:val="center"/>
          </w:tcPr>
          <w:p>
            <w:pPr>
              <w:pStyle w:val="24"/>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序号</w:t>
            </w:r>
          </w:p>
        </w:tc>
        <w:tc>
          <w:tcPr>
            <w:tcW w:w="0" w:type="auto"/>
            <w:noWrap w:val="0"/>
            <w:vAlign w:val="center"/>
          </w:tcPr>
          <w:p>
            <w:pPr>
              <w:pStyle w:val="24"/>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评审内容</w:t>
            </w:r>
          </w:p>
        </w:tc>
        <w:tc>
          <w:tcPr>
            <w:tcW w:w="0" w:type="auto"/>
            <w:noWrap w:val="0"/>
            <w:vAlign w:val="center"/>
          </w:tcPr>
          <w:p>
            <w:pPr>
              <w:pStyle w:val="24"/>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评分细则</w:t>
            </w:r>
          </w:p>
        </w:tc>
        <w:tc>
          <w:tcPr>
            <w:tcW w:w="0" w:type="auto"/>
            <w:noWrap w:val="0"/>
            <w:vAlign w:val="center"/>
          </w:tcPr>
          <w:p>
            <w:pPr>
              <w:pStyle w:val="24"/>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权重（%）</w:t>
            </w:r>
          </w:p>
        </w:tc>
        <w:tc>
          <w:tcPr>
            <w:tcW w:w="0" w:type="auto"/>
            <w:noWrap w:val="0"/>
            <w:vAlign w:val="center"/>
          </w:tcPr>
          <w:p>
            <w:pPr>
              <w:pStyle w:val="24"/>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0" w:type="auto"/>
            <w:noWrap w:val="0"/>
            <w:vAlign w:val="center"/>
          </w:tcPr>
          <w:p>
            <w:pPr>
              <w:pStyle w:val="24"/>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t>申报组织基本条件</w:t>
            </w:r>
          </w:p>
        </w:tc>
        <w:tc>
          <w:tcPr>
            <w:tcW w:w="0" w:type="auto"/>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0" w:line="540" w:lineRule="exact"/>
              <w:jc w:val="both"/>
              <w:textAlignment w:val="auto"/>
              <w:rPr>
                <w:rFonts w:hint="eastAsia" w:ascii="仿宋" w:hAnsi="仿宋" w:eastAsia="仿宋" w:cs="仿宋"/>
                <w:sz w:val="24"/>
                <w:lang w:eastAsia="zh-CN"/>
              </w:rPr>
            </w:pPr>
            <w:r>
              <w:rPr>
                <w:rFonts w:hint="eastAsia" w:cs="仿宋"/>
                <w:sz w:val="24"/>
                <w:lang w:val="en-US" w:eastAsia="zh-CN"/>
              </w:rPr>
              <w:t>1.</w:t>
            </w:r>
            <w:r>
              <w:rPr>
                <w:rFonts w:ascii="仿宋" w:hAnsi="仿宋" w:eastAsia="仿宋" w:cs="仿宋"/>
                <w:sz w:val="24"/>
              </w:rPr>
              <w:t>法人资质齐全、营业执照</w:t>
            </w:r>
            <w:r>
              <w:rPr>
                <w:rFonts w:hint="eastAsia" w:ascii="仿宋" w:hAnsi="仿宋" w:eastAsia="仿宋" w:cs="仿宋"/>
                <w:sz w:val="24"/>
              </w:rPr>
              <w:t>、</w:t>
            </w:r>
            <w:r>
              <w:rPr>
                <w:rFonts w:ascii="仿宋" w:hAnsi="仿宋" w:eastAsia="仿宋" w:cs="仿宋"/>
                <w:sz w:val="24"/>
              </w:rPr>
              <w:t>经营范围清晰包含农业生产托管服务</w:t>
            </w:r>
            <w:r>
              <w:rPr>
                <w:rFonts w:hint="eastAsia" w:ascii="仿宋" w:hAnsi="仿宋" w:eastAsia="仿宋" w:cs="仿宋"/>
                <w:sz w:val="24"/>
              </w:rPr>
              <w:t>、在全国农作物病虫害专业化统防统治信息管理系统备案</w:t>
            </w:r>
            <w:r>
              <w:rPr>
                <w:rFonts w:ascii="仿宋" w:hAnsi="仿宋" w:eastAsia="仿宋" w:cs="仿宋"/>
                <w:sz w:val="24"/>
              </w:rPr>
              <w:t>，证照无异常、无过期、无变更纠纷，</w:t>
            </w:r>
            <w:r>
              <w:rPr>
                <w:rFonts w:hint="eastAsia" w:ascii="仿宋" w:hAnsi="仿宋" w:eastAsia="仿宋" w:cs="仿宋"/>
                <w:sz w:val="24"/>
              </w:rPr>
              <w:t>每提供1项</w:t>
            </w:r>
            <w:r>
              <w:rPr>
                <w:rFonts w:ascii="仿宋" w:hAnsi="仿宋" w:eastAsia="仿宋" w:cs="仿宋"/>
                <w:sz w:val="24"/>
              </w:rPr>
              <w:t>得1分</w:t>
            </w:r>
            <w:r>
              <w:rPr>
                <w:rFonts w:hint="eastAsia" w:ascii="仿宋" w:hAnsi="仿宋" w:eastAsia="仿宋" w:cs="仿宋"/>
                <w:sz w:val="24"/>
              </w:rPr>
              <w:t>，满分</w:t>
            </w:r>
            <w:r>
              <w:rPr>
                <w:rFonts w:ascii="仿宋" w:hAnsi="仿宋" w:eastAsia="仿宋" w:cs="仿宋"/>
                <w:sz w:val="24"/>
              </w:rPr>
              <w:t>4</w:t>
            </w:r>
            <w:r>
              <w:rPr>
                <w:rFonts w:hint="eastAsia" w:ascii="仿宋" w:hAnsi="仿宋" w:eastAsia="仿宋" w:cs="仿宋"/>
                <w:sz w:val="24"/>
              </w:rPr>
              <w:t>分</w:t>
            </w:r>
            <w:r>
              <w:rPr>
                <w:rFonts w:hint="eastAsia" w:ascii="仿宋" w:hAnsi="仿宋" w:eastAsia="仿宋" w:cs="仿宋"/>
                <w:sz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0" w:line="540" w:lineRule="exact"/>
              <w:jc w:val="both"/>
              <w:textAlignment w:val="auto"/>
              <w:rPr>
                <w:rFonts w:hint="eastAsia" w:ascii="仿宋" w:hAnsi="仿宋" w:eastAsia="仿宋" w:cs="仿宋"/>
                <w:sz w:val="24"/>
                <w:lang w:eastAsia="zh-CN"/>
              </w:rPr>
            </w:pPr>
            <w:r>
              <w:rPr>
                <w:rFonts w:hint="eastAsia" w:ascii="仿宋" w:hAnsi="仿宋" w:eastAsia="仿宋" w:cs="仿宋"/>
                <w:sz w:val="24"/>
                <w:lang w:val="en-US" w:eastAsia="zh-CN"/>
              </w:rPr>
              <w:t>2.</w:t>
            </w:r>
            <w:r>
              <w:rPr>
                <w:rFonts w:hint="eastAsia" w:ascii="仿宋" w:hAnsi="仿宋" w:eastAsia="仿宋" w:cs="仿宋"/>
                <w:sz w:val="24"/>
              </w:rPr>
              <w:t>经营情况良好，上年度财务审计报告或近一年财务报表，成立不满一年的提供成立以来的财务月报表，视情况打分0</w:t>
            </w:r>
            <w:r>
              <w:rPr>
                <w:rFonts w:ascii="仿宋" w:hAnsi="仿宋" w:eastAsia="仿宋" w:cs="仿宋"/>
                <w:sz w:val="24"/>
              </w:rPr>
              <w:t>-5</w:t>
            </w:r>
            <w:r>
              <w:rPr>
                <w:rFonts w:hint="eastAsia" w:ascii="仿宋" w:hAnsi="仿宋" w:eastAsia="仿宋" w:cs="仿宋"/>
                <w:sz w:val="24"/>
              </w:rPr>
              <w:t>分，满分5分</w:t>
            </w:r>
            <w:r>
              <w:rPr>
                <w:rFonts w:hint="eastAsia" w:ascii="仿宋" w:hAnsi="仿宋" w:eastAsia="仿宋" w:cs="仿宋"/>
                <w:sz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0" w:line="540" w:lineRule="exact"/>
              <w:ind w:leftChars="0"/>
              <w:jc w:val="both"/>
              <w:textAlignment w:val="auto"/>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具有满足项目农药、药械安全储存要求的场所（提供产权或租赁证明）</w:t>
            </w:r>
            <w:r>
              <w:rPr>
                <w:rFonts w:ascii="仿宋" w:hAnsi="仿宋" w:eastAsia="仿宋" w:cs="仿宋"/>
                <w:sz w:val="24"/>
              </w:rPr>
              <w:t>，拥有独立、合规、符合安全标准的农资、药械储存专用场地，具备防火、防潮、防盗、防泄漏等安全设施，</w:t>
            </w:r>
            <w:r>
              <w:rPr>
                <w:rFonts w:hint="eastAsia" w:ascii="仿宋" w:hAnsi="仿宋" w:eastAsia="仿宋" w:cs="仿宋"/>
                <w:sz w:val="24"/>
              </w:rPr>
              <w:t>视情况打分0</w:t>
            </w:r>
            <w:r>
              <w:rPr>
                <w:rFonts w:ascii="仿宋" w:hAnsi="仿宋" w:eastAsia="仿宋" w:cs="仿宋"/>
                <w:sz w:val="24"/>
              </w:rPr>
              <w:t>-6分</w:t>
            </w:r>
            <w:r>
              <w:rPr>
                <w:rFonts w:hint="eastAsia" w:ascii="仿宋" w:hAnsi="仿宋" w:eastAsia="仿宋" w:cs="仿宋"/>
                <w:sz w:val="24"/>
              </w:rPr>
              <w:t>，满分6分</w:t>
            </w:r>
            <w:r>
              <w:rPr>
                <w:rFonts w:ascii="仿宋" w:hAnsi="仿宋" w:eastAsia="仿宋" w:cs="仿宋"/>
                <w:sz w:val="24"/>
              </w:rPr>
              <w:t>。</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ascii="仿宋" w:hAnsi="仿宋" w:eastAsia="仿宋" w:cs="仿宋"/>
                <w:color w:val="000000"/>
                <w:sz w:val="24"/>
              </w:rPr>
            </w:pPr>
            <w:r>
              <w:rPr>
                <w:rFonts w:ascii="仿宋" w:hAnsi="仿宋" w:eastAsia="仿宋" w:cs="仿宋"/>
                <w:color w:val="000000"/>
                <w:sz w:val="24"/>
              </w:rPr>
              <w:t>15</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ascii="仿宋" w:hAnsi="仿宋" w:eastAsia="仿宋" w:cs="仿宋"/>
                <w:color w:val="000000"/>
                <w:sz w:val="24"/>
              </w:rPr>
            </w:pPr>
            <w:r>
              <w:rPr>
                <w:rFonts w:hint="eastAsia" w:ascii="仿宋" w:hAnsi="仿宋" w:eastAsia="仿宋" w:cs="仿宋"/>
                <w:color w:val="000000"/>
                <w:sz w:val="24"/>
              </w:rPr>
              <w:t>1</w:t>
            </w:r>
            <w:r>
              <w:rPr>
                <w:rFonts w:ascii="仿宋" w:hAnsi="仿宋" w:eastAsia="仿宋" w:cs="仿宋"/>
                <w:color w:val="000000"/>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jc w:val="center"/>
        </w:trPr>
        <w:tc>
          <w:tcPr>
            <w:tcW w:w="0" w:type="auto"/>
            <w:noWrap w:val="0"/>
            <w:vAlign w:val="center"/>
          </w:tcPr>
          <w:p>
            <w:pPr>
              <w:pStyle w:val="24"/>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t>申报书情况</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both"/>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1.</w:t>
            </w:r>
            <w:r>
              <w:rPr>
                <w:rFonts w:hint="eastAsia" w:ascii="仿宋" w:hAnsi="仿宋" w:eastAsia="仿宋" w:cs="仿宋"/>
                <w:sz w:val="24"/>
              </w:rPr>
              <w:t>申报书资料齐全，明确实施农作物社会化服务项目投入费用、关键环节、服务面积、实施区域。优</w:t>
            </w:r>
            <w:r>
              <w:rPr>
                <w:rFonts w:ascii="仿宋" w:hAnsi="仿宋" w:eastAsia="仿宋" w:cs="仿宋"/>
                <w:sz w:val="24"/>
              </w:rPr>
              <w:t>2</w:t>
            </w:r>
            <w:r>
              <w:rPr>
                <w:rFonts w:hint="eastAsia" w:cs="仿宋"/>
                <w:sz w:val="24"/>
                <w:lang w:val="en-US" w:eastAsia="zh-CN"/>
              </w:rPr>
              <w:t>5</w:t>
            </w:r>
            <w:r>
              <w:rPr>
                <w:rFonts w:hint="eastAsia" w:ascii="仿宋" w:hAnsi="仿宋" w:eastAsia="仿宋" w:cs="仿宋"/>
                <w:sz w:val="24"/>
              </w:rPr>
              <w:t>分，良</w:t>
            </w:r>
            <w:r>
              <w:rPr>
                <w:rFonts w:hint="eastAsia" w:cs="仿宋"/>
                <w:sz w:val="24"/>
                <w:lang w:val="en-US" w:eastAsia="zh-CN"/>
              </w:rPr>
              <w:t>20</w:t>
            </w:r>
            <w:r>
              <w:rPr>
                <w:rFonts w:hint="eastAsia" w:ascii="仿宋" w:hAnsi="仿宋" w:eastAsia="仿宋" w:cs="仿宋"/>
                <w:sz w:val="24"/>
              </w:rPr>
              <w:t>分，中</w:t>
            </w:r>
            <w:r>
              <w:rPr>
                <w:rFonts w:ascii="仿宋" w:hAnsi="仿宋" w:eastAsia="仿宋" w:cs="仿宋"/>
                <w:sz w:val="24"/>
              </w:rPr>
              <w:t>1</w:t>
            </w:r>
            <w:r>
              <w:rPr>
                <w:rFonts w:hint="eastAsia" w:cs="仿宋"/>
                <w:sz w:val="24"/>
                <w:lang w:val="en-US" w:eastAsia="zh-CN"/>
              </w:rPr>
              <w:t>5</w:t>
            </w:r>
            <w:r>
              <w:rPr>
                <w:rFonts w:hint="eastAsia" w:ascii="仿宋" w:hAnsi="仿宋" w:eastAsia="仿宋" w:cs="仿宋"/>
                <w:sz w:val="24"/>
              </w:rPr>
              <w:t>分，差</w:t>
            </w:r>
            <w:r>
              <w:rPr>
                <w:rFonts w:hint="eastAsia" w:cs="仿宋"/>
                <w:sz w:val="24"/>
                <w:lang w:val="en-US" w:eastAsia="zh-CN"/>
              </w:rPr>
              <w:t>10</w:t>
            </w:r>
            <w:r>
              <w:rPr>
                <w:rFonts w:hint="eastAsia" w:ascii="仿宋" w:hAnsi="仿宋" w:eastAsia="仿宋" w:cs="仿宋"/>
                <w:sz w:val="24"/>
              </w:rPr>
              <w:t>分。</w:t>
            </w:r>
            <w:r>
              <w:rPr>
                <w:rFonts w:hint="eastAsia" w:cs="仿宋"/>
                <w:sz w:val="24"/>
                <w:lang w:eastAsia="zh-CN"/>
              </w:rPr>
              <w:t>满分</w:t>
            </w:r>
            <w:r>
              <w:rPr>
                <w:rFonts w:hint="eastAsia" w:cs="仿宋"/>
                <w:sz w:val="24"/>
                <w:lang w:val="en-US" w:eastAsia="zh-CN"/>
              </w:rPr>
              <w:t>25分。</w:t>
            </w:r>
          </w:p>
          <w:p>
            <w:pPr>
              <w:keepNext w:val="0"/>
              <w:keepLines w:val="0"/>
              <w:pageBreakBefore w:val="0"/>
              <w:widowControl w:val="0"/>
              <w:kinsoku/>
              <w:wordWrap/>
              <w:overflowPunct/>
              <w:topLinePunct w:val="0"/>
              <w:autoSpaceDE/>
              <w:autoSpaceDN/>
              <w:bidi w:val="0"/>
              <w:adjustRightInd/>
              <w:snapToGrid/>
              <w:spacing w:beforeAutospacing="0" w:after="0" w:line="540" w:lineRule="exact"/>
              <w:jc w:val="both"/>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2.</w:t>
            </w:r>
            <w:r>
              <w:rPr>
                <w:rFonts w:hint="eastAsia" w:ascii="仿宋" w:hAnsi="仿宋" w:eastAsia="仿宋" w:cs="仿宋"/>
                <w:sz w:val="24"/>
              </w:rPr>
              <w:t>明确实施农药包装废弃物集中回收建设内容、宣传牌、台账。优5分，良3分，中2分，差1分。</w:t>
            </w:r>
            <w:r>
              <w:rPr>
                <w:rFonts w:hint="eastAsia" w:cs="仿宋"/>
                <w:sz w:val="24"/>
                <w:lang w:eastAsia="zh-CN"/>
              </w:rPr>
              <w:t>满分</w:t>
            </w:r>
            <w:r>
              <w:rPr>
                <w:rFonts w:hint="eastAsia" w:cs="仿宋"/>
                <w:sz w:val="24"/>
                <w:lang w:val="en-US" w:eastAsia="zh-CN"/>
              </w:rPr>
              <w:t>5分。</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ascii="仿宋" w:hAnsi="仿宋" w:eastAsia="仿宋" w:cs="仿宋"/>
                <w:color w:val="000000"/>
                <w:sz w:val="24"/>
              </w:rPr>
              <w:t>3</w:t>
            </w:r>
            <w:r>
              <w:rPr>
                <w:rFonts w:hint="eastAsia" w:ascii="仿宋" w:hAnsi="仿宋" w:eastAsia="仿宋" w:cs="仿宋"/>
                <w:color w:val="000000"/>
                <w:sz w:val="24"/>
              </w:rPr>
              <w:t>0</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ascii="仿宋" w:hAnsi="仿宋" w:eastAsia="仿宋" w:cs="仿宋"/>
                <w:color w:val="000000"/>
                <w:sz w:val="24"/>
              </w:rPr>
              <w:t>3</w:t>
            </w:r>
            <w:r>
              <w:rPr>
                <w:rFonts w:hint="eastAsia" w:ascii="仿宋" w:hAnsi="仿宋" w:eastAsia="仿宋" w:cs="仿宋"/>
                <w:color w:val="00000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t>3</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t>相关业绩证明</w:t>
            </w:r>
          </w:p>
        </w:tc>
        <w:tc>
          <w:tcPr>
            <w:tcW w:w="0" w:type="auto"/>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Autospacing="0" w:after="0" w:line="540" w:lineRule="exact"/>
              <w:ind w:leftChars="0"/>
              <w:jc w:val="both"/>
              <w:textAlignment w:val="auto"/>
              <w:rPr>
                <w:rFonts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有病虫害防治或统防统治社会化服务经验，提供近三年项目服务合同，每一项得</w:t>
            </w:r>
            <w:r>
              <w:rPr>
                <w:rFonts w:ascii="仿宋" w:hAnsi="仿宋" w:eastAsia="仿宋" w:cs="仿宋"/>
                <w:sz w:val="24"/>
              </w:rPr>
              <w:t>2</w:t>
            </w:r>
            <w:r>
              <w:rPr>
                <w:rFonts w:hint="eastAsia" w:ascii="仿宋" w:hAnsi="仿宋" w:eastAsia="仿宋" w:cs="仿宋"/>
                <w:sz w:val="24"/>
              </w:rPr>
              <w:t>分，满分</w:t>
            </w:r>
            <w:r>
              <w:rPr>
                <w:rFonts w:ascii="仿宋" w:hAnsi="仿宋" w:eastAsia="仿宋" w:cs="仿宋"/>
                <w:sz w:val="24"/>
              </w:rPr>
              <w:t>6</w:t>
            </w:r>
            <w:r>
              <w:rPr>
                <w:rFonts w:hint="eastAsia" w:ascii="仿宋" w:hAnsi="仿宋" w:eastAsia="仿宋" w:cs="仿宋"/>
                <w:sz w:val="24"/>
              </w:rPr>
              <w:t>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0" w:line="540" w:lineRule="exact"/>
              <w:ind w:leftChars="0"/>
              <w:jc w:val="both"/>
              <w:textAlignment w:val="auto"/>
              <w:rPr>
                <w:rFonts w:hint="eastAsia" w:ascii="仿宋" w:hAnsi="仿宋" w:eastAsia="仿宋" w:cs="仿宋"/>
                <w:sz w:val="24"/>
              </w:rPr>
            </w:pPr>
            <w:r>
              <w:rPr>
                <w:rFonts w:hint="eastAsia" w:ascii="仿宋" w:hAnsi="仿宋" w:eastAsia="仿宋" w:cs="仿宋"/>
                <w:sz w:val="24"/>
                <w:lang w:val="en-US" w:eastAsia="zh-CN"/>
              </w:rPr>
              <w:t>2.</w:t>
            </w:r>
            <w:r>
              <w:rPr>
                <w:rFonts w:ascii="仿宋" w:hAnsi="仿宋" w:eastAsia="仿宋" w:cs="仿宋"/>
                <w:sz w:val="24"/>
              </w:rPr>
              <w:t>年度</w:t>
            </w:r>
            <w:r>
              <w:rPr>
                <w:rFonts w:hint="eastAsia" w:ascii="仿宋" w:hAnsi="仿宋" w:eastAsia="仿宋" w:cs="仿宋"/>
                <w:sz w:val="24"/>
              </w:rPr>
              <w:t>水稻病虫害统防统治</w:t>
            </w:r>
            <w:r>
              <w:rPr>
                <w:rFonts w:ascii="仿宋" w:hAnsi="仿宋" w:eastAsia="仿宋" w:cs="仿宋"/>
                <w:sz w:val="24"/>
              </w:rPr>
              <w:t>服务面积1</w:t>
            </w:r>
            <w:r>
              <w:rPr>
                <w:rFonts w:hint="eastAsia" w:ascii="仿宋" w:hAnsi="仿宋" w:eastAsia="仿宋" w:cs="仿宋"/>
                <w:sz w:val="24"/>
              </w:rPr>
              <w:t>万</w:t>
            </w:r>
            <w:r>
              <w:rPr>
                <w:rFonts w:ascii="仿宋" w:hAnsi="仿宋" w:eastAsia="仿宋" w:cs="仿宋"/>
                <w:sz w:val="24"/>
              </w:rPr>
              <w:t>亩</w:t>
            </w:r>
            <w:r>
              <w:rPr>
                <w:rFonts w:hint="eastAsia" w:cs="仿宋"/>
                <w:sz w:val="24"/>
                <w:lang w:eastAsia="zh-CN"/>
              </w:rPr>
              <w:t>以下</w:t>
            </w:r>
            <w:r>
              <w:rPr>
                <w:rFonts w:hint="eastAsia" w:ascii="仿宋" w:hAnsi="仿宋" w:eastAsia="仿宋" w:cs="仿宋"/>
                <w:sz w:val="24"/>
              </w:rPr>
              <w:t>（含）基础得3分；</w:t>
            </w:r>
            <w:r>
              <w:rPr>
                <w:rFonts w:ascii="仿宋" w:hAnsi="仿宋" w:eastAsia="仿宋" w:cs="仿宋"/>
                <w:sz w:val="24"/>
              </w:rPr>
              <w:t>年度服务作业面积</w:t>
            </w:r>
            <w:r>
              <w:rPr>
                <w:rFonts w:hint="eastAsia" w:ascii="仿宋" w:hAnsi="仿宋" w:eastAsia="仿宋" w:cs="仿宋"/>
                <w:sz w:val="24"/>
              </w:rPr>
              <w:t>1</w:t>
            </w:r>
            <w:r>
              <w:rPr>
                <w:rFonts w:ascii="仿宋" w:hAnsi="仿宋" w:eastAsia="仿宋" w:cs="仿宋"/>
                <w:sz w:val="24"/>
              </w:rPr>
              <w:t>-2</w:t>
            </w:r>
            <w:r>
              <w:rPr>
                <w:rFonts w:hint="eastAsia" w:ascii="仿宋" w:hAnsi="仿宋" w:eastAsia="仿宋" w:cs="仿宋"/>
                <w:sz w:val="24"/>
              </w:rPr>
              <w:t>万</w:t>
            </w:r>
            <w:r>
              <w:rPr>
                <w:rFonts w:ascii="仿宋" w:hAnsi="仿宋" w:eastAsia="仿宋" w:cs="仿宋"/>
                <w:sz w:val="24"/>
              </w:rPr>
              <w:t>亩</w:t>
            </w:r>
            <w:r>
              <w:rPr>
                <w:rFonts w:hint="eastAsia" w:ascii="仿宋" w:hAnsi="仿宋" w:eastAsia="仿宋" w:cs="仿宋"/>
                <w:sz w:val="24"/>
              </w:rPr>
              <w:t>（含）得</w:t>
            </w:r>
            <w:r>
              <w:rPr>
                <w:rFonts w:ascii="仿宋" w:hAnsi="仿宋" w:eastAsia="仿宋" w:cs="仿宋"/>
                <w:sz w:val="24"/>
              </w:rPr>
              <w:t>6</w:t>
            </w:r>
            <w:r>
              <w:rPr>
                <w:rFonts w:hint="eastAsia" w:ascii="仿宋" w:hAnsi="仿宋" w:eastAsia="仿宋" w:cs="仿宋"/>
                <w:sz w:val="24"/>
              </w:rPr>
              <w:t>分；</w:t>
            </w:r>
            <w:r>
              <w:rPr>
                <w:rFonts w:ascii="仿宋" w:hAnsi="仿宋" w:eastAsia="仿宋" w:cs="仿宋"/>
                <w:sz w:val="24"/>
              </w:rPr>
              <w:t>年度服务作业面积</w:t>
            </w:r>
            <w:r>
              <w:rPr>
                <w:rFonts w:hint="eastAsia" w:cs="仿宋"/>
                <w:sz w:val="24"/>
                <w:lang w:val="en-US" w:eastAsia="zh-CN"/>
              </w:rPr>
              <w:t>2</w:t>
            </w:r>
            <w:r>
              <w:rPr>
                <w:rFonts w:hint="eastAsia" w:ascii="仿宋" w:hAnsi="仿宋" w:eastAsia="仿宋" w:cs="仿宋"/>
                <w:sz w:val="24"/>
              </w:rPr>
              <w:t>万</w:t>
            </w:r>
            <w:r>
              <w:rPr>
                <w:rFonts w:ascii="仿宋" w:hAnsi="仿宋" w:eastAsia="仿宋" w:cs="仿宋"/>
                <w:sz w:val="24"/>
              </w:rPr>
              <w:t>亩</w:t>
            </w:r>
            <w:r>
              <w:rPr>
                <w:rFonts w:hint="eastAsia" w:ascii="仿宋" w:hAnsi="仿宋" w:eastAsia="仿宋" w:cs="仿宋"/>
                <w:sz w:val="24"/>
              </w:rPr>
              <w:t>得</w:t>
            </w:r>
            <w:r>
              <w:rPr>
                <w:rFonts w:ascii="仿宋" w:hAnsi="仿宋" w:eastAsia="仿宋" w:cs="仿宋"/>
                <w:sz w:val="24"/>
              </w:rPr>
              <w:t>9</w:t>
            </w:r>
            <w:r>
              <w:rPr>
                <w:rFonts w:hint="eastAsia" w:ascii="仿宋" w:hAnsi="仿宋" w:eastAsia="仿宋" w:cs="仿宋"/>
                <w:sz w:val="24"/>
              </w:rPr>
              <w:t>分。</w:t>
            </w:r>
            <w:r>
              <w:rPr>
                <w:rFonts w:ascii="仿宋" w:hAnsi="仿宋" w:eastAsia="仿宋" w:cs="仿宋"/>
                <w:sz w:val="24"/>
              </w:rPr>
              <w:t>（需提供合同、验收、台账佐证）</w:t>
            </w:r>
            <w:r>
              <w:rPr>
                <w:rFonts w:hint="eastAsia" w:cs="仿宋"/>
                <w:sz w:val="24"/>
                <w:lang w:eastAsia="zh-CN"/>
              </w:rPr>
              <w:t>，</w:t>
            </w:r>
            <w:r>
              <w:rPr>
                <w:rFonts w:hint="eastAsia" w:ascii="仿宋" w:hAnsi="仿宋" w:eastAsia="仿宋" w:cs="仿宋"/>
                <w:sz w:val="24"/>
              </w:rPr>
              <w:t>满分9分。</w:t>
            </w:r>
          </w:p>
        </w:tc>
        <w:tc>
          <w:tcPr>
            <w:tcW w:w="0" w:type="auto"/>
            <w:noWrap w:val="0"/>
            <w:vAlign w:val="center"/>
          </w:tcPr>
          <w:p>
            <w:pPr>
              <w:pStyle w:val="5"/>
              <w:keepNext w:val="0"/>
              <w:keepLines w:val="0"/>
              <w:pageBreakBefore w:val="0"/>
              <w:widowControl w:val="0"/>
              <w:kinsoku/>
              <w:wordWrap/>
              <w:overflowPunct/>
              <w:topLinePunct w:val="0"/>
              <w:autoSpaceDE/>
              <w:autoSpaceDN/>
              <w:bidi w:val="0"/>
              <w:adjustRightInd/>
              <w:snapToGrid/>
              <w:spacing w:before="0" w:beforeAutospacing="0" w:after="0" w:line="540" w:lineRule="exact"/>
              <w:jc w:val="center"/>
              <w:textAlignment w:val="auto"/>
              <w:outlineLvl w:val="2"/>
              <w:rPr>
                <w:rFonts w:ascii="仿宋" w:hAnsi="仿宋" w:eastAsia="仿宋" w:cs="仿宋"/>
                <w:sz w:val="24"/>
                <w:szCs w:val="24"/>
              </w:rPr>
            </w:pPr>
            <w:r>
              <w:rPr>
                <w:rFonts w:ascii="仿宋" w:hAnsi="仿宋" w:eastAsia="仿宋" w:cs="仿宋"/>
                <w:b w:val="0"/>
                <w:bCs w:val="0"/>
                <w:color w:val="000000"/>
                <w:sz w:val="24"/>
                <w:szCs w:val="24"/>
              </w:rPr>
              <w:t>15</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ascii="仿宋" w:hAnsi="仿宋" w:eastAsia="仿宋" w:cs="仿宋"/>
                <w:color w:val="000000"/>
                <w:sz w:val="24"/>
              </w:rPr>
            </w:pPr>
            <w:r>
              <w:rPr>
                <w:rFonts w:ascii="仿宋" w:hAnsi="仿宋" w:eastAsia="仿宋" w:cs="仿宋"/>
                <w:color w:val="000000"/>
                <w:sz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ascii="仿宋" w:hAnsi="仿宋" w:eastAsia="仿宋" w:cs="仿宋"/>
                <w:color w:val="000000"/>
                <w:sz w:val="24"/>
              </w:rPr>
              <w:t>4</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rPr>
            </w:pPr>
            <w:r>
              <w:rPr>
                <w:rFonts w:hint="eastAsia" w:ascii="仿宋" w:hAnsi="仿宋" w:eastAsia="仿宋" w:cs="仿宋"/>
                <w:sz w:val="24"/>
              </w:rPr>
              <w:t>申报组织服务能力</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both"/>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1.</w:t>
            </w:r>
            <w:r>
              <w:rPr>
                <w:rFonts w:ascii="仿宋" w:hAnsi="仿宋" w:eastAsia="仿宋" w:cs="仿宋"/>
                <w:sz w:val="24"/>
              </w:rPr>
              <w:t>专业技术人员：</w:t>
            </w:r>
            <w:r>
              <w:rPr>
                <w:rFonts w:hint="eastAsia" w:ascii="仿宋" w:hAnsi="仿宋" w:eastAsia="仿宋" w:cs="仿宋"/>
                <w:sz w:val="24"/>
              </w:rPr>
              <w:t>项目管理人员为农艺师或以上职称人员，需提供职称证书证明、社保、劳动合同佐证，得3分。</w:t>
            </w:r>
            <w:r>
              <w:rPr>
                <w:rFonts w:hint="eastAsia" w:cs="仿宋"/>
                <w:sz w:val="24"/>
                <w:lang w:eastAsia="zh-CN"/>
              </w:rPr>
              <w:t>满分</w:t>
            </w:r>
            <w:r>
              <w:rPr>
                <w:rFonts w:hint="eastAsia" w:cs="仿宋"/>
                <w:sz w:val="24"/>
                <w:lang w:val="en-US" w:eastAsia="zh-CN"/>
              </w:rPr>
              <w:t>3分。</w:t>
            </w:r>
          </w:p>
          <w:p>
            <w:pPr>
              <w:keepNext w:val="0"/>
              <w:keepLines w:val="0"/>
              <w:pageBreakBefore w:val="0"/>
              <w:widowControl w:val="0"/>
              <w:kinsoku/>
              <w:wordWrap/>
              <w:overflowPunct/>
              <w:topLinePunct w:val="0"/>
              <w:autoSpaceDE/>
              <w:autoSpaceDN/>
              <w:bidi w:val="0"/>
              <w:adjustRightInd/>
              <w:snapToGrid/>
              <w:spacing w:beforeAutospacing="0" w:after="0" w:line="540" w:lineRule="exact"/>
              <w:jc w:val="both"/>
              <w:textAlignment w:val="auto"/>
              <w:rPr>
                <w:rFonts w:hint="eastAsia" w:ascii="仿宋" w:hAnsi="仿宋" w:eastAsia="仿宋" w:cs="仿宋"/>
                <w:sz w:val="24"/>
                <w:lang w:val="zh-CN"/>
              </w:rPr>
            </w:pPr>
            <w:r>
              <w:rPr>
                <w:rFonts w:hint="eastAsia" w:ascii="仿宋" w:hAnsi="仿宋" w:eastAsia="仿宋" w:cs="仿宋"/>
                <w:sz w:val="24"/>
                <w:lang w:val="en-US" w:eastAsia="zh-CN"/>
              </w:rPr>
              <w:t>2.</w:t>
            </w:r>
            <w:r>
              <w:rPr>
                <w:rFonts w:hint="eastAsia" w:ascii="仿宋" w:hAnsi="仿宋" w:eastAsia="仿宋" w:cs="仿宋"/>
                <w:sz w:val="24"/>
                <w:lang w:val="zh-CN"/>
              </w:rPr>
              <w:t>作业团队：</w:t>
            </w:r>
            <w:r>
              <w:rPr>
                <w:rFonts w:ascii="仿宋" w:hAnsi="仿宋" w:eastAsia="仿宋" w:cs="仿宋"/>
                <w:sz w:val="24"/>
              </w:rPr>
              <w:t>固定专职作业人员</w:t>
            </w:r>
            <w:r>
              <w:rPr>
                <w:rFonts w:hint="eastAsia" w:ascii="仿宋" w:hAnsi="仿宋" w:eastAsia="仿宋" w:cs="仿宋"/>
                <w:sz w:val="24"/>
              </w:rPr>
              <w:t>，</w:t>
            </w:r>
            <w:r>
              <w:rPr>
                <w:rFonts w:hint="eastAsia" w:ascii="仿宋" w:hAnsi="仿宋" w:eastAsia="仿宋" w:cs="仿宋"/>
                <w:sz w:val="24"/>
                <w:lang w:val="zh-CN"/>
              </w:rPr>
              <w:t>有相关专业技术人员，并持有植保无人机操作证，须提供劳务合同（协议）和社保缴费证明，每提供1人得</w:t>
            </w:r>
            <w:r>
              <w:rPr>
                <w:rFonts w:ascii="仿宋" w:hAnsi="仿宋" w:eastAsia="仿宋" w:cs="仿宋"/>
                <w:sz w:val="24"/>
                <w:lang w:val="zh-CN"/>
              </w:rPr>
              <w:t>1</w:t>
            </w:r>
            <w:r>
              <w:rPr>
                <w:rFonts w:hint="eastAsia" w:ascii="仿宋" w:hAnsi="仿宋" w:eastAsia="仿宋" w:cs="仿宋"/>
                <w:sz w:val="24"/>
                <w:lang w:val="zh-CN"/>
              </w:rPr>
              <w:t>分，满分</w:t>
            </w:r>
            <w:r>
              <w:rPr>
                <w:rFonts w:ascii="仿宋" w:hAnsi="仿宋" w:eastAsia="仿宋" w:cs="仿宋"/>
                <w:sz w:val="24"/>
                <w:lang w:val="zh-CN"/>
              </w:rPr>
              <w:t>15</w:t>
            </w:r>
            <w:r>
              <w:rPr>
                <w:rFonts w:hint="eastAsia" w:ascii="仿宋" w:hAnsi="仿宋" w:eastAsia="仿宋" w:cs="仿宋"/>
                <w:sz w:val="24"/>
                <w:lang w:val="zh-CN"/>
              </w:rPr>
              <w:t>分。</w:t>
            </w:r>
          </w:p>
          <w:p>
            <w:pPr>
              <w:keepNext w:val="0"/>
              <w:keepLines w:val="0"/>
              <w:pageBreakBefore w:val="0"/>
              <w:widowControl w:val="0"/>
              <w:kinsoku/>
              <w:wordWrap/>
              <w:overflowPunct/>
              <w:topLinePunct w:val="0"/>
              <w:autoSpaceDE/>
              <w:autoSpaceDN/>
              <w:bidi w:val="0"/>
              <w:adjustRightInd/>
              <w:snapToGrid/>
              <w:spacing w:beforeAutospacing="0" w:after="0" w:line="540" w:lineRule="exact"/>
              <w:jc w:val="both"/>
              <w:textAlignment w:val="auto"/>
              <w:rPr>
                <w:rFonts w:ascii="仿宋" w:hAnsi="仿宋" w:eastAsia="仿宋" w:cs="仿宋"/>
                <w:sz w:val="24"/>
                <w:lang w:val="zh-CN"/>
              </w:rPr>
            </w:pPr>
            <w:r>
              <w:rPr>
                <w:rFonts w:hint="eastAsia" w:ascii="仿宋" w:hAnsi="仿宋" w:eastAsia="仿宋" w:cs="仿宋"/>
                <w:sz w:val="24"/>
                <w:lang w:val="en-US" w:eastAsia="zh-CN"/>
              </w:rPr>
              <w:t>3.</w:t>
            </w:r>
            <w:r>
              <w:rPr>
                <w:rFonts w:hint="eastAsia" w:ascii="仿宋" w:hAnsi="仿宋" w:eastAsia="仿宋" w:cs="仿宋"/>
                <w:sz w:val="24"/>
                <w:lang w:val="zh-CN"/>
              </w:rPr>
              <w:t>拥有施药作业机械和设备，提供采购合同发票/租赁合同，每提供1套得</w:t>
            </w:r>
            <w:r>
              <w:rPr>
                <w:rFonts w:ascii="仿宋" w:hAnsi="仿宋" w:eastAsia="仿宋" w:cs="仿宋"/>
                <w:sz w:val="24"/>
                <w:lang w:val="zh-CN"/>
              </w:rPr>
              <w:t>1</w:t>
            </w:r>
            <w:r>
              <w:rPr>
                <w:rFonts w:hint="eastAsia" w:ascii="仿宋" w:hAnsi="仿宋" w:eastAsia="仿宋" w:cs="仿宋"/>
                <w:sz w:val="24"/>
                <w:lang w:val="zh-CN"/>
              </w:rPr>
              <w:t>分，满分</w:t>
            </w:r>
            <w:r>
              <w:rPr>
                <w:rFonts w:ascii="仿宋" w:hAnsi="仿宋" w:eastAsia="仿宋" w:cs="仿宋"/>
                <w:sz w:val="24"/>
                <w:lang w:val="zh-CN"/>
              </w:rPr>
              <w:t>10</w:t>
            </w:r>
            <w:r>
              <w:rPr>
                <w:rFonts w:hint="eastAsia" w:ascii="仿宋" w:hAnsi="仿宋" w:eastAsia="仿宋" w:cs="仿宋"/>
                <w:sz w:val="24"/>
                <w:lang w:val="zh-CN"/>
              </w:rPr>
              <w:t>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0" w:line="540" w:lineRule="exact"/>
              <w:ind w:leftChars="0" w:firstLine="0" w:firstLineChars="0"/>
              <w:jc w:val="both"/>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4.</w:t>
            </w:r>
            <w:r>
              <w:rPr>
                <w:rFonts w:hint="eastAsia" w:ascii="仿宋" w:hAnsi="仿宋" w:eastAsia="仿宋" w:cs="仿宋"/>
                <w:sz w:val="24"/>
                <w:lang w:val="zh-CN"/>
              </w:rPr>
              <w:t>团队配置：团队稳定性强、人员架构完善，有专职管理人员、技术人员、一线作业人员分工，得</w:t>
            </w:r>
            <w:r>
              <w:rPr>
                <w:rFonts w:ascii="仿宋" w:hAnsi="仿宋" w:eastAsia="仿宋" w:cs="仿宋"/>
                <w:sz w:val="24"/>
                <w:lang w:val="zh-CN"/>
              </w:rPr>
              <w:t>2</w:t>
            </w:r>
            <w:r>
              <w:rPr>
                <w:rFonts w:hint="eastAsia" w:ascii="仿宋" w:hAnsi="仿宋" w:eastAsia="仿宋" w:cs="仿宋"/>
                <w:sz w:val="24"/>
                <w:lang w:val="zh-CN"/>
              </w:rPr>
              <w:t>分，不提供得0分。</w:t>
            </w:r>
            <w:r>
              <w:rPr>
                <w:rFonts w:hint="eastAsia" w:cs="仿宋"/>
                <w:sz w:val="24"/>
                <w:lang w:val="zh-CN"/>
              </w:rPr>
              <w:t>满分</w:t>
            </w:r>
            <w:r>
              <w:rPr>
                <w:rFonts w:hint="eastAsia" w:cs="仿宋"/>
                <w:sz w:val="24"/>
                <w:lang w:val="en-US" w:eastAsia="zh-CN"/>
              </w:rPr>
              <w:t>2分。</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ascii="仿宋" w:hAnsi="仿宋" w:eastAsia="仿宋" w:cs="仿宋"/>
                <w:color w:val="000000"/>
                <w:sz w:val="24"/>
              </w:rPr>
              <w:t>30</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ascii="仿宋" w:hAnsi="仿宋" w:eastAsia="仿宋" w:cs="仿宋"/>
                <w:color w:val="00000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ascii="仿宋" w:hAnsi="仿宋" w:eastAsia="仿宋" w:cs="仿宋"/>
                <w:color w:val="000000"/>
                <w:sz w:val="24"/>
              </w:rPr>
              <w:t>5</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sz w:val="24"/>
              </w:rPr>
            </w:pPr>
            <w:r>
              <w:rPr>
                <w:rFonts w:hint="eastAsia" w:ascii="仿宋" w:hAnsi="仿宋" w:eastAsia="仿宋" w:cs="仿宋"/>
                <w:sz w:val="24"/>
              </w:rPr>
              <w:t>管理制度情况</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both"/>
              <w:textAlignment w:val="auto"/>
              <w:rPr>
                <w:rFonts w:hint="default" w:ascii="仿宋" w:hAnsi="仿宋" w:eastAsia="仿宋" w:cs="仿宋"/>
                <w:sz w:val="24"/>
                <w:lang w:val="en-US" w:eastAsia="zh-CN"/>
              </w:rPr>
            </w:pPr>
            <w:r>
              <w:rPr>
                <w:rFonts w:hint="eastAsia" w:ascii="仿宋" w:hAnsi="仿宋" w:eastAsia="仿宋" w:cs="仿宋"/>
                <w:sz w:val="24"/>
              </w:rPr>
              <w:t>具有健全的人员管理、合同管理、田间作业、质量管控、服务管控和档案记录等管理制度，提供相关制度、管理记录证明。优10分，良7分，中5分，差1分。</w:t>
            </w:r>
            <w:r>
              <w:rPr>
                <w:rFonts w:hint="eastAsia" w:cs="仿宋"/>
                <w:sz w:val="24"/>
                <w:lang w:eastAsia="zh-CN"/>
              </w:rPr>
              <w:t>满分</w:t>
            </w:r>
            <w:r>
              <w:rPr>
                <w:rFonts w:hint="eastAsia" w:cs="仿宋"/>
                <w:sz w:val="24"/>
                <w:lang w:val="en-US" w:eastAsia="zh-CN"/>
              </w:rPr>
              <w:t>10分。</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t>10</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0" w:type="auto"/>
            <w:gridSpan w:val="3"/>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both"/>
              <w:textAlignment w:val="auto"/>
              <w:rPr>
                <w:rFonts w:hint="eastAsia" w:ascii="仿宋" w:hAnsi="仿宋" w:eastAsia="仿宋" w:cs="仿宋"/>
                <w:color w:val="000000"/>
                <w:sz w:val="24"/>
              </w:rPr>
            </w:pPr>
            <w:r>
              <w:rPr>
                <w:rFonts w:hint="eastAsia" w:ascii="仿宋" w:hAnsi="仿宋" w:eastAsia="仿宋" w:cs="仿宋"/>
                <w:color w:val="000000"/>
                <w:sz w:val="24"/>
              </w:rPr>
              <w:t>合计</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t>100</w:t>
            </w:r>
          </w:p>
        </w:tc>
        <w:tc>
          <w:tcPr>
            <w:tcW w:w="0" w:type="auto"/>
            <w:noWrap w:val="0"/>
            <w:vAlign w:val="center"/>
          </w:tcPr>
          <w:p>
            <w:pPr>
              <w:keepNext w:val="0"/>
              <w:keepLines w:val="0"/>
              <w:pageBreakBefore w:val="0"/>
              <w:widowControl w:val="0"/>
              <w:kinsoku/>
              <w:wordWrap/>
              <w:overflowPunct/>
              <w:topLinePunct w:val="0"/>
              <w:autoSpaceDE/>
              <w:autoSpaceDN/>
              <w:bidi w:val="0"/>
              <w:adjustRightInd/>
              <w:snapToGrid/>
              <w:spacing w:beforeAutospacing="0" w:after="0" w:line="540" w:lineRule="exact"/>
              <w:jc w:val="center"/>
              <w:textAlignment w:val="auto"/>
              <w:rPr>
                <w:rFonts w:hint="eastAsia" w:ascii="仿宋" w:hAnsi="仿宋" w:eastAsia="仿宋" w:cs="仿宋"/>
                <w:color w:val="000000"/>
                <w:sz w:val="24"/>
              </w:rPr>
            </w:pPr>
            <w:r>
              <w:rPr>
                <w:rFonts w:hint="eastAsia" w:ascii="仿宋" w:hAnsi="仿宋" w:eastAsia="仿宋" w:cs="仿宋"/>
                <w:color w:val="000000"/>
                <w:sz w:val="24"/>
              </w:rPr>
              <w:t>100</w:t>
            </w:r>
          </w:p>
        </w:tc>
      </w:tr>
      <w:bookmarkEnd w:id="0"/>
    </w:tbl>
    <w:p>
      <w:pPr>
        <w:keepNext w:val="0"/>
        <w:keepLines w:val="0"/>
        <w:pageBreakBefore w:val="0"/>
        <w:widowControl/>
        <w:kinsoku/>
        <w:wordWrap/>
        <w:overflowPunct/>
        <w:topLinePunct w:val="0"/>
        <w:autoSpaceDE/>
        <w:autoSpaceDN/>
        <w:bidi w:val="0"/>
        <w:adjustRightInd/>
        <w:snapToGrid/>
        <w:spacing w:beforeAutospacing="0" w:after="0" w:line="540" w:lineRule="exact"/>
        <w:textAlignment w:val="auto"/>
        <w:rPr>
          <w:rFonts w:hint="eastAsia" w:ascii="黑体" w:hAnsi="黑体" w:eastAsia="黑体" w:cs="黑体"/>
          <w:sz w:val="32"/>
          <w:szCs w:val="32"/>
        </w:rPr>
      </w:pP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七、项目实施及验收</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实施主体选定后，采用</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市级统筹指导、县级协作监督、服务组织具体实施</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的模式。由市农业农村局确定实施方案，县级协作落实项目实施地块、开展技术指导、监督实施效果、组织验收，服务组织具体实施。项目实施期限为2026年晚稻至2027年早稻生产期间，具体作业时段由采购人根据病虫监测情报和农时确定</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项目内容实施完成后，服务商提出验收申请，提供飞防轨迹、照片、药物采购、防治效果等服务过程的相关佐证材料，由各县（市、区）农业农村局初步验收，报我局验收合格后，由我局向财政申请拨付资金到服务商。</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八、付款方式</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签订合同后，中标人提供合规有效发票，招标人拨付项目总经费的</w:t>
      </w:r>
      <w:r>
        <w:rPr>
          <w:rFonts w:hint="eastAsia" w:ascii="仿宋_GB2312" w:hAnsi="仿宋_GB2312" w:eastAsia="仿宋_GB2312" w:cs="仿宋_GB2312"/>
          <w:color w:val="auto"/>
          <w:sz w:val="32"/>
          <w:szCs w:val="32"/>
        </w:rPr>
        <w:t>30%</w:t>
      </w:r>
      <w:r>
        <w:rPr>
          <w:rFonts w:hint="eastAsia" w:ascii="仿宋_GB2312" w:hAnsi="仿宋_GB2312" w:eastAsia="仿宋_GB2312" w:cs="仿宋_GB2312"/>
          <w:color w:val="auto"/>
          <w:sz w:val="32"/>
          <w:szCs w:val="32"/>
          <w:lang w:eastAsia="zh-CN"/>
        </w:rPr>
        <w:t>作为预付款；项目各县域实施内容全部完成，经对应县级农业农村主管部门验收合格后，凭合规有效发票，按各县实际完成工作量对应结算剩余</w:t>
      </w:r>
      <w:r>
        <w:rPr>
          <w:rFonts w:hint="eastAsia" w:ascii="仿宋_GB2312" w:hAnsi="仿宋_GB2312" w:eastAsia="仿宋_GB2312" w:cs="仿宋_GB2312"/>
          <w:color w:val="auto"/>
          <w:sz w:val="32"/>
          <w:szCs w:val="32"/>
        </w:rPr>
        <w:t>70%</w:t>
      </w:r>
      <w:r>
        <w:rPr>
          <w:rFonts w:hint="eastAsia" w:ascii="仿宋_GB2312" w:hAnsi="仿宋_GB2312" w:eastAsia="仿宋_GB2312" w:cs="仿宋_GB2312"/>
          <w:color w:val="auto"/>
          <w:sz w:val="32"/>
          <w:szCs w:val="32"/>
          <w:lang w:eastAsia="zh-CN"/>
        </w:rPr>
        <w:t>项目款项，分批次据实拨付。</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九、投标要求</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公示时间：</w:t>
      </w:r>
      <w:r>
        <w:rPr>
          <w:rFonts w:hint="eastAsia" w:ascii="仿宋_GB2312" w:hAnsi="仿宋_GB2312" w:eastAsia="仿宋_GB2312" w:cs="仿宋_GB2312"/>
          <w:color w:val="auto"/>
          <w:sz w:val="32"/>
          <w:szCs w:val="32"/>
        </w:rPr>
        <w:t>2026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lang w:eastAsia="zh-CN"/>
        </w:rPr>
        <w:t>日至</w:t>
      </w:r>
      <w:r>
        <w:rPr>
          <w:rFonts w:hint="eastAsia" w:ascii="仿宋_GB2312" w:hAnsi="仿宋_GB2312" w:eastAsia="仿宋_GB2312" w:cs="仿宋_GB2312"/>
          <w:color w:val="auto"/>
          <w:sz w:val="32"/>
          <w:szCs w:val="32"/>
        </w:rPr>
        <w:t>2026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日，在江门市人民政府门户网站江门市农业农村局部门信息网公示。</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投标截止时间：</w:t>
      </w:r>
      <w:r>
        <w:rPr>
          <w:rFonts w:hint="eastAsia" w:ascii="仿宋_GB2312" w:hAnsi="仿宋_GB2312" w:eastAsia="仿宋_GB2312" w:cs="仿宋_GB2312"/>
          <w:color w:val="auto"/>
          <w:sz w:val="32"/>
          <w:szCs w:val="32"/>
        </w:rPr>
        <w:t>2026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lang w:eastAsia="zh-CN"/>
        </w:rPr>
        <w:t>日上午</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lang w:eastAsia="zh-CN"/>
        </w:rPr>
        <w:t>时</w:t>
      </w:r>
      <w:r>
        <w:rPr>
          <w:rFonts w:hint="eastAsia" w:ascii="仿宋_GB2312" w:hAnsi="仿宋_GB2312" w:eastAsia="仿宋_GB2312" w:cs="仿宋_GB2312"/>
          <w:color w:val="auto"/>
          <w:sz w:val="32"/>
          <w:szCs w:val="32"/>
          <w:lang w:val="en-US" w:eastAsia="zh-CN"/>
        </w:rPr>
        <w:t>00</w:t>
      </w:r>
      <w:r>
        <w:rPr>
          <w:rFonts w:hint="eastAsia" w:ascii="仿宋_GB2312" w:hAnsi="仿宋_GB2312" w:eastAsia="仿宋_GB2312" w:cs="仿宋_GB2312"/>
          <w:color w:val="auto"/>
          <w:sz w:val="32"/>
          <w:szCs w:val="32"/>
          <w:lang w:eastAsia="zh-CN"/>
        </w:rPr>
        <w:t>分（以实际收到投标文件时间为准），逾期不予受理。响应文件一正二副（共</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份）装订成册（密封包装），送至江门市蓬江区农林横路</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号</w:t>
      </w:r>
      <w:r>
        <w:rPr>
          <w:rFonts w:hint="eastAsia" w:ascii="仿宋_GB2312" w:hAnsi="仿宋_GB2312" w:eastAsia="仿宋_GB2312" w:cs="仿宋_GB2312"/>
          <w:color w:val="auto"/>
          <w:sz w:val="32"/>
          <w:szCs w:val="32"/>
        </w:rPr>
        <w:t>701</w:t>
      </w:r>
      <w:r>
        <w:rPr>
          <w:rFonts w:hint="eastAsia" w:ascii="仿宋_GB2312" w:hAnsi="仿宋_GB2312" w:eastAsia="仿宋_GB2312" w:cs="仿宋_GB2312"/>
          <w:color w:val="auto"/>
          <w:sz w:val="32"/>
          <w:szCs w:val="32"/>
          <w:lang w:eastAsia="zh-CN"/>
        </w:rPr>
        <w:t>室。</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十、联系方式</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地址：江门市蓬江区农林横路</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号。</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联系人：江门市农业农村局种植业管理科刘先生。</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联系电话：</w:t>
      </w:r>
      <w:r>
        <w:rPr>
          <w:rFonts w:hint="eastAsia" w:ascii="仿宋_GB2312" w:hAnsi="仿宋_GB2312" w:eastAsia="仿宋_GB2312" w:cs="仿宋_GB2312"/>
          <w:color w:val="auto"/>
          <w:sz w:val="32"/>
          <w:szCs w:val="32"/>
          <w:lang w:val="en-US" w:eastAsia="zh-CN"/>
        </w:rPr>
        <w:t>0750-3887686</w:t>
      </w:r>
      <w:r>
        <w:rPr>
          <w:rFonts w:hint="eastAsia" w:ascii="仿宋_GB2312" w:hAnsi="仿宋_GB2312" w:eastAsia="仿宋_GB2312" w:cs="仿宋_GB2312"/>
          <w:color w:val="auto"/>
          <w:sz w:val="32"/>
          <w:szCs w:val="32"/>
          <w:lang w:eastAsia="zh-CN"/>
        </w:rPr>
        <w:t>。</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邮编：</w:t>
      </w:r>
      <w:r>
        <w:rPr>
          <w:rFonts w:hint="eastAsia" w:ascii="仿宋_GB2312" w:hAnsi="仿宋_GB2312" w:eastAsia="仿宋_GB2312" w:cs="仿宋_GB2312"/>
          <w:color w:val="auto"/>
          <w:sz w:val="32"/>
          <w:szCs w:val="32"/>
        </w:rPr>
        <w:t>529000</w:t>
      </w:r>
      <w:r>
        <w:rPr>
          <w:rFonts w:hint="eastAsia" w:ascii="仿宋_GB2312" w:hAnsi="仿宋_GB2312" w:eastAsia="仿宋_GB2312" w:cs="仿宋_GB2312"/>
          <w:color w:val="auto"/>
          <w:sz w:val="32"/>
          <w:szCs w:val="32"/>
          <w:lang w:eastAsia="zh-CN"/>
        </w:rPr>
        <w:t>。</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特此公告。</w:t>
      </w:r>
    </w:p>
    <w:p>
      <w:pPr>
        <w:keepNext w:val="0"/>
        <w:keepLines w:val="0"/>
        <w:pageBreakBefore w:val="0"/>
        <w:widowControl/>
        <w:kinsoku/>
        <w:wordWrap/>
        <w:overflowPunct/>
        <w:topLinePunct w:val="0"/>
        <w:autoSpaceDE/>
        <w:autoSpaceDN/>
        <w:bidi w:val="0"/>
        <w:adjustRightInd/>
        <w:snapToGrid/>
        <w:spacing w:beforeAutospacing="0" w:after="0" w:line="540" w:lineRule="exact"/>
        <w:ind w:firstLine="640" w:firstLineChars="200"/>
        <w:jc w:val="both"/>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beforeAutospacing="0" w:after="0" w:line="540" w:lineRule="exact"/>
        <w:ind w:left="1918" w:leftChars="228" w:hanging="1280" w:hangingChars="4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江门市2026年中央农业防灾减灾和水利救灾资金（防灾救灾第二批）粮食作物病虫害防控服务采购评审方案</w:t>
      </w:r>
    </w:p>
    <w:p>
      <w:pPr>
        <w:keepNext w:val="0"/>
        <w:keepLines w:val="0"/>
        <w:pageBreakBefore w:val="0"/>
        <w:widowControl/>
        <w:kinsoku/>
        <w:wordWrap/>
        <w:overflowPunct/>
        <w:topLinePunct w:val="0"/>
        <w:autoSpaceDE/>
        <w:autoSpaceDN/>
        <w:bidi w:val="0"/>
        <w:adjustRightInd/>
        <w:snapToGrid/>
        <w:spacing w:beforeAutospacing="0" w:after="0" w:line="540" w:lineRule="exact"/>
        <w:ind w:left="1916" w:leftChars="570" w:hanging="320" w:hanging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江门市2026年中央农业防灾救灾和水利救灾资金（防灾救灾第二批）粮食作物病虫害防控服务任务分配表</w:t>
      </w:r>
    </w:p>
    <w:p>
      <w:pPr>
        <w:keepNext w:val="0"/>
        <w:keepLines w:val="0"/>
        <w:pageBreakBefore w:val="0"/>
        <w:widowControl/>
        <w:kinsoku/>
        <w:wordWrap/>
        <w:overflowPunct/>
        <w:topLinePunct w:val="0"/>
        <w:autoSpaceDE/>
        <w:autoSpaceDN/>
        <w:bidi w:val="0"/>
        <w:adjustRightInd/>
        <w:snapToGrid/>
        <w:spacing w:beforeAutospacing="0" w:after="0" w:line="540" w:lineRule="exact"/>
        <w:ind w:right="960" w:firstLine="640" w:firstLineChars="200"/>
        <w:jc w:val="right"/>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beforeAutospacing="0" w:after="0" w:line="540" w:lineRule="exact"/>
        <w:ind w:right="960" w:firstLine="640" w:firstLineChars="200"/>
        <w:jc w:val="right"/>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beforeAutospacing="0" w:after="0" w:line="540" w:lineRule="exact"/>
        <w:ind w:right="960" w:firstLine="640" w:firstLineChars="200"/>
        <w:jc w:val="right"/>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beforeAutospacing="0" w:after="0" w:line="540" w:lineRule="exact"/>
        <w:ind w:right="960" w:firstLine="640" w:firstLineChars="200"/>
        <w:jc w:val="righ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江门市农业农村局</w:t>
      </w:r>
    </w:p>
    <w:p>
      <w:pPr>
        <w:keepNext w:val="0"/>
        <w:keepLines w:val="0"/>
        <w:pageBreakBefore w:val="0"/>
        <w:widowControl/>
        <w:kinsoku/>
        <w:wordWrap/>
        <w:overflowPunct/>
        <w:topLinePunct w:val="0"/>
        <w:autoSpaceDE/>
        <w:autoSpaceDN/>
        <w:bidi w:val="0"/>
        <w:adjustRightInd/>
        <w:snapToGrid/>
        <w:spacing w:beforeAutospacing="0" w:after="0" w:line="540" w:lineRule="exact"/>
        <w:ind w:right="960" w:firstLine="640" w:firstLineChars="200"/>
        <w:jc w:val="righ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29</w:t>
      </w:r>
      <w:r>
        <w:rPr>
          <w:rFonts w:hint="eastAsia" w:ascii="仿宋_GB2312" w:hAnsi="仿宋_GB2312" w:eastAsia="仿宋_GB2312" w:cs="仿宋_GB2312"/>
          <w:color w:val="auto"/>
          <w:sz w:val="32"/>
          <w:szCs w:val="32"/>
          <w:lang w:eastAsia="zh-CN"/>
        </w:rPr>
        <w:t>日</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0" w:firstLineChars="200"/>
        <w:textAlignment w:val="auto"/>
        <w:rPr>
          <w:rFonts w:hint="eastAsia" w:ascii="仿宋_GB2312" w:hAnsi="仿宋_GB2312" w:eastAsia="仿宋_GB2312" w:cs="仿宋_GB2312"/>
          <w:color w:val="auto"/>
          <w:sz w:val="32"/>
          <w:szCs w:val="32"/>
        </w:rPr>
        <w:sectPr>
          <w:footerReference r:id="rId5" w:type="default"/>
          <w:pgSz w:w="11906" w:h="16838"/>
          <w:pgMar w:top="1417" w:right="1531" w:bottom="1417" w:left="1531" w:header="720" w:footer="720" w:gutter="0"/>
          <w:pgNumType w:fmt="decimal"/>
          <w:cols w:space="720" w:num="1"/>
        </w:sectPr>
      </w:pPr>
    </w:p>
    <w:p>
      <w:pPr>
        <w:keepNext w:val="0"/>
        <w:keepLines w:val="0"/>
        <w:pageBreakBefore w:val="0"/>
        <w:widowControl/>
        <w:kinsoku/>
        <w:wordWrap/>
        <w:overflowPunct/>
        <w:topLinePunct w:val="0"/>
        <w:autoSpaceDE/>
        <w:autoSpaceDN/>
        <w:bidi w:val="0"/>
        <w:adjustRightInd/>
        <w:snapToGrid/>
        <w:spacing w:beforeAutospacing="0" w:after="0" w:line="560" w:lineRule="exact"/>
        <w:jc w:val="left"/>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eastAsia="zh-CN"/>
        </w:rPr>
        <w:t>附件</w:t>
      </w:r>
      <w:r>
        <w:rPr>
          <w:rFonts w:hint="eastAsia" w:ascii="仿宋_GB2312" w:hAnsi="仿宋_GB2312" w:eastAsia="仿宋_GB2312" w:cs="仿宋_GB2312"/>
          <w:b w:val="0"/>
          <w:bCs/>
          <w:color w:val="auto"/>
          <w:sz w:val="32"/>
          <w:szCs w:val="32"/>
        </w:rPr>
        <w:t>1</w:t>
      </w:r>
    </w:p>
    <w:p>
      <w:pPr>
        <w:keepNext w:val="0"/>
        <w:keepLines w:val="0"/>
        <w:pageBreakBefore w:val="0"/>
        <w:widowControl/>
        <w:kinsoku/>
        <w:wordWrap/>
        <w:overflowPunct/>
        <w:topLinePunct w:val="0"/>
        <w:autoSpaceDE/>
        <w:autoSpaceDN/>
        <w:bidi w:val="0"/>
        <w:adjustRightInd/>
        <w:snapToGrid/>
        <w:spacing w:beforeAutospacing="0" w:after="0" w:line="560" w:lineRule="exact"/>
        <w:jc w:val="center"/>
        <w:textAlignment w:val="auto"/>
        <w:outlineLvl w:val="9"/>
        <w:rPr>
          <w:rFonts w:hint="eastAsia" w:ascii="方正大标宋简体" w:hAnsi="方正大标宋简体" w:eastAsia="方正大标宋简体" w:cs="方正大标宋简体"/>
          <w:b w:val="0"/>
          <w:bCs/>
          <w:color w:val="auto"/>
          <w:sz w:val="44"/>
          <w:szCs w:val="44"/>
          <w:lang w:eastAsia="zh-CN"/>
        </w:rPr>
      </w:pPr>
    </w:p>
    <w:p>
      <w:pPr>
        <w:keepNext w:val="0"/>
        <w:keepLines w:val="0"/>
        <w:pageBreakBefore w:val="0"/>
        <w:widowControl/>
        <w:kinsoku/>
        <w:wordWrap/>
        <w:overflowPunct/>
        <w:topLinePunct w:val="0"/>
        <w:autoSpaceDE/>
        <w:autoSpaceDN/>
        <w:bidi w:val="0"/>
        <w:adjustRightInd/>
        <w:snapToGrid/>
        <w:spacing w:beforeAutospacing="0" w:after="0" w:line="560" w:lineRule="exact"/>
        <w:jc w:val="center"/>
        <w:textAlignment w:val="auto"/>
        <w:outlineLvl w:val="9"/>
        <w:rPr>
          <w:rFonts w:hint="eastAsia" w:ascii="方正大标宋简体" w:hAnsi="方正大标宋简体" w:eastAsia="方正大标宋简体" w:cs="方正大标宋简体"/>
          <w:b w:val="0"/>
          <w:bCs/>
          <w:color w:val="auto"/>
          <w:sz w:val="44"/>
          <w:szCs w:val="44"/>
          <w:lang w:eastAsia="zh-CN"/>
        </w:rPr>
      </w:pPr>
      <w:r>
        <w:rPr>
          <w:rFonts w:hint="eastAsia" w:ascii="方正大标宋简体" w:hAnsi="方正大标宋简体" w:eastAsia="方正大标宋简体" w:cs="方正大标宋简体"/>
          <w:b w:val="0"/>
          <w:bCs/>
          <w:color w:val="auto"/>
          <w:sz w:val="44"/>
          <w:szCs w:val="44"/>
          <w:lang w:eastAsia="zh-CN"/>
        </w:rPr>
        <w:t>江门市2026年中央农业防灾减灾和水利救灾资金（防灾救灾第二批）粮食作物</w:t>
      </w:r>
    </w:p>
    <w:p>
      <w:pPr>
        <w:keepNext w:val="0"/>
        <w:keepLines w:val="0"/>
        <w:pageBreakBefore w:val="0"/>
        <w:widowControl/>
        <w:kinsoku/>
        <w:wordWrap/>
        <w:overflowPunct/>
        <w:topLinePunct w:val="0"/>
        <w:autoSpaceDE/>
        <w:autoSpaceDN/>
        <w:bidi w:val="0"/>
        <w:adjustRightInd/>
        <w:snapToGrid/>
        <w:spacing w:beforeAutospacing="0" w:after="0" w:line="560" w:lineRule="exact"/>
        <w:jc w:val="center"/>
        <w:textAlignment w:val="auto"/>
        <w:outlineLvl w:val="9"/>
        <w:rPr>
          <w:rFonts w:hint="eastAsia" w:ascii="方正大标宋简体" w:hAnsi="方正大标宋简体" w:eastAsia="方正大标宋简体" w:cs="方正大标宋简体"/>
          <w:b w:val="0"/>
          <w:bCs/>
          <w:color w:val="auto"/>
          <w:sz w:val="44"/>
          <w:szCs w:val="44"/>
        </w:rPr>
      </w:pPr>
      <w:r>
        <w:rPr>
          <w:rFonts w:hint="eastAsia" w:ascii="方正大标宋简体" w:hAnsi="方正大标宋简体" w:eastAsia="方正大标宋简体" w:cs="方正大标宋简体"/>
          <w:b w:val="0"/>
          <w:bCs/>
          <w:color w:val="auto"/>
          <w:sz w:val="44"/>
          <w:szCs w:val="44"/>
          <w:lang w:eastAsia="zh-CN"/>
        </w:rPr>
        <w:t>病虫害防控服务采购评审方案</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2" w:firstLineChars="200"/>
        <w:jc w:val="left"/>
        <w:textAlignment w:val="auto"/>
        <w:outlineLvl w:val="9"/>
        <w:rPr>
          <w:rFonts w:hint="eastAsia" w:ascii="仿宋_GB2312" w:hAnsi="仿宋_GB2312" w:eastAsia="仿宋_GB2312" w:cs="仿宋_GB2312"/>
          <w:b/>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一、评审方式</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从专家库抽取</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名专家、加上</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名种植业科代表组成的项目评审小组，对投标人的标书进行开标、审查、评分，评选出中标单位。</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家以上（含</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家）供应商投标才开标，评审小组对供应商提交的响应文件进行公开唱标，评审过程需有两家以上（含两家）符合资格条件才能继续评审，对照评分细则打分得出综合得分，再求出平均分，平均分最高的成为服务商（平均得分相同的，按申报组织服务能力由高到低顺序排列），排在次位的，为中标候选供应商，以此类推。</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二、评审程序</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一）初步评审。评审小组对投标人的资格性进行审查，重点审查营业执照等证明文件、财务状况报告、依法缴纳税收和社会保障资金材料、信用记录网站截图、从事本项目的经营范围和能力、履行合同所必需的设备和专业技术能力的书面声明等，审查通过后进行综合评审。</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二）综合评审。评审小组对照评分细则，结合投标人申报的组织服务能力、防控实施方案、药剂保障、技术力量、应急响应能力等情况分别独立打分，汇总各成员评分的算术平均值，作为该投标人的综合评定得分。</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（三）确定中标供应商。按综合评定得分由高到低顺序排列，平均分最高的成为服务商，排在次位的为中标候选供应商，以此类推。</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2"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三、评审结果公示</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评审结果在江门市人民政府门户网站江门市农业农村局部门信息网公示</w:t>
      </w: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天。</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640" w:firstLineChars="200"/>
        <w:textAlignment w:val="auto"/>
        <w:rPr>
          <w:rFonts w:hint="eastAsia" w:ascii="仿宋_GB2312" w:hAnsi="仿宋_GB2312" w:eastAsia="仿宋_GB2312" w:cs="仿宋_GB2312"/>
          <w:color w:val="auto"/>
          <w:sz w:val="32"/>
          <w:szCs w:val="32"/>
        </w:rPr>
        <w:sectPr>
          <w:pgSz w:w="11906" w:h="16838"/>
          <w:pgMar w:top="1417" w:right="1531" w:bottom="1417" w:left="1531" w:header="720" w:footer="720" w:gutter="0"/>
          <w:pgNumType w:fmt="decimal"/>
          <w:cols w:space="720" w:num="1"/>
        </w:sectPr>
      </w:pPr>
    </w:p>
    <w:p>
      <w:pPr>
        <w:keepNext w:val="0"/>
        <w:keepLines w:val="0"/>
        <w:pageBreakBefore w:val="0"/>
        <w:widowControl/>
        <w:kinsoku/>
        <w:wordWrap/>
        <w:overflowPunct/>
        <w:topLinePunct w:val="0"/>
        <w:autoSpaceDE/>
        <w:autoSpaceDN/>
        <w:bidi w:val="0"/>
        <w:adjustRightInd/>
        <w:snapToGrid/>
        <w:spacing w:beforeAutospacing="0" w:after="0" w:line="560" w:lineRule="exact"/>
        <w:jc w:val="left"/>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eastAsia="zh-CN"/>
        </w:rPr>
        <w:t>附件</w:t>
      </w:r>
      <w:r>
        <w:rPr>
          <w:rFonts w:hint="eastAsia" w:ascii="仿宋_GB2312" w:hAnsi="仿宋_GB2312" w:eastAsia="仿宋_GB2312" w:cs="仿宋_GB2312"/>
          <w:b w:val="0"/>
          <w:bCs/>
          <w:color w:val="auto"/>
          <w:sz w:val="32"/>
          <w:szCs w:val="32"/>
        </w:rPr>
        <w:t>2</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left"/>
        <w:textAlignment w:val="auto"/>
        <w:rPr>
          <w:rFonts w:hint="eastAsia" w:ascii="仿宋_GB2312" w:hAnsi="仿宋_GB2312" w:eastAsia="仿宋_GB2312" w:cs="仿宋_GB2312"/>
          <w:b/>
          <w:color w:val="auto"/>
          <w:sz w:val="32"/>
          <w:szCs w:val="32"/>
        </w:rPr>
      </w:pPr>
    </w:p>
    <w:p>
      <w:pPr>
        <w:keepNext w:val="0"/>
        <w:keepLines w:val="0"/>
        <w:pageBreakBefore w:val="0"/>
        <w:widowControl/>
        <w:kinsoku/>
        <w:wordWrap/>
        <w:overflowPunct/>
        <w:topLinePunct w:val="0"/>
        <w:autoSpaceDE/>
        <w:autoSpaceDN/>
        <w:bidi w:val="0"/>
        <w:adjustRightInd/>
        <w:snapToGrid/>
        <w:spacing w:beforeAutospacing="0" w:after="0" w:line="560" w:lineRule="exact"/>
        <w:ind w:leftChars="-67" w:right="-263" w:rightChars="-94" w:firstLine="0" w:firstLineChars="0"/>
        <w:jc w:val="center"/>
        <w:textAlignment w:val="auto"/>
        <w:rPr>
          <w:rFonts w:hint="eastAsia" w:ascii="方正小标宋_GBK" w:hAnsi="宋体" w:eastAsia="方正小标宋_GBK" w:cs="宋体"/>
          <w:sz w:val="44"/>
          <w:szCs w:val="44"/>
        </w:rPr>
      </w:pPr>
      <w:r>
        <w:rPr>
          <w:rFonts w:hint="eastAsia" w:ascii="方正小标宋_GBK" w:hAnsi="宋体" w:eastAsia="方正小标宋_GBK" w:cs="宋体"/>
          <w:sz w:val="44"/>
          <w:szCs w:val="44"/>
        </w:rPr>
        <w:t>江门市2026年中央农业防灾救灾资金和水利</w:t>
      </w:r>
    </w:p>
    <w:p>
      <w:pPr>
        <w:keepNext w:val="0"/>
        <w:keepLines w:val="0"/>
        <w:pageBreakBefore w:val="0"/>
        <w:widowControl/>
        <w:kinsoku/>
        <w:wordWrap/>
        <w:overflowPunct/>
        <w:topLinePunct w:val="0"/>
        <w:autoSpaceDE/>
        <w:autoSpaceDN/>
        <w:bidi w:val="0"/>
        <w:adjustRightInd/>
        <w:snapToGrid/>
        <w:spacing w:beforeAutospacing="0" w:after="0" w:line="560" w:lineRule="exact"/>
        <w:ind w:leftChars="-67" w:right="-263" w:rightChars="-94" w:firstLine="0" w:firstLineChars="0"/>
        <w:jc w:val="center"/>
        <w:textAlignment w:val="auto"/>
        <w:rPr>
          <w:rFonts w:hint="eastAsia" w:ascii="方正小标宋_GBK" w:hAnsi="宋体" w:eastAsia="方正小标宋_GBK" w:cs="宋体"/>
          <w:sz w:val="44"/>
          <w:szCs w:val="44"/>
        </w:rPr>
      </w:pPr>
      <w:r>
        <w:rPr>
          <w:rFonts w:hint="eastAsia" w:ascii="方正小标宋_GBK" w:hAnsi="宋体" w:eastAsia="方正小标宋_GBK" w:cs="宋体"/>
          <w:sz w:val="44"/>
          <w:szCs w:val="44"/>
        </w:rPr>
        <w:t>救灾资金（防灾救灾第二批）粮食作物</w:t>
      </w:r>
    </w:p>
    <w:p>
      <w:pPr>
        <w:keepNext w:val="0"/>
        <w:keepLines w:val="0"/>
        <w:pageBreakBefore w:val="0"/>
        <w:widowControl/>
        <w:kinsoku/>
        <w:wordWrap/>
        <w:overflowPunct/>
        <w:topLinePunct w:val="0"/>
        <w:autoSpaceDE/>
        <w:autoSpaceDN/>
        <w:bidi w:val="0"/>
        <w:adjustRightInd/>
        <w:snapToGrid/>
        <w:spacing w:beforeAutospacing="0" w:after="0" w:line="560" w:lineRule="exact"/>
        <w:ind w:leftChars="-67" w:right="-263" w:rightChars="-94" w:firstLine="0" w:firstLineChars="0"/>
        <w:jc w:val="center"/>
        <w:textAlignment w:val="auto"/>
        <w:rPr>
          <w:rFonts w:hint="eastAsia" w:ascii="方正小标宋_GBK" w:hAnsi="宋体" w:eastAsia="方正小标宋_GBK" w:cs="宋体"/>
          <w:sz w:val="44"/>
          <w:szCs w:val="44"/>
        </w:rPr>
      </w:pPr>
      <w:r>
        <w:rPr>
          <w:rFonts w:hint="eastAsia" w:ascii="方正小标宋_GBK" w:hAnsi="宋体" w:eastAsia="方正小标宋_GBK" w:cs="宋体"/>
          <w:sz w:val="44"/>
          <w:szCs w:val="44"/>
        </w:rPr>
        <w:t>病虫害防控服务任务分配表</w:t>
      </w:r>
    </w:p>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hint="eastAsia" w:ascii="方正小标宋_GBK" w:hAnsi="宋体" w:eastAsia="方正小标宋_GBK" w:cs="宋体"/>
          <w:sz w:val="44"/>
          <w:szCs w:val="44"/>
        </w:rPr>
      </w:pPr>
    </w:p>
    <w:tbl>
      <w:tblPr>
        <w:tblStyle w:val="34"/>
        <w:tblW w:w="8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8"/>
        <w:gridCol w:w="2756"/>
        <w:gridCol w:w="3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568" w:type="dxa"/>
            <w:vMerge w:val="restart"/>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宋体" w:hAnsi="宋体"/>
                <w:b/>
                <w:bCs/>
                <w:sz w:val="32"/>
                <w:szCs w:val="40"/>
              </w:rPr>
            </w:pPr>
            <w:r>
              <w:rPr>
                <w:rFonts w:hint="eastAsia" w:ascii="宋体" w:hAnsi="宋体"/>
                <w:b/>
                <w:bCs/>
                <w:sz w:val="32"/>
                <w:szCs w:val="40"/>
              </w:rPr>
              <w:t>县（市、区）</w:t>
            </w:r>
          </w:p>
        </w:tc>
        <w:tc>
          <w:tcPr>
            <w:tcW w:w="6171" w:type="dxa"/>
            <w:gridSpan w:val="2"/>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宋体" w:hAnsi="宋体"/>
                <w:b/>
                <w:bCs/>
                <w:sz w:val="32"/>
                <w:szCs w:val="40"/>
              </w:rPr>
            </w:pPr>
            <w:r>
              <w:rPr>
                <w:rFonts w:hint="eastAsia" w:ascii="宋体" w:hAnsi="宋体"/>
                <w:b/>
                <w:bCs/>
                <w:sz w:val="32"/>
                <w:szCs w:val="40"/>
              </w:rPr>
              <w:t>水稻（亩次）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568" w:type="dxa"/>
            <w:vMerge w:val="continue"/>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宋体" w:hAnsi="宋体"/>
                <w:b/>
                <w:bCs/>
                <w:sz w:val="32"/>
                <w:szCs w:val="40"/>
              </w:rPr>
            </w:pPr>
          </w:p>
        </w:tc>
        <w:tc>
          <w:tcPr>
            <w:tcW w:w="2756"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宋体" w:hAnsi="宋体"/>
                <w:b/>
                <w:bCs/>
                <w:sz w:val="32"/>
                <w:szCs w:val="40"/>
              </w:rPr>
            </w:pPr>
          </w:p>
        </w:tc>
        <w:tc>
          <w:tcPr>
            <w:tcW w:w="3415"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宋体" w:hAnsi="宋体"/>
                <w:b/>
                <w:bCs/>
                <w:sz w:val="32"/>
                <w:szCs w:val="40"/>
              </w:rPr>
            </w:pPr>
            <w:r>
              <w:rPr>
                <w:rFonts w:hint="eastAsia" w:ascii="宋体" w:hAnsi="宋体"/>
                <w:b/>
                <w:bCs/>
                <w:sz w:val="32"/>
                <w:szCs w:val="40"/>
              </w:rPr>
              <w:t>其中生物防治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568"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sz w:val="32"/>
                <w:szCs w:val="40"/>
              </w:rPr>
            </w:pPr>
            <w:r>
              <w:rPr>
                <w:rFonts w:hint="eastAsia"/>
                <w:sz w:val="32"/>
                <w:szCs w:val="40"/>
              </w:rPr>
              <w:t>新会</w:t>
            </w:r>
          </w:p>
        </w:tc>
        <w:tc>
          <w:tcPr>
            <w:tcW w:w="2756"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6323</w:t>
            </w:r>
          </w:p>
        </w:tc>
        <w:tc>
          <w:tcPr>
            <w:tcW w:w="3415"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hint="eastAsia" w:ascii="Times New Roman" w:hAnsi="Times New Roman" w:eastAsia="仿宋"/>
                <w:sz w:val="32"/>
                <w:szCs w:val="40"/>
                <w:lang w:val="en-US" w:eastAsia="zh-CN"/>
              </w:rPr>
            </w:pPr>
            <w:r>
              <w:rPr>
                <w:rFonts w:ascii="Times New Roman" w:hAnsi="Times New Roman"/>
                <w:sz w:val="32"/>
                <w:szCs w:val="40"/>
              </w:rPr>
              <w:t>126</w:t>
            </w:r>
            <w:r>
              <w:rPr>
                <w:rFonts w:hint="eastAsia" w:ascii="Times New Roman" w:hAnsi="Times New Roman"/>
                <w:sz w:val="32"/>
                <w:szCs w:val="40"/>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568"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sz w:val="32"/>
                <w:szCs w:val="40"/>
              </w:rPr>
            </w:pPr>
            <w:r>
              <w:rPr>
                <w:rFonts w:hint="eastAsia"/>
                <w:sz w:val="32"/>
                <w:szCs w:val="40"/>
              </w:rPr>
              <w:t>台山</w:t>
            </w:r>
          </w:p>
        </w:tc>
        <w:tc>
          <w:tcPr>
            <w:tcW w:w="2756"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25290</w:t>
            </w:r>
          </w:p>
        </w:tc>
        <w:tc>
          <w:tcPr>
            <w:tcW w:w="3415"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5058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568"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sz w:val="32"/>
                <w:szCs w:val="40"/>
              </w:rPr>
            </w:pPr>
            <w:r>
              <w:rPr>
                <w:rFonts w:hint="eastAsia"/>
                <w:sz w:val="32"/>
                <w:szCs w:val="40"/>
              </w:rPr>
              <w:t>开平</w:t>
            </w:r>
          </w:p>
        </w:tc>
        <w:tc>
          <w:tcPr>
            <w:tcW w:w="2756"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14664</w:t>
            </w:r>
          </w:p>
        </w:tc>
        <w:tc>
          <w:tcPr>
            <w:tcW w:w="3415"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2933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568"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sz w:val="32"/>
                <w:szCs w:val="40"/>
              </w:rPr>
            </w:pPr>
            <w:r>
              <w:rPr>
                <w:rFonts w:hint="eastAsia"/>
                <w:sz w:val="32"/>
                <w:szCs w:val="40"/>
              </w:rPr>
              <w:t>鹤山</w:t>
            </w:r>
          </w:p>
        </w:tc>
        <w:tc>
          <w:tcPr>
            <w:tcW w:w="2756"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3683</w:t>
            </w:r>
          </w:p>
        </w:tc>
        <w:tc>
          <w:tcPr>
            <w:tcW w:w="3415"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737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568"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sz w:val="32"/>
                <w:szCs w:val="40"/>
              </w:rPr>
            </w:pPr>
            <w:r>
              <w:rPr>
                <w:rFonts w:hint="eastAsia"/>
                <w:sz w:val="32"/>
                <w:szCs w:val="40"/>
              </w:rPr>
              <w:t>恩平</w:t>
            </w:r>
          </w:p>
        </w:tc>
        <w:tc>
          <w:tcPr>
            <w:tcW w:w="2756"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10040</w:t>
            </w:r>
          </w:p>
        </w:tc>
        <w:tc>
          <w:tcPr>
            <w:tcW w:w="3415"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2568"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sz w:val="32"/>
                <w:szCs w:val="40"/>
              </w:rPr>
            </w:pPr>
            <w:r>
              <w:rPr>
                <w:rFonts w:hint="eastAsia"/>
                <w:sz w:val="32"/>
                <w:szCs w:val="40"/>
              </w:rPr>
              <w:t>合计</w:t>
            </w:r>
          </w:p>
        </w:tc>
        <w:tc>
          <w:tcPr>
            <w:tcW w:w="2756"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60000</w:t>
            </w:r>
          </w:p>
        </w:tc>
        <w:tc>
          <w:tcPr>
            <w:tcW w:w="3415" w:type="dxa"/>
            <w:vAlign w:val="center"/>
          </w:tcPr>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center"/>
              <w:textAlignment w:val="auto"/>
              <w:rPr>
                <w:rFonts w:ascii="Times New Roman" w:hAnsi="Times New Roman"/>
                <w:sz w:val="32"/>
                <w:szCs w:val="40"/>
              </w:rPr>
            </w:pPr>
            <w:r>
              <w:rPr>
                <w:rFonts w:ascii="Times New Roman" w:hAnsi="Times New Roman"/>
                <w:sz w:val="32"/>
                <w:szCs w:val="40"/>
              </w:rPr>
              <w:t>12000</w:t>
            </w:r>
          </w:p>
        </w:tc>
      </w:tr>
    </w:tbl>
    <w:p>
      <w:pPr>
        <w:keepNext w:val="0"/>
        <w:keepLines w:val="0"/>
        <w:pageBreakBefore w:val="0"/>
        <w:widowControl/>
        <w:kinsoku/>
        <w:wordWrap/>
        <w:overflowPunct/>
        <w:topLinePunct w:val="0"/>
        <w:autoSpaceDE/>
        <w:autoSpaceDN/>
        <w:bidi w:val="0"/>
        <w:adjustRightInd/>
        <w:snapToGrid/>
        <w:spacing w:beforeAutospacing="0" w:after="0" w:line="560" w:lineRule="exact"/>
        <w:ind w:firstLine="0" w:firstLineChars="0"/>
        <w:jc w:val="both"/>
        <w:textAlignment w:val="auto"/>
        <w:rPr>
          <w:rFonts w:hint="eastAsia" w:ascii="仿宋_GB2312" w:hAnsi="仿宋_GB2312" w:eastAsia="仿宋_GB2312" w:cs="仿宋_GB2312"/>
          <w:color w:val="auto"/>
          <w:sz w:val="32"/>
          <w:szCs w:val="32"/>
        </w:rPr>
      </w:pPr>
    </w:p>
    <w:sectPr>
      <w:pgSz w:w="11906" w:h="16838"/>
      <w:pgMar w:top="1417" w:right="1531" w:bottom="1417" w:left="1531"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ＭＳ 明朝">
    <w:altName w:val="仿宋_GB2312"/>
    <w:panose1 w:val="00000000000000000000"/>
    <w:charset w:val="80"/>
    <w:family w:val="roman"/>
    <w:pitch w:val="default"/>
    <w:sig w:usb0="00000000" w:usb1="00000000" w:usb2="00000010" w:usb3="00000000" w:csb0="00020000" w:csb1="00000000"/>
  </w:font>
  <w:font w:name="仿宋_GB2312">
    <w:panose1 w:val="02010609030101010101"/>
    <w:charset w:val="86"/>
    <w:family w:val="auto"/>
    <w:pitch w:val="default"/>
    <w:sig w:usb0="00000001" w:usb1="080E0000" w:usb2="00000000" w:usb3="00000000" w:csb0="00040000" w:csb1="00000000"/>
  </w:font>
  <w:font w:name="ＭＳ 明朝">
    <w:altName w:val="仿宋_GB2312"/>
    <w:panose1 w:val="00000000000000000000"/>
    <w:charset w:val="86"/>
    <w:family w:val="auto"/>
    <w:pitch w:val="default"/>
    <w:sig w:usb0="00000000" w:usb1="00000000" w:usb2="00000000" w:usb3="00000000" w:csb0="0000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ＭＳ ゴシック">
    <w:altName w:val="仿宋_GB2312"/>
    <w:panose1 w:val="00000000000000000000"/>
    <w:charset w:val="80"/>
    <w:family w:val="modern"/>
    <w:pitch w:val="default"/>
    <w:sig w:usb0="00000000" w:usb1="00000000" w:usb2="00000010" w:usb3="00000000" w:csb0="00020000" w:csb1="00000000"/>
  </w:font>
  <w:font w:name="ＭＳ 明朝">
    <w:altName w:val="仿宋_GB2312"/>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大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tabs>
        <w:tab w:val="center" w:pos="4422"/>
        <w:tab w:val="right" w:pos="8845"/>
      </w:tabs>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5"/>
                            <w:tabs>
                              <w:tab w:val="center" w:pos="4422"/>
                              <w:tab w:val="right" w:pos="8845"/>
                            </w:tabs>
                            <w:jc w:val="both"/>
                          </w:pPr>
                          <w:r>
                            <w:t xml:space="preserve">— </w:t>
                          </w:r>
                          <w:r>
                            <w:fldChar w:fldCharType="begin"/>
                          </w:r>
                          <w:r>
                            <w:instrText xml:space="preserve">PAGE</w:instrText>
                          </w:r>
                          <w:r>
                            <w:fldChar w:fldCharType="separate"/>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5"/>
                      <w:tabs>
                        <w:tab w:val="center" w:pos="4422"/>
                        <w:tab w:val="right" w:pos="8845"/>
                      </w:tabs>
                      <w:jc w:val="both"/>
                    </w:pPr>
                    <w:r>
                      <w:t xml:space="preserve">— </w:t>
                    </w:r>
                    <w:r>
                      <w:fldChar w:fldCharType="begin"/>
                    </w:r>
                    <w:r>
                      <w:instrText xml:space="preserve">PAGE</w:instrText>
                    </w:r>
                    <w:r>
                      <w:fldChar w:fldCharType="separate"/>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6" w:lineRule="auto"/>
      </w:pPr>
      <w:r>
        <w:separator/>
      </w:r>
    </w:p>
  </w:footnote>
  <w:footnote w:type="continuationSeparator" w:id="1">
    <w:p>
      <w:pPr>
        <w:spacing w:before="0" w:after="0" w:line="30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3FF59A4"/>
    <w:rsid w:val="3AB76262"/>
    <w:rsid w:val="3FAE4DEA"/>
    <w:rsid w:val="4FBB1F91"/>
    <w:rsid w:val="6EFF166C"/>
    <w:rsid w:val="7A376F67"/>
    <w:rsid w:val="7A71B923"/>
    <w:rsid w:val="7FFFA479"/>
    <w:rsid w:val="B3674360"/>
    <w:rsid w:val="B7D30F42"/>
    <w:rsid w:val="B7F26944"/>
    <w:rsid w:val="B7FF2A83"/>
    <w:rsid w:val="DCFD64F8"/>
    <w:rsid w:val="EBEFD791"/>
    <w:rsid w:val="FEB6EF1B"/>
    <w:rsid w:val="FEFC645E"/>
    <w:rsid w:val="FFDB6417"/>
    <w:rsid w:val="FFFE90A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06" w:lineRule="auto"/>
    </w:pPr>
    <w:rPr>
      <w:rFonts w:ascii="仿宋" w:hAnsi="仿宋" w:eastAsia="仿宋" w:cstheme="minorBidi"/>
      <w:color w:val="000000"/>
      <w:sz w:val="28"/>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Plain Text"/>
    <w:basedOn w:val="1"/>
    <w:qFormat/>
    <w:uiPriority w:val="0"/>
    <w:rPr>
      <w:rFonts w:ascii="宋体" w:hAnsi="Courier New" w:eastAsia="宋体" w:cs="Courier New"/>
      <w:szCs w:val="21"/>
    </w:r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9"/>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2</TotalTime>
  <ScaleCrop>false</ScaleCrop>
  <LinksUpToDate>false</LinksUpToDate>
  <CharactersWithSpaces>0</CharactersWithSpaces>
  <Application>WPS Office_11.8.2.11961_F1E327BC-269C-435d-A152-05C5408002CA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2013-12-27T15:15:00Z</dcterms:created>
  <dc:creator>python-docx</dc:creator>
  <dc:description>generated by python-docx</dc:description>
  <cp:lastModifiedBy>greatwall</cp:lastModifiedBy>
  <dcterms:modified xsi:type="dcterms:W3CDTF">2026-09-29T15:07:05Z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2052-11.8.2.11961</vt:lpwstr>
  </property>
  <property fmtid="{D5CDD505-2E9C-101B-9397-08002B2CF9AE}" pid="3" name="ICV">
    <vt:lpwstr>6B41C73A9EF92A3F5D19B26A9E73DB41</vt:lpwstr>
  </property>
</Properties>
</file>