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5E38">
      <w:pPr>
        <w:keepLines w:val="0"/>
        <w:pageBreakBefore w:val="0"/>
        <w:numPr>
          <w:ilvl w:val="0"/>
          <w:numId w:val="0"/>
        </w:numPr>
        <w:kinsoku/>
        <w:wordWrap/>
        <w:overflowPunct/>
        <w:topLinePunct w:val="0"/>
        <w:autoSpaceDE/>
        <w:autoSpaceDN/>
        <w:bidi w:val="0"/>
        <w:adjustRightInd/>
        <w:spacing w:line="58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附件2</w:t>
      </w:r>
    </w:p>
    <w:p w14:paraId="43664576">
      <w:pPr>
        <w:keepLines w:val="0"/>
        <w:pageBreakBefore w:val="0"/>
        <w:numPr>
          <w:ilvl w:val="0"/>
          <w:numId w:val="0"/>
        </w:numPr>
        <w:kinsoku/>
        <w:wordWrap/>
        <w:overflowPunct/>
        <w:topLinePunct w:val="0"/>
        <w:autoSpaceDE/>
        <w:autoSpaceDN/>
        <w:bidi w:val="0"/>
        <w:adjustRightInd/>
        <w:spacing w:line="580" w:lineRule="exact"/>
        <w:jc w:val="center"/>
        <w:rPr>
          <w:rFonts w:ascii="仿宋_GB2312" w:hAnsi="仿宋_GB2312" w:eastAsia="仿宋_GB2312" w:cs="仿宋_GB2312"/>
          <w:color w:val="auto"/>
          <w:sz w:val="32"/>
          <w:szCs w:val="32"/>
        </w:rPr>
      </w:pPr>
      <w:r>
        <w:rPr>
          <w:rFonts w:hint="eastAsia" w:ascii="仿宋" w:hAnsi="仿宋" w:eastAsia="仿宋" w:cs="仿宋"/>
          <w:b/>
          <w:bCs/>
          <w:sz w:val="32"/>
          <w:szCs w:val="32"/>
          <w:lang w:val="en-US" w:eastAsia="zh-CN"/>
        </w:rPr>
        <w:t>评分表</w:t>
      </w:r>
    </w:p>
    <w:tbl>
      <w:tblPr>
        <w:tblStyle w:val="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1311"/>
        <w:gridCol w:w="1397"/>
        <w:gridCol w:w="6710"/>
        <w:gridCol w:w="1663"/>
        <w:gridCol w:w="1679"/>
      </w:tblGrid>
      <w:tr w14:paraId="596D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258" w:type="pct"/>
            <w:noWrap w:val="0"/>
            <w:vAlign w:val="center"/>
          </w:tcPr>
          <w:p w14:paraId="411D2619">
            <w:pPr>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序号</w:t>
            </w:r>
          </w:p>
        </w:tc>
        <w:tc>
          <w:tcPr>
            <w:tcW w:w="487" w:type="pct"/>
            <w:noWrap w:val="0"/>
            <w:vAlign w:val="center"/>
          </w:tcPr>
          <w:p w14:paraId="3454102A">
            <w:pPr>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评审类别</w:t>
            </w:r>
          </w:p>
        </w:tc>
        <w:tc>
          <w:tcPr>
            <w:tcW w:w="519" w:type="pct"/>
            <w:noWrap w:val="0"/>
            <w:vAlign w:val="center"/>
          </w:tcPr>
          <w:p w14:paraId="2DAE4758">
            <w:pPr>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评审项目</w:t>
            </w:r>
          </w:p>
        </w:tc>
        <w:tc>
          <w:tcPr>
            <w:tcW w:w="2493" w:type="pct"/>
            <w:noWrap w:val="0"/>
            <w:vAlign w:val="center"/>
          </w:tcPr>
          <w:p w14:paraId="1C1DF50A">
            <w:pPr>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评审内容</w:t>
            </w:r>
          </w:p>
        </w:tc>
        <w:tc>
          <w:tcPr>
            <w:tcW w:w="618" w:type="pct"/>
            <w:noWrap w:val="0"/>
            <w:vAlign w:val="center"/>
          </w:tcPr>
          <w:p w14:paraId="18BEAC2A">
            <w:pPr>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分值</w:t>
            </w:r>
          </w:p>
        </w:tc>
        <w:tc>
          <w:tcPr>
            <w:tcW w:w="624" w:type="pct"/>
            <w:noWrap w:val="0"/>
            <w:vAlign w:val="center"/>
          </w:tcPr>
          <w:p w14:paraId="70A276FE">
            <w:pPr>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得分</w:t>
            </w:r>
          </w:p>
        </w:tc>
      </w:tr>
      <w:tr w14:paraId="1307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258" w:type="pct"/>
            <w:vMerge w:val="restart"/>
            <w:noWrap w:val="0"/>
            <w:vAlign w:val="center"/>
          </w:tcPr>
          <w:p w14:paraId="012BA0C6">
            <w:pPr>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487" w:type="pct"/>
            <w:vMerge w:val="restart"/>
            <w:noWrap w:val="0"/>
            <w:vAlign w:val="center"/>
          </w:tcPr>
          <w:p w14:paraId="344F172E">
            <w:pPr>
              <w:jc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商务评审</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30</w:t>
            </w:r>
            <w:r>
              <w:rPr>
                <w:rFonts w:hint="eastAsia" w:ascii="仿宋_GB2312" w:hAnsi="仿宋_GB2312" w:eastAsia="仿宋_GB2312" w:cs="仿宋_GB2312"/>
                <w:color w:val="auto"/>
                <w:sz w:val="24"/>
                <w:szCs w:val="24"/>
                <w:lang w:eastAsia="zh-CN"/>
              </w:rPr>
              <w:t>）</w:t>
            </w:r>
          </w:p>
        </w:tc>
        <w:tc>
          <w:tcPr>
            <w:tcW w:w="519" w:type="pct"/>
            <w:noWrap w:val="0"/>
            <w:vAlign w:val="center"/>
          </w:tcPr>
          <w:p w14:paraId="3859F32F">
            <w:pPr>
              <w:jc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信用记录</w:t>
            </w:r>
          </w:p>
        </w:tc>
        <w:tc>
          <w:tcPr>
            <w:tcW w:w="2493" w:type="pct"/>
            <w:noWrap w:val="0"/>
            <w:vAlign w:val="center"/>
          </w:tcPr>
          <w:p w14:paraId="6FAD25B3">
            <w:pPr>
              <w:keepNext w:val="0"/>
              <w:keepLines w:val="0"/>
              <w:widowControl/>
              <w:suppressLineNumbers w:val="0"/>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在“信用中国”网站（</w:t>
            </w:r>
            <w:r>
              <w:rPr>
                <w:rFonts w:hint="eastAsia" w:ascii="仿宋_GB2312" w:hAnsi="仿宋_GB2312" w:eastAsia="仿宋_GB2312" w:cs="仿宋_GB2312"/>
                <w:i w:val="0"/>
                <w:iCs w:val="0"/>
                <w:caps w:val="0"/>
                <w:color w:val="auto"/>
                <w:spacing w:val="0"/>
                <w:kern w:val="2"/>
                <w:sz w:val="24"/>
                <w:szCs w:val="24"/>
                <w:shd w:val="clear" w:color="auto" w:fill="auto"/>
                <w:lang w:val="en-US" w:eastAsia="zh-CN" w:bidi="ar"/>
              </w:rPr>
              <w:t>www.creditchina.gov.cn</w:t>
            </w:r>
            <w:r>
              <w:rPr>
                <w:rFonts w:hint="eastAsia" w:ascii="仿宋_GB2312" w:hAnsi="仿宋_GB2312" w:eastAsia="仿宋_GB2312" w:cs="仿宋_GB2312"/>
                <w:color w:val="auto"/>
                <w:sz w:val="24"/>
                <w:szCs w:val="24"/>
              </w:rPr>
              <w:t>）、中国政府采购网（https://www.ccgp.gov.cn/）没有被列入失信被执行人、重大税收违法案件当事人名单</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没有列入的得5分，总分5分。</w:t>
            </w:r>
          </w:p>
          <w:p w14:paraId="4AE4F74B">
            <w:pPr>
              <w:numPr>
                <w:ilvl w:val="0"/>
                <w:numId w:val="0"/>
              </w:numPr>
              <w:ind w:left="0" w:leftChars="0" w:firstLine="0" w:firstLineChars="0"/>
              <w:jc w:val="left"/>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rPr>
              <w:t>（于报价期间在上述网站进行查询，对信息查询记录和证据截图或下载存档并加盖公司章）</w:t>
            </w:r>
            <w:r>
              <w:rPr>
                <w:rFonts w:hint="eastAsia" w:ascii="仿宋_GB2312" w:hAnsi="仿宋_GB2312" w:eastAsia="仿宋_GB2312" w:cs="仿宋_GB2312"/>
                <w:color w:val="auto"/>
                <w:sz w:val="24"/>
                <w:szCs w:val="24"/>
                <w:lang w:eastAsia="zh-CN"/>
              </w:rPr>
              <w:t>；</w:t>
            </w:r>
          </w:p>
        </w:tc>
        <w:tc>
          <w:tcPr>
            <w:tcW w:w="618" w:type="pct"/>
            <w:noWrap w:val="0"/>
            <w:vAlign w:val="center"/>
          </w:tcPr>
          <w:p w14:paraId="6B01D58D">
            <w:pPr>
              <w:jc w:val="center"/>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5</w:t>
            </w:r>
          </w:p>
        </w:tc>
        <w:tc>
          <w:tcPr>
            <w:tcW w:w="624" w:type="pct"/>
            <w:noWrap w:val="0"/>
            <w:vAlign w:val="center"/>
          </w:tcPr>
          <w:p w14:paraId="335CA9DF">
            <w:pPr>
              <w:jc w:val="center"/>
              <w:rPr>
                <w:rFonts w:hint="eastAsia" w:ascii="仿宋_GB2312" w:hAnsi="仿宋_GB2312" w:eastAsia="仿宋_GB2312" w:cs="仿宋_GB2312"/>
                <w:color w:val="auto"/>
                <w:kern w:val="2"/>
                <w:sz w:val="24"/>
                <w:szCs w:val="24"/>
                <w:lang w:val="en-US" w:eastAsia="zh-CN" w:bidi="ar-SA"/>
              </w:rPr>
            </w:pPr>
          </w:p>
        </w:tc>
      </w:tr>
      <w:tr w14:paraId="4AB7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258" w:type="pct"/>
            <w:vMerge w:val="continue"/>
            <w:noWrap w:val="0"/>
            <w:vAlign w:val="center"/>
          </w:tcPr>
          <w:p w14:paraId="559AFB29">
            <w:pPr>
              <w:jc w:val="center"/>
              <w:rPr>
                <w:rFonts w:hint="eastAsia" w:ascii="仿宋_GB2312" w:hAnsi="仿宋_GB2312" w:eastAsia="仿宋_GB2312" w:cs="仿宋_GB2312"/>
                <w:color w:val="auto"/>
                <w:sz w:val="24"/>
                <w:szCs w:val="24"/>
              </w:rPr>
            </w:pPr>
          </w:p>
        </w:tc>
        <w:tc>
          <w:tcPr>
            <w:tcW w:w="487" w:type="pct"/>
            <w:vMerge w:val="continue"/>
            <w:noWrap w:val="0"/>
            <w:vAlign w:val="center"/>
          </w:tcPr>
          <w:p w14:paraId="1B90F516">
            <w:pPr>
              <w:jc w:val="center"/>
              <w:rPr>
                <w:rFonts w:hint="eastAsia" w:ascii="仿宋_GB2312" w:hAnsi="仿宋_GB2312" w:eastAsia="仿宋_GB2312" w:cs="仿宋_GB2312"/>
                <w:color w:val="auto"/>
                <w:sz w:val="24"/>
                <w:szCs w:val="24"/>
              </w:rPr>
            </w:pPr>
          </w:p>
        </w:tc>
        <w:tc>
          <w:tcPr>
            <w:tcW w:w="519" w:type="pct"/>
            <w:noWrap w:val="0"/>
            <w:vAlign w:val="center"/>
          </w:tcPr>
          <w:p w14:paraId="7FAEC22D">
            <w:pPr>
              <w:jc w:val="center"/>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守法经营</w:t>
            </w:r>
          </w:p>
        </w:tc>
        <w:tc>
          <w:tcPr>
            <w:tcW w:w="2493" w:type="pct"/>
            <w:noWrap w:val="0"/>
            <w:vAlign w:val="center"/>
          </w:tcPr>
          <w:p w14:paraId="6BFFBE6A">
            <w:pPr>
              <w:numPr>
                <w:ilvl w:val="0"/>
                <w:numId w:val="0"/>
              </w:numPr>
              <w:ind w:left="0" w:leftChars="0" w:firstLine="0" w:firstLineChars="0"/>
              <w:jc w:val="both"/>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三年内，在经营活动中没有重大违法记录</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提供声明函的得3分，总分3分</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(提供声明函）</w:t>
            </w:r>
          </w:p>
        </w:tc>
        <w:tc>
          <w:tcPr>
            <w:tcW w:w="618" w:type="pct"/>
            <w:noWrap w:val="0"/>
            <w:vAlign w:val="center"/>
          </w:tcPr>
          <w:p w14:paraId="1A439071">
            <w:pPr>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w:t>
            </w:r>
          </w:p>
        </w:tc>
        <w:tc>
          <w:tcPr>
            <w:tcW w:w="624" w:type="pct"/>
            <w:noWrap w:val="0"/>
            <w:vAlign w:val="center"/>
          </w:tcPr>
          <w:p w14:paraId="2C2346DA">
            <w:pPr>
              <w:jc w:val="center"/>
              <w:rPr>
                <w:rFonts w:hint="eastAsia" w:ascii="仿宋_GB2312" w:hAnsi="仿宋_GB2312" w:eastAsia="仿宋_GB2312" w:cs="仿宋_GB2312"/>
                <w:color w:val="auto"/>
                <w:sz w:val="24"/>
                <w:szCs w:val="24"/>
                <w:lang w:val="en-US" w:eastAsia="zh-CN"/>
              </w:rPr>
            </w:pPr>
          </w:p>
        </w:tc>
      </w:tr>
      <w:tr w14:paraId="1EB6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258" w:type="pct"/>
            <w:vMerge w:val="continue"/>
            <w:noWrap w:val="0"/>
            <w:vAlign w:val="center"/>
          </w:tcPr>
          <w:p w14:paraId="241BC7E1">
            <w:pPr>
              <w:jc w:val="center"/>
              <w:rPr>
                <w:rFonts w:hint="eastAsia" w:ascii="仿宋_GB2312" w:hAnsi="仿宋_GB2312" w:eastAsia="仿宋_GB2312" w:cs="仿宋_GB2312"/>
                <w:color w:val="auto"/>
                <w:sz w:val="24"/>
                <w:szCs w:val="24"/>
              </w:rPr>
            </w:pPr>
          </w:p>
        </w:tc>
        <w:tc>
          <w:tcPr>
            <w:tcW w:w="487" w:type="pct"/>
            <w:vMerge w:val="continue"/>
            <w:noWrap w:val="0"/>
            <w:vAlign w:val="center"/>
          </w:tcPr>
          <w:p w14:paraId="5149970F">
            <w:pPr>
              <w:jc w:val="center"/>
              <w:rPr>
                <w:rFonts w:hint="eastAsia" w:ascii="仿宋_GB2312" w:hAnsi="仿宋_GB2312" w:eastAsia="仿宋_GB2312" w:cs="仿宋_GB2312"/>
                <w:color w:val="auto"/>
                <w:sz w:val="24"/>
                <w:szCs w:val="24"/>
              </w:rPr>
            </w:pPr>
          </w:p>
        </w:tc>
        <w:tc>
          <w:tcPr>
            <w:tcW w:w="519" w:type="pct"/>
            <w:noWrap w:val="0"/>
            <w:vAlign w:val="center"/>
          </w:tcPr>
          <w:p w14:paraId="68627348">
            <w:pPr>
              <w:jc w:val="center"/>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授权资格</w:t>
            </w:r>
          </w:p>
        </w:tc>
        <w:tc>
          <w:tcPr>
            <w:tcW w:w="2493" w:type="pct"/>
            <w:noWrap w:val="0"/>
            <w:vAlign w:val="center"/>
          </w:tcPr>
          <w:p w14:paraId="6813DABC">
            <w:pPr>
              <w:numPr>
                <w:ilvl w:val="0"/>
                <w:numId w:val="0"/>
              </w:numPr>
              <w:ind w:left="0" w:leftChars="0" w:firstLine="0" w:firstLineChars="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有法定代表人授权相关材料的，得2分，总分2分。</w:t>
            </w:r>
          </w:p>
          <w:p w14:paraId="5FA827B3">
            <w:pPr>
              <w:numPr>
                <w:ilvl w:val="0"/>
                <w:numId w:val="0"/>
              </w:numPr>
              <w:ind w:left="0" w:leftChars="0" w:firstLine="0" w:firstLineChars="0"/>
              <w:jc w:val="left"/>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（提供</w:t>
            </w:r>
            <w:r>
              <w:rPr>
                <w:rFonts w:hint="eastAsia" w:ascii="仿宋_GB2312" w:hAnsi="仿宋_GB2312" w:eastAsia="仿宋_GB2312" w:cs="仿宋_GB2312"/>
                <w:color w:val="auto"/>
                <w:sz w:val="24"/>
                <w:szCs w:val="24"/>
              </w:rPr>
              <w:t>法定代表人证明书或法定代表人授权委托书和法定代表人授权代表身份证复印件（加盖公章）</w:t>
            </w:r>
            <w:r>
              <w:rPr>
                <w:rFonts w:hint="eastAsia" w:ascii="仿宋_GB2312" w:hAnsi="仿宋_GB2312" w:eastAsia="仿宋_GB2312" w:cs="仿宋_GB2312"/>
                <w:color w:val="auto"/>
                <w:sz w:val="24"/>
                <w:szCs w:val="24"/>
                <w:lang w:eastAsia="zh-CN"/>
              </w:rPr>
              <w:t>）</w:t>
            </w:r>
          </w:p>
        </w:tc>
        <w:tc>
          <w:tcPr>
            <w:tcW w:w="618" w:type="pct"/>
            <w:noWrap w:val="0"/>
            <w:vAlign w:val="center"/>
          </w:tcPr>
          <w:p w14:paraId="00247577">
            <w:pPr>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624" w:type="pct"/>
            <w:noWrap w:val="0"/>
            <w:vAlign w:val="center"/>
          </w:tcPr>
          <w:p w14:paraId="46C5FEB6">
            <w:pPr>
              <w:jc w:val="center"/>
              <w:rPr>
                <w:rFonts w:hint="eastAsia" w:ascii="仿宋_GB2312" w:hAnsi="仿宋_GB2312" w:eastAsia="仿宋_GB2312" w:cs="仿宋_GB2312"/>
                <w:color w:val="auto"/>
                <w:sz w:val="24"/>
                <w:szCs w:val="24"/>
                <w:lang w:val="en-US" w:eastAsia="zh-CN"/>
              </w:rPr>
            </w:pPr>
          </w:p>
        </w:tc>
      </w:tr>
      <w:tr w14:paraId="0EFE4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258" w:type="pct"/>
            <w:vMerge w:val="continue"/>
            <w:noWrap w:val="0"/>
            <w:vAlign w:val="center"/>
          </w:tcPr>
          <w:p w14:paraId="6E4B383D">
            <w:pPr>
              <w:jc w:val="center"/>
              <w:rPr>
                <w:rFonts w:hint="eastAsia" w:ascii="仿宋_GB2312" w:hAnsi="仿宋_GB2312" w:eastAsia="仿宋_GB2312" w:cs="仿宋_GB2312"/>
                <w:color w:val="auto"/>
                <w:sz w:val="24"/>
                <w:szCs w:val="24"/>
              </w:rPr>
            </w:pPr>
          </w:p>
        </w:tc>
        <w:tc>
          <w:tcPr>
            <w:tcW w:w="487" w:type="pct"/>
            <w:vMerge w:val="continue"/>
            <w:noWrap w:val="0"/>
            <w:vAlign w:val="center"/>
          </w:tcPr>
          <w:p w14:paraId="0AB99FBB">
            <w:pPr>
              <w:jc w:val="center"/>
              <w:rPr>
                <w:rFonts w:hint="eastAsia" w:ascii="仿宋_GB2312" w:hAnsi="仿宋_GB2312" w:eastAsia="仿宋_GB2312" w:cs="仿宋_GB2312"/>
                <w:color w:val="auto"/>
                <w:sz w:val="24"/>
                <w:szCs w:val="24"/>
              </w:rPr>
            </w:pPr>
          </w:p>
        </w:tc>
        <w:tc>
          <w:tcPr>
            <w:tcW w:w="519" w:type="pct"/>
            <w:noWrap w:val="0"/>
            <w:vAlign w:val="center"/>
          </w:tcPr>
          <w:p w14:paraId="42529BEB">
            <w:pPr>
              <w:numPr>
                <w:ilvl w:val="0"/>
                <w:numId w:val="0"/>
              </w:numPr>
              <w:ind w:left="0" w:leftChars="0" w:firstLine="0" w:firstLineChars="0"/>
              <w:jc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项目实施方案</w:t>
            </w:r>
          </w:p>
        </w:tc>
        <w:tc>
          <w:tcPr>
            <w:tcW w:w="2493" w:type="pct"/>
            <w:noWrap w:val="0"/>
            <w:vAlign w:val="center"/>
          </w:tcPr>
          <w:p w14:paraId="21B83F16">
            <w:pPr>
              <w:numPr>
                <w:ilvl w:val="0"/>
                <w:numId w:val="0"/>
              </w:numPr>
              <w:ind w:left="0" w:leftChars="0" w:firstLine="480" w:firstLineChars="20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实施方案时间计划条理清晰、措施具体、可行性高，能预判项目可能存在的问题并提出解决办法的，得20分。</w:t>
            </w:r>
          </w:p>
          <w:p w14:paraId="00F7E7C8">
            <w:pPr>
              <w:numPr>
                <w:ilvl w:val="0"/>
                <w:numId w:val="0"/>
              </w:numPr>
              <w:ind w:left="0" w:leftChars="0" w:firstLine="480" w:firstLineChars="20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实施方案时间计划条理稍有缺漏、措施较具体、具有一定的可行性，能预判项目可能存在的部分问题并提出解决办法的，得1</w:t>
            </w:r>
            <w:r>
              <w:rPr>
                <w:rFonts w:hint="default" w:ascii="仿宋_GB2312" w:hAnsi="仿宋_GB2312" w:eastAsia="仿宋_GB2312" w:cs="仿宋_GB2312"/>
                <w:color w:val="auto"/>
                <w:sz w:val="24"/>
                <w:szCs w:val="24"/>
                <w:lang w:val="en-US" w:eastAsia="zh-CN"/>
              </w:rPr>
              <w:t>0</w:t>
            </w:r>
            <w:r>
              <w:rPr>
                <w:rFonts w:hint="eastAsia" w:ascii="仿宋_GB2312" w:hAnsi="仿宋_GB2312" w:eastAsia="仿宋_GB2312" w:cs="仿宋_GB2312"/>
                <w:color w:val="auto"/>
                <w:sz w:val="24"/>
                <w:szCs w:val="24"/>
                <w:lang w:val="en-US" w:eastAsia="zh-CN"/>
              </w:rPr>
              <w:t>分。</w:t>
            </w:r>
          </w:p>
          <w:p w14:paraId="156BBE40">
            <w:pPr>
              <w:numPr>
                <w:ilvl w:val="0"/>
                <w:numId w:val="0"/>
              </w:numPr>
              <w:ind w:left="0" w:leftChars="0" w:firstLine="480" w:firstLineChars="200"/>
              <w:jc w:val="left"/>
              <w:rPr>
                <w:rFonts w:hint="default"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实施方案时间计划条理</w:t>
            </w:r>
            <w:r>
              <w:rPr>
                <w:rFonts w:hint="default" w:ascii="仿宋_GB2312" w:hAnsi="仿宋_GB2312" w:eastAsia="仿宋_GB2312" w:cs="仿宋_GB2312"/>
                <w:color w:val="auto"/>
                <w:sz w:val="24"/>
                <w:szCs w:val="24"/>
                <w:lang w:eastAsia="zh-CN"/>
              </w:rPr>
              <w:t>不够清晰</w:t>
            </w:r>
            <w:r>
              <w:rPr>
                <w:rFonts w:hint="eastAsia" w:ascii="仿宋_GB2312" w:hAnsi="仿宋_GB2312" w:eastAsia="仿宋_GB2312" w:cs="仿宋_GB2312"/>
                <w:color w:val="auto"/>
                <w:sz w:val="24"/>
                <w:szCs w:val="24"/>
                <w:lang w:val="en-US" w:eastAsia="zh-CN"/>
              </w:rPr>
              <w:t>、措施不</w:t>
            </w:r>
            <w:r>
              <w:rPr>
                <w:rFonts w:hint="default" w:ascii="仿宋_GB2312" w:hAnsi="仿宋_GB2312" w:eastAsia="仿宋_GB2312" w:cs="仿宋_GB2312"/>
                <w:color w:val="auto"/>
                <w:sz w:val="24"/>
                <w:szCs w:val="24"/>
                <w:lang w:eastAsia="zh-CN"/>
              </w:rPr>
              <w:t>够具体</w:t>
            </w:r>
            <w:r>
              <w:rPr>
                <w:rFonts w:hint="eastAsia" w:ascii="仿宋_GB2312" w:hAnsi="仿宋_GB2312" w:eastAsia="仿宋_GB2312" w:cs="仿宋_GB2312"/>
                <w:color w:val="auto"/>
                <w:sz w:val="24"/>
                <w:szCs w:val="24"/>
                <w:lang w:val="en-US" w:eastAsia="zh-CN"/>
              </w:rPr>
              <w:t>、可行性较低，未预判项目可能存在的问题并未提出解决办法的，得5分。</w:t>
            </w:r>
            <w:r>
              <w:rPr>
                <w:rFonts w:hint="default" w:ascii="仿宋_GB2312" w:hAnsi="仿宋_GB2312" w:eastAsia="仿宋_GB2312" w:cs="仿宋_GB2312"/>
                <w:color w:val="auto"/>
                <w:sz w:val="24"/>
                <w:szCs w:val="24"/>
                <w:lang w:eastAsia="zh-CN"/>
              </w:rPr>
              <w:t>总分20分。</w:t>
            </w:r>
          </w:p>
        </w:tc>
        <w:tc>
          <w:tcPr>
            <w:tcW w:w="618" w:type="pct"/>
            <w:noWrap w:val="0"/>
            <w:vAlign w:val="center"/>
          </w:tcPr>
          <w:p w14:paraId="22BBB279">
            <w:pPr>
              <w:jc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w:t>
            </w:r>
          </w:p>
        </w:tc>
        <w:tc>
          <w:tcPr>
            <w:tcW w:w="624" w:type="pct"/>
            <w:noWrap w:val="0"/>
            <w:vAlign w:val="center"/>
          </w:tcPr>
          <w:p w14:paraId="37160C94">
            <w:pPr>
              <w:jc w:val="center"/>
              <w:rPr>
                <w:rFonts w:hint="default" w:ascii="仿宋_GB2312" w:hAnsi="仿宋_GB2312" w:eastAsia="仿宋_GB2312" w:cs="仿宋_GB2312"/>
                <w:color w:val="auto"/>
                <w:sz w:val="24"/>
                <w:szCs w:val="24"/>
                <w:lang w:val="en-US" w:eastAsia="zh-CN"/>
              </w:rPr>
            </w:pPr>
          </w:p>
        </w:tc>
      </w:tr>
      <w:tr w14:paraId="23660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258" w:type="pct"/>
            <w:vMerge w:val="restart"/>
            <w:noWrap w:val="0"/>
            <w:vAlign w:val="center"/>
          </w:tcPr>
          <w:p w14:paraId="66F691FF">
            <w:pPr>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p>
        </w:tc>
        <w:tc>
          <w:tcPr>
            <w:tcW w:w="487" w:type="pct"/>
            <w:vMerge w:val="restart"/>
            <w:noWrap w:val="0"/>
            <w:vAlign w:val="center"/>
          </w:tcPr>
          <w:p w14:paraId="36B8AD81">
            <w:pPr>
              <w:jc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技术评审</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40</w:t>
            </w:r>
            <w:r>
              <w:rPr>
                <w:rFonts w:hint="eastAsia" w:ascii="仿宋_GB2312" w:hAnsi="仿宋_GB2312" w:eastAsia="仿宋_GB2312" w:cs="仿宋_GB2312"/>
                <w:color w:val="auto"/>
                <w:sz w:val="24"/>
                <w:szCs w:val="24"/>
                <w:lang w:eastAsia="zh-CN"/>
              </w:rPr>
              <w:t>）</w:t>
            </w:r>
          </w:p>
        </w:tc>
        <w:tc>
          <w:tcPr>
            <w:tcW w:w="519" w:type="pct"/>
            <w:vMerge w:val="restart"/>
            <w:noWrap w:val="0"/>
            <w:vAlign w:val="center"/>
          </w:tcPr>
          <w:p w14:paraId="71AC06E0">
            <w:pPr>
              <w:jc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业绩情况</w:t>
            </w:r>
          </w:p>
        </w:tc>
        <w:tc>
          <w:tcPr>
            <w:tcW w:w="2493" w:type="pct"/>
            <w:noWrap w:val="0"/>
            <w:vAlign w:val="center"/>
          </w:tcPr>
          <w:p w14:paraId="34D6A4D7">
            <w:pPr>
              <w:numPr>
                <w:ilvl w:val="0"/>
                <w:numId w:val="0"/>
              </w:numPr>
              <w:ind w:leftChars="0" w:firstLine="480" w:firstLineChars="200"/>
              <w:jc w:val="left"/>
              <w:rPr>
                <w:rFonts w:hint="eastAsia" w:ascii="仿宋_GB2312" w:hAnsi="仿宋_GB2312" w:eastAsia="仿宋_GB2312" w:cs="仿宋_GB2312"/>
                <w:color w:val="auto"/>
                <w:sz w:val="24"/>
                <w:szCs w:val="24"/>
              </w:rPr>
            </w:pPr>
            <w:r>
              <w:rPr>
                <w:rFonts w:hint="default" w:ascii="仿宋_GB2312" w:hAnsi="仿宋_GB2312" w:eastAsia="仿宋_GB2312" w:cs="仿宋_GB2312"/>
                <w:color w:val="auto"/>
                <w:sz w:val="24"/>
                <w:szCs w:val="24"/>
                <w:lang w:eastAsia="zh-CN"/>
              </w:rPr>
              <w:t>有建设项目环保竣工验收</w:t>
            </w:r>
            <w:r>
              <w:rPr>
                <w:rFonts w:hint="eastAsia" w:ascii="仿宋_GB2312" w:hAnsi="仿宋_GB2312" w:eastAsia="仿宋_GB2312" w:cs="仿宋_GB2312"/>
                <w:color w:val="auto"/>
                <w:sz w:val="24"/>
                <w:szCs w:val="24"/>
                <w:lang w:eastAsia="zh-CN"/>
              </w:rPr>
              <w:t>（废气治理设备</w:t>
            </w:r>
            <w:r>
              <w:rPr>
                <w:rFonts w:hint="eastAsia" w:ascii="仿宋_GB2312" w:hAnsi="仿宋_GB2312" w:eastAsia="仿宋_GB2312" w:cs="仿宋_GB2312"/>
                <w:color w:val="auto"/>
                <w:sz w:val="24"/>
                <w:szCs w:val="24"/>
                <w:lang w:val="en-US" w:eastAsia="zh-CN"/>
              </w:rPr>
              <w:t>安装</w:t>
            </w:r>
            <w:r>
              <w:rPr>
                <w:rFonts w:hint="eastAsia" w:ascii="仿宋_GB2312" w:hAnsi="仿宋_GB2312" w:eastAsia="仿宋_GB2312" w:cs="仿宋_GB2312"/>
                <w:color w:val="auto"/>
                <w:sz w:val="24"/>
                <w:szCs w:val="24"/>
                <w:lang w:eastAsia="zh-CN"/>
              </w:rPr>
              <w:t>改造工程）</w:t>
            </w:r>
            <w:r>
              <w:rPr>
                <w:rFonts w:hint="eastAsia" w:ascii="仿宋_GB2312" w:hAnsi="仿宋_GB2312" w:eastAsia="仿宋_GB2312" w:cs="仿宋_GB2312"/>
                <w:color w:val="auto"/>
                <w:sz w:val="24"/>
                <w:szCs w:val="24"/>
              </w:rPr>
              <w:t>业绩的，每个业绩得</w:t>
            </w: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分</w:t>
            </w:r>
            <w:r>
              <w:rPr>
                <w:rFonts w:hint="default" w:ascii="仿宋_GB2312" w:hAnsi="仿宋_GB2312" w:eastAsia="仿宋_GB2312" w:cs="仿宋_GB2312"/>
                <w:color w:val="auto"/>
                <w:sz w:val="24"/>
                <w:szCs w:val="24"/>
              </w:rPr>
              <w:t>，最高得</w:t>
            </w:r>
            <w:r>
              <w:rPr>
                <w:rFonts w:hint="eastAsia" w:ascii="仿宋_GB2312" w:hAnsi="仿宋_GB2312" w:eastAsia="仿宋_GB2312" w:cs="仿宋_GB2312"/>
                <w:color w:val="auto"/>
                <w:sz w:val="24"/>
                <w:szCs w:val="24"/>
                <w:lang w:val="en-US" w:eastAsia="zh-CN"/>
              </w:rPr>
              <w:t>2</w:t>
            </w:r>
            <w:r>
              <w:rPr>
                <w:rFonts w:hint="default" w:ascii="仿宋_GB2312" w:hAnsi="仿宋_GB2312" w:eastAsia="仿宋_GB2312" w:cs="仿宋_GB2312"/>
                <w:color w:val="auto"/>
                <w:sz w:val="24"/>
                <w:szCs w:val="24"/>
              </w:rPr>
              <w:t>0分，最高得</w:t>
            </w:r>
            <w:r>
              <w:rPr>
                <w:rFonts w:hint="eastAsia" w:ascii="仿宋_GB2312" w:hAnsi="仿宋_GB2312" w:eastAsia="仿宋_GB2312" w:cs="仿宋_GB2312"/>
                <w:color w:val="auto"/>
                <w:sz w:val="24"/>
                <w:szCs w:val="24"/>
                <w:lang w:val="en-US" w:eastAsia="zh-CN"/>
              </w:rPr>
              <w:t>2</w:t>
            </w:r>
            <w:r>
              <w:rPr>
                <w:rFonts w:hint="default" w:ascii="仿宋_GB2312" w:hAnsi="仿宋_GB2312" w:eastAsia="仿宋_GB2312" w:cs="仿宋_GB2312"/>
                <w:color w:val="auto"/>
                <w:sz w:val="24"/>
                <w:szCs w:val="24"/>
              </w:rPr>
              <w:t>0分，</w:t>
            </w:r>
            <w:r>
              <w:rPr>
                <w:rFonts w:hint="eastAsia" w:ascii="仿宋_GB2312" w:hAnsi="仿宋_GB2312" w:eastAsia="仿宋_GB2312" w:cs="仿宋_GB2312"/>
                <w:color w:val="auto"/>
                <w:sz w:val="24"/>
                <w:szCs w:val="24"/>
              </w:rPr>
              <w:t>总分</w:t>
            </w:r>
            <w:r>
              <w:rPr>
                <w:rFonts w:hint="default" w:ascii="仿宋_GB2312" w:hAnsi="仿宋_GB2312" w:eastAsia="仿宋_GB2312" w:cs="仿宋_GB2312"/>
                <w:color w:val="auto"/>
                <w:sz w:val="24"/>
                <w:szCs w:val="24"/>
              </w:rPr>
              <w:t>20</w:t>
            </w:r>
            <w:r>
              <w:rPr>
                <w:rFonts w:hint="eastAsia" w:ascii="仿宋_GB2312" w:hAnsi="仿宋_GB2312" w:eastAsia="仿宋_GB2312" w:cs="仿宋_GB2312"/>
                <w:color w:val="auto"/>
                <w:sz w:val="24"/>
                <w:szCs w:val="24"/>
              </w:rPr>
              <w:t>分；（提供合同</w:t>
            </w:r>
            <w:r>
              <w:rPr>
                <w:rFonts w:hint="default" w:ascii="仿宋_GB2312" w:hAnsi="仿宋_GB2312" w:eastAsia="仿宋_GB2312" w:cs="仿宋_GB2312"/>
                <w:color w:val="auto"/>
                <w:sz w:val="24"/>
                <w:szCs w:val="24"/>
              </w:rPr>
              <w:t>、国家相关管理平台截图</w:t>
            </w:r>
            <w:r>
              <w:rPr>
                <w:rFonts w:hint="eastAsia" w:ascii="仿宋_GB2312" w:hAnsi="仿宋_GB2312" w:eastAsia="仿宋_GB2312" w:cs="仿宋_GB2312"/>
                <w:color w:val="auto"/>
                <w:sz w:val="24"/>
                <w:szCs w:val="24"/>
              </w:rPr>
              <w:t>）</w:t>
            </w:r>
          </w:p>
        </w:tc>
        <w:tc>
          <w:tcPr>
            <w:tcW w:w="618" w:type="pct"/>
            <w:noWrap w:val="0"/>
            <w:vAlign w:val="center"/>
          </w:tcPr>
          <w:p w14:paraId="312062A5">
            <w:pPr>
              <w:jc w:val="center"/>
              <w:rPr>
                <w:rFonts w:hint="default"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eastAsia="zh-CN"/>
              </w:rPr>
              <w:t>20</w:t>
            </w:r>
          </w:p>
        </w:tc>
        <w:tc>
          <w:tcPr>
            <w:tcW w:w="624" w:type="pct"/>
            <w:noWrap w:val="0"/>
            <w:vAlign w:val="center"/>
          </w:tcPr>
          <w:p w14:paraId="65113B68">
            <w:pPr>
              <w:jc w:val="center"/>
              <w:rPr>
                <w:rFonts w:hint="eastAsia" w:ascii="仿宋_GB2312" w:hAnsi="仿宋_GB2312" w:eastAsia="仿宋_GB2312" w:cs="仿宋_GB2312"/>
                <w:color w:val="auto"/>
                <w:sz w:val="24"/>
                <w:szCs w:val="24"/>
                <w:lang w:val="en-US" w:eastAsia="zh-CN"/>
              </w:rPr>
            </w:pPr>
          </w:p>
        </w:tc>
      </w:tr>
      <w:tr w14:paraId="01A6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258" w:type="pct"/>
            <w:vMerge w:val="continue"/>
            <w:noWrap w:val="0"/>
            <w:vAlign w:val="center"/>
          </w:tcPr>
          <w:p w14:paraId="7F5F8F6E">
            <w:pPr>
              <w:jc w:val="center"/>
              <w:rPr>
                <w:rFonts w:hint="eastAsia" w:ascii="仿宋_GB2312" w:hAnsi="仿宋_GB2312" w:eastAsia="仿宋_GB2312" w:cs="仿宋_GB2312"/>
                <w:color w:val="auto"/>
                <w:sz w:val="24"/>
                <w:szCs w:val="24"/>
              </w:rPr>
            </w:pPr>
          </w:p>
        </w:tc>
        <w:tc>
          <w:tcPr>
            <w:tcW w:w="487" w:type="pct"/>
            <w:vMerge w:val="continue"/>
            <w:noWrap w:val="0"/>
            <w:vAlign w:val="center"/>
          </w:tcPr>
          <w:p w14:paraId="24A10B95">
            <w:pPr>
              <w:jc w:val="center"/>
              <w:rPr>
                <w:rFonts w:hint="eastAsia" w:ascii="仿宋_GB2312" w:hAnsi="仿宋_GB2312" w:eastAsia="仿宋_GB2312" w:cs="仿宋_GB2312"/>
                <w:color w:val="auto"/>
                <w:sz w:val="24"/>
                <w:szCs w:val="24"/>
              </w:rPr>
            </w:pPr>
          </w:p>
        </w:tc>
        <w:tc>
          <w:tcPr>
            <w:tcW w:w="519" w:type="pct"/>
            <w:vMerge w:val="continue"/>
            <w:noWrap w:val="0"/>
            <w:vAlign w:val="center"/>
          </w:tcPr>
          <w:p w14:paraId="5591CFC2">
            <w:pPr>
              <w:jc w:val="center"/>
              <w:rPr>
                <w:rFonts w:hint="eastAsia" w:ascii="仿宋_GB2312" w:hAnsi="仿宋_GB2312" w:eastAsia="仿宋_GB2312" w:cs="仿宋_GB2312"/>
                <w:color w:val="auto"/>
                <w:sz w:val="24"/>
                <w:szCs w:val="24"/>
              </w:rPr>
            </w:pPr>
          </w:p>
        </w:tc>
        <w:tc>
          <w:tcPr>
            <w:tcW w:w="2493" w:type="pct"/>
            <w:noWrap w:val="0"/>
            <w:vAlign w:val="center"/>
          </w:tcPr>
          <w:p w14:paraId="72F36417">
            <w:pPr>
              <w:numPr>
                <w:ilvl w:val="0"/>
                <w:numId w:val="0"/>
              </w:numPr>
              <w:ind w:left="0" w:leftChars="0" w:firstLine="480" w:firstLineChars="20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具有</w:t>
            </w:r>
            <w:r>
              <w:rPr>
                <w:rFonts w:hint="default" w:ascii="仿宋_GB2312" w:hAnsi="仿宋_GB2312" w:eastAsia="仿宋_GB2312" w:cs="仿宋_GB2312"/>
                <w:color w:val="auto"/>
                <w:sz w:val="24"/>
                <w:szCs w:val="24"/>
                <w:lang w:val="en-US" w:eastAsia="zh-CN"/>
              </w:rPr>
              <w:t xml:space="preserve"> ISO9001 质量管理、ISO14001 环境管理、ISO45001 职业健康安全</w:t>
            </w:r>
            <w:r>
              <w:rPr>
                <w:rFonts w:hint="eastAsia" w:ascii="仿宋_GB2312" w:hAnsi="仿宋_GB2312" w:eastAsia="仿宋_GB2312" w:cs="仿宋_GB2312"/>
                <w:color w:val="auto"/>
                <w:sz w:val="24"/>
                <w:szCs w:val="24"/>
                <w:lang w:val="en-US" w:eastAsia="zh-CN"/>
              </w:rPr>
              <w:t>体系认证证书</w:t>
            </w:r>
            <w:r>
              <w:rPr>
                <w:rFonts w:hint="default" w:ascii="仿宋_GB2312" w:hAnsi="仿宋_GB2312" w:eastAsia="仿宋_GB2312" w:cs="仿宋_GB2312"/>
                <w:color w:val="auto"/>
                <w:sz w:val="24"/>
                <w:szCs w:val="24"/>
                <w:lang w:val="en-US" w:eastAsia="zh-CN"/>
              </w:rPr>
              <w:t>，每个证书得</w:t>
            </w:r>
            <w:r>
              <w:rPr>
                <w:rFonts w:hint="eastAsia" w:ascii="仿宋_GB2312" w:hAnsi="仿宋_GB2312" w:eastAsia="仿宋_GB2312" w:cs="仿宋_GB2312"/>
                <w:color w:val="auto"/>
                <w:sz w:val="24"/>
                <w:szCs w:val="24"/>
                <w:lang w:val="en-US" w:eastAsia="zh-CN"/>
              </w:rPr>
              <w:t>5</w:t>
            </w:r>
            <w:r>
              <w:rPr>
                <w:rFonts w:hint="default" w:ascii="仿宋_GB2312" w:hAnsi="仿宋_GB2312" w:eastAsia="仿宋_GB2312" w:cs="仿宋_GB2312"/>
                <w:color w:val="auto"/>
                <w:sz w:val="24"/>
                <w:szCs w:val="24"/>
                <w:lang w:val="en-US" w:eastAsia="zh-CN"/>
              </w:rPr>
              <w:t>分，</w:t>
            </w:r>
            <w:r>
              <w:rPr>
                <w:rFonts w:hint="eastAsia" w:ascii="仿宋_GB2312" w:hAnsi="仿宋_GB2312" w:eastAsia="仿宋_GB2312" w:cs="仿宋_GB2312"/>
                <w:color w:val="auto"/>
                <w:sz w:val="24"/>
                <w:szCs w:val="24"/>
                <w:lang w:val="en-US" w:eastAsia="zh-CN"/>
              </w:rPr>
              <w:t>最高得分得15</w:t>
            </w:r>
            <w:r>
              <w:rPr>
                <w:rFonts w:hint="default" w:ascii="仿宋_GB2312" w:hAnsi="仿宋_GB2312" w:eastAsia="仿宋_GB2312" w:cs="仿宋_GB2312"/>
                <w:color w:val="auto"/>
                <w:sz w:val="24"/>
                <w:szCs w:val="24"/>
                <w:lang w:val="en-US" w:eastAsia="zh-CN"/>
              </w:rPr>
              <w:t>分；无对应证书不计分，证书复印件须加盖公章。</w:t>
            </w:r>
          </w:p>
        </w:tc>
        <w:tc>
          <w:tcPr>
            <w:tcW w:w="618" w:type="pct"/>
            <w:noWrap w:val="0"/>
            <w:vAlign w:val="center"/>
          </w:tcPr>
          <w:p w14:paraId="7061BD06">
            <w:pPr>
              <w:jc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r>
              <w:rPr>
                <w:rFonts w:hint="default" w:ascii="仿宋_GB2312" w:hAnsi="仿宋_GB2312" w:eastAsia="仿宋_GB2312" w:cs="仿宋_GB2312"/>
                <w:color w:val="auto"/>
                <w:sz w:val="24"/>
                <w:szCs w:val="24"/>
                <w:lang w:eastAsia="zh-CN"/>
              </w:rPr>
              <w:t>5</w:t>
            </w:r>
          </w:p>
        </w:tc>
        <w:tc>
          <w:tcPr>
            <w:tcW w:w="624" w:type="pct"/>
            <w:noWrap w:val="0"/>
            <w:vAlign w:val="center"/>
          </w:tcPr>
          <w:p w14:paraId="2517F7CB">
            <w:pPr>
              <w:jc w:val="center"/>
              <w:rPr>
                <w:rFonts w:hint="eastAsia" w:ascii="仿宋_GB2312" w:hAnsi="仿宋_GB2312" w:eastAsia="仿宋_GB2312" w:cs="仿宋_GB2312"/>
                <w:color w:val="auto"/>
                <w:sz w:val="24"/>
                <w:szCs w:val="24"/>
                <w:lang w:val="en-US" w:eastAsia="zh-CN"/>
              </w:rPr>
            </w:pPr>
          </w:p>
        </w:tc>
      </w:tr>
      <w:tr w14:paraId="61B7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258" w:type="pct"/>
            <w:vMerge w:val="continue"/>
            <w:noWrap w:val="0"/>
            <w:vAlign w:val="center"/>
          </w:tcPr>
          <w:p w14:paraId="19F59A4B">
            <w:pPr>
              <w:jc w:val="center"/>
              <w:rPr>
                <w:rFonts w:hint="eastAsia" w:ascii="仿宋_GB2312" w:hAnsi="仿宋_GB2312" w:eastAsia="仿宋_GB2312" w:cs="仿宋_GB2312"/>
                <w:color w:val="auto"/>
                <w:sz w:val="24"/>
                <w:szCs w:val="24"/>
              </w:rPr>
            </w:pPr>
          </w:p>
        </w:tc>
        <w:tc>
          <w:tcPr>
            <w:tcW w:w="487" w:type="pct"/>
            <w:vMerge w:val="continue"/>
            <w:noWrap w:val="0"/>
            <w:vAlign w:val="center"/>
          </w:tcPr>
          <w:p w14:paraId="04E68EC3">
            <w:pPr>
              <w:jc w:val="center"/>
              <w:rPr>
                <w:rFonts w:hint="eastAsia" w:ascii="仿宋_GB2312" w:hAnsi="仿宋_GB2312" w:eastAsia="仿宋_GB2312" w:cs="仿宋_GB2312"/>
                <w:color w:val="auto"/>
                <w:sz w:val="24"/>
                <w:szCs w:val="24"/>
              </w:rPr>
            </w:pPr>
          </w:p>
        </w:tc>
        <w:tc>
          <w:tcPr>
            <w:tcW w:w="519" w:type="pct"/>
            <w:noWrap w:val="0"/>
            <w:vAlign w:val="center"/>
          </w:tcPr>
          <w:p w14:paraId="2492D482">
            <w:pPr>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人员情况</w:t>
            </w:r>
          </w:p>
        </w:tc>
        <w:tc>
          <w:tcPr>
            <w:tcW w:w="2493" w:type="pct"/>
            <w:noWrap w:val="0"/>
            <w:vAlign w:val="center"/>
          </w:tcPr>
          <w:p w14:paraId="471962EB">
            <w:pPr>
              <w:numPr>
                <w:ilvl w:val="0"/>
                <w:numId w:val="0"/>
              </w:numPr>
              <w:ind w:left="0" w:leftChars="0" w:firstLine="480" w:firstLineChars="200"/>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每具备</w:t>
            </w:r>
            <w:r>
              <w:rPr>
                <w:rFonts w:hint="default"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lang w:val="en-US" w:eastAsia="zh-CN"/>
              </w:rPr>
              <w:t>名环保类中级及以上</w:t>
            </w:r>
            <w:bookmarkStart w:id="0" w:name="_GoBack"/>
            <w:bookmarkEnd w:id="0"/>
            <w:r>
              <w:rPr>
                <w:rFonts w:hint="eastAsia" w:ascii="仿宋_GB2312" w:hAnsi="仿宋_GB2312" w:eastAsia="仿宋_GB2312" w:cs="仿宋_GB2312"/>
                <w:color w:val="auto"/>
                <w:sz w:val="24"/>
                <w:szCs w:val="24"/>
                <w:lang w:val="en-US" w:eastAsia="zh-CN"/>
              </w:rPr>
              <w:t>工程师得1分，总分</w:t>
            </w:r>
            <w:r>
              <w:rPr>
                <w:rFonts w:hint="default"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lang w:val="en-US" w:eastAsia="zh-CN"/>
              </w:rPr>
              <w:t>分；（提供拟负责本项目的环保类工程师资格证书复印件）</w:t>
            </w:r>
          </w:p>
        </w:tc>
        <w:tc>
          <w:tcPr>
            <w:tcW w:w="618" w:type="pct"/>
            <w:noWrap w:val="0"/>
            <w:vAlign w:val="center"/>
          </w:tcPr>
          <w:p w14:paraId="72CFED82">
            <w:pPr>
              <w:jc w:val="center"/>
              <w:rPr>
                <w:rFonts w:hint="default" w:ascii="仿宋_GB2312" w:hAnsi="仿宋_GB2312" w:eastAsia="仿宋_GB2312" w:cs="仿宋_GB2312"/>
                <w:color w:val="auto"/>
                <w:sz w:val="24"/>
                <w:szCs w:val="24"/>
                <w:highlight w:val="none"/>
                <w:lang w:val="en-US" w:eastAsia="zh-CN"/>
              </w:rPr>
            </w:pPr>
            <w:r>
              <w:rPr>
                <w:rFonts w:hint="default" w:ascii="仿宋_GB2312" w:hAnsi="仿宋_GB2312" w:eastAsia="仿宋_GB2312" w:cs="仿宋_GB2312"/>
                <w:color w:val="auto"/>
                <w:sz w:val="24"/>
                <w:szCs w:val="24"/>
                <w:highlight w:val="none"/>
                <w:lang w:eastAsia="zh-CN"/>
              </w:rPr>
              <w:t>5</w:t>
            </w:r>
          </w:p>
        </w:tc>
        <w:tc>
          <w:tcPr>
            <w:tcW w:w="624" w:type="pct"/>
            <w:noWrap w:val="0"/>
            <w:vAlign w:val="center"/>
          </w:tcPr>
          <w:p w14:paraId="1156677D">
            <w:pPr>
              <w:jc w:val="center"/>
              <w:rPr>
                <w:rFonts w:hint="eastAsia" w:ascii="仿宋_GB2312" w:hAnsi="仿宋_GB2312" w:eastAsia="仿宋_GB2312" w:cs="仿宋_GB2312"/>
                <w:color w:val="auto"/>
                <w:sz w:val="24"/>
                <w:szCs w:val="24"/>
                <w:lang w:val="en-US" w:eastAsia="zh-CN"/>
              </w:rPr>
            </w:pPr>
          </w:p>
        </w:tc>
      </w:tr>
      <w:tr w14:paraId="5C2FF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258" w:type="pct"/>
            <w:noWrap w:val="0"/>
            <w:vAlign w:val="center"/>
          </w:tcPr>
          <w:p w14:paraId="2A328448">
            <w:pPr>
              <w:jc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rPr>
              <w:t>3</w:t>
            </w:r>
          </w:p>
        </w:tc>
        <w:tc>
          <w:tcPr>
            <w:tcW w:w="487" w:type="pct"/>
            <w:noWrap w:val="0"/>
            <w:vAlign w:val="center"/>
          </w:tcPr>
          <w:p w14:paraId="3026FB0E">
            <w:pPr>
              <w:jc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rPr>
              <w:t>价格评审</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30</w:t>
            </w:r>
            <w:r>
              <w:rPr>
                <w:rFonts w:hint="eastAsia" w:ascii="仿宋_GB2312" w:hAnsi="仿宋_GB2312" w:eastAsia="仿宋_GB2312" w:cs="仿宋_GB2312"/>
                <w:color w:val="auto"/>
                <w:sz w:val="24"/>
                <w:szCs w:val="24"/>
                <w:lang w:eastAsia="zh-CN"/>
              </w:rPr>
              <w:t>）</w:t>
            </w:r>
          </w:p>
        </w:tc>
        <w:tc>
          <w:tcPr>
            <w:tcW w:w="519" w:type="pct"/>
            <w:noWrap w:val="0"/>
            <w:vAlign w:val="center"/>
          </w:tcPr>
          <w:p w14:paraId="1823E7E0">
            <w:pPr>
              <w:jc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rPr>
              <w:t>价格</w:t>
            </w:r>
          </w:p>
        </w:tc>
        <w:tc>
          <w:tcPr>
            <w:tcW w:w="2493" w:type="pct"/>
            <w:noWrap w:val="0"/>
            <w:vAlign w:val="center"/>
          </w:tcPr>
          <w:p w14:paraId="1A25164F">
            <w:pPr>
              <w:numPr>
                <w:ilvl w:val="0"/>
                <w:numId w:val="0"/>
              </w:numPr>
              <w:ind w:left="0" w:leftChars="0" w:firstLine="480" w:firstLineChars="200"/>
              <w:jc w:val="left"/>
              <w:rPr>
                <w:rFonts w:hint="eastAsia"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价格分应当采用低价优先法计算，即满足采购需求且报价最低的为基准价，该项价格得分为满分。其他供应商的价格得分统一按照下列公式计算：供应商价格得分=(基准价／报价)×10，价格得分四舍五入后保留小数点后两位有效数。</w:t>
            </w:r>
          </w:p>
        </w:tc>
        <w:tc>
          <w:tcPr>
            <w:tcW w:w="618" w:type="pct"/>
            <w:noWrap w:val="0"/>
            <w:vAlign w:val="center"/>
          </w:tcPr>
          <w:p w14:paraId="4D7A76DF">
            <w:pPr>
              <w:jc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0</w:t>
            </w:r>
          </w:p>
        </w:tc>
        <w:tc>
          <w:tcPr>
            <w:tcW w:w="624" w:type="pct"/>
            <w:noWrap w:val="0"/>
            <w:vAlign w:val="center"/>
          </w:tcPr>
          <w:p w14:paraId="43080196">
            <w:pPr>
              <w:jc w:val="center"/>
              <w:rPr>
                <w:rFonts w:hint="eastAsia" w:ascii="仿宋_GB2312" w:hAnsi="仿宋_GB2312" w:eastAsia="仿宋_GB2312" w:cs="仿宋_GB2312"/>
                <w:color w:val="auto"/>
                <w:sz w:val="24"/>
                <w:szCs w:val="24"/>
                <w:lang w:val="en-US" w:eastAsia="zh-CN"/>
              </w:rPr>
            </w:pPr>
          </w:p>
        </w:tc>
      </w:tr>
      <w:tr w14:paraId="21A2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4375" w:type="pct"/>
            <w:gridSpan w:val="5"/>
            <w:noWrap w:val="0"/>
            <w:vAlign w:val="center"/>
          </w:tcPr>
          <w:p w14:paraId="67710443">
            <w:pPr>
              <w:jc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总计</w:t>
            </w:r>
          </w:p>
        </w:tc>
        <w:tc>
          <w:tcPr>
            <w:tcW w:w="624" w:type="pct"/>
            <w:noWrap w:val="0"/>
            <w:vAlign w:val="center"/>
          </w:tcPr>
          <w:p w14:paraId="601D0D75">
            <w:pPr>
              <w:jc w:val="center"/>
              <w:rPr>
                <w:rFonts w:hint="eastAsia" w:ascii="仿宋_GB2312" w:hAnsi="仿宋_GB2312" w:eastAsia="仿宋_GB2312" w:cs="仿宋_GB2312"/>
                <w:color w:val="auto"/>
                <w:sz w:val="24"/>
                <w:szCs w:val="24"/>
                <w:lang w:val="en-US" w:eastAsia="zh-CN"/>
              </w:rPr>
            </w:pPr>
          </w:p>
        </w:tc>
      </w:tr>
    </w:tbl>
    <w:p w14:paraId="60A92A46"/>
    <w:sectPr>
      <w:pgSz w:w="16838" w:h="11906" w:orient="landscape"/>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786BA"/>
    <w:rsid w:val="505450D7"/>
    <w:rsid w:val="57F52F45"/>
    <w:rsid w:val="71EC796E"/>
    <w:rsid w:val="7A7B3AD4"/>
    <w:rsid w:val="7FB786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745</Words>
  <Characters>825</Characters>
  <Lines>0</Lines>
  <Paragraphs>0</Paragraphs>
  <TotalTime>12</TotalTime>
  <ScaleCrop>false</ScaleCrop>
  <LinksUpToDate>false</LinksUpToDate>
  <CharactersWithSpaces>830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2026-09-20T23:10:00Z</dcterms:created>
  <dc:creator>guest</dc:creator>
  <cp:lastModifiedBy>58304</cp:lastModifiedBy>
  <dcterms:modified xsi:type="dcterms:W3CDTF">2026-09-29T06:46:47Z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823E5E64A97641998ADBCC602A6804F2_13</vt:lpwstr>
  </property>
  <property fmtid="{D5CDD505-2E9C-101B-9397-08002B2CF9AE}" pid="4" name="KSOTemplateDocerSaveRecord">
    <vt:lpwstr>eyJoZGlkIjoiMzEwNTM5NzYwMDRjMzkwZTVkZjY2ODkwMGIxNGU0OTUiLCJ1c2VySWQiOiIzNTQyOTE1NzYifQ==</vt:lpwstr>
  </property>
</Properties>
</file>