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bidi w:val="0"/>
        <w:spacing w:line="560" w:lineRule="exact"/>
        <w:ind w:firstLine="0" w:firstLineChars="0"/>
        <w:jc w:val="center"/>
        <w:outlineLvl w:val="0"/>
        <w:rPr>
          <w:rFonts w:hint="eastAsia" w:ascii="方正小标宋简体" w:hAnsi="宋体" w:eastAsia="方正小标宋简体" w:cs="宋体"/>
          <w:color w:val="000000" w:themeColor="text1"/>
          <w:sz w:val="44"/>
          <w:szCs w:val="44"/>
          <w:highlight w:val="none"/>
          <w:shd w:val="clear" w:color="auto" w:fill="FFFFFF"/>
          <w:lang w:eastAsia="zh-CN"/>
          <w14:textFill>
            <w14:solidFill>
              <w14:schemeClr w14:val="tx1"/>
            </w14:solidFill>
          </w14:textFill>
        </w:rPr>
      </w:pPr>
      <w:r>
        <w:rPr>
          <w:rFonts w:hint="eastAsia" w:ascii="方正小标宋简体" w:hAnsi="宋体" w:eastAsia="方正小标宋简体" w:cs="宋体"/>
          <w:color w:val="000000" w:themeColor="text1"/>
          <w:sz w:val="44"/>
          <w:szCs w:val="44"/>
          <w:highlight w:val="none"/>
          <w:shd w:val="clear" w:color="auto" w:fill="FFFFFF"/>
          <w14:textFill>
            <w14:solidFill>
              <w14:schemeClr w14:val="tx1"/>
            </w14:solidFill>
          </w14:textFill>
        </w:rPr>
        <w:t>江门市市场监督管理局购买招标采购服务项目</w:t>
      </w:r>
      <w:r>
        <w:rPr>
          <w:rFonts w:hint="eastAsia" w:ascii="方正小标宋简体" w:hAnsi="宋体" w:eastAsia="方正小标宋简体" w:cs="宋体"/>
          <w:color w:val="000000" w:themeColor="text1"/>
          <w:sz w:val="44"/>
          <w:szCs w:val="44"/>
          <w:highlight w:val="none"/>
          <w:shd w:val="clear" w:color="auto" w:fill="FFFFFF"/>
          <w:lang w:eastAsia="zh-CN"/>
          <w14:textFill>
            <w14:solidFill>
              <w14:schemeClr w14:val="tx1"/>
            </w14:solidFill>
          </w14:textFill>
        </w:rPr>
        <w:t>合同模板</w:t>
      </w:r>
    </w:p>
    <w:p>
      <w:pPr>
        <w:pStyle w:val="2"/>
        <w:keepNext w:val="0"/>
        <w:keepLines w:val="0"/>
        <w:pageBreakBefore w:val="0"/>
        <w:kinsoku/>
        <w:wordWrap/>
        <w:overflowPunct/>
        <w:topLinePunct w:val="0"/>
        <w:bidi w:val="0"/>
        <w:spacing w:line="560" w:lineRule="exact"/>
        <w:ind w:firstLine="0" w:firstLineChars="0"/>
        <w:rPr>
          <w:rFonts w:hint="eastAsia" w:ascii="方正小标宋简体" w:hAnsi="宋体" w:eastAsia="方正小标宋简体" w:cs="宋体"/>
          <w:color w:val="000000" w:themeColor="text1"/>
          <w:sz w:val="44"/>
          <w:szCs w:val="44"/>
          <w:highlight w:val="none"/>
          <w:shd w:val="clear" w:color="auto" w:fill="FFFFFF"/>
          <w14:textFill>
            <w14:solidFill>
              <w14:schemeClr w14:val="tx1"/>
            </w14:solidFill>
          </w14:textFill>
        </w:rPr>
      </w:pPr>
    </w:p>
    <w:p>
      <w:pPr>
        <w:keepNext w:val="0"/>
        <w:keepLines w:val="0"/>
        <w:pageBreakBefore w:val="0"/>
        <w:kinsoku/>
        <w:wordWrap/>
        <w:overflowPunct/>
        <w:topLinePunct w:val="0"/>
        <w:bidi w:val="0"/>
        <w:spacing w:line="560" w:lineRule="exact"/>
        <w:outlineLvl w:val="0"/>
        <w:rPr>
          <w:rFonts w:hint="eastAsia" w:ascii="仿宋_GB2312" w:hAnsi="仿宋_GB2312" w:eastAsia="仿宋_GB2312" w:cs="仿宋_GB2312"/>
          <w:b/>
          <w:sz w:val="28"/>
          <w:szCs w:val="28"/>
          <w:highlight w:val="none"/>
        </w:rPr>
      </w:pPr>
      <w:r>
        <w:rPr>
          <w:rFonts w:hint="eastAsia" w:ascii="仿宋_GB2312" w:hAnsi="仿宋_GB2312" w:eastAsia="仿宋_GB2312" w:cs="仿宋_GB2312"/>
          <w:b/>
          <w:bCs/>
          <w:sz w:val="28"/>
          <w:szCs w:val="28"/>
          <w:highlight w:val="none"/>
        </w:rPr>
        <w:t>甲方</w:t>
      </w: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Cs/>
          <w:sz w:val="28"/>
          <w:szCs w:val="28"/>
          <w:highlight w:val="none"/>
        </w:rPr>
        <w:t>江门市市场监督管理局</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地址：  江门市</w:t>
      </w:r>
      <w:r>
        <w:rPr>
          <w:rFonts w:hint="eastAsia" w:ascii="仿宋_GB2312" w:hAnsi="仿宋_GB2312" w:cs="仿宋_GB2312"/>
          <w:sz w:val="28"/>
          <w:szCs w:val="28"/>
          <w:highlight w:val="none"/>
          <w:lang w:eastAsia="zh-CN"/>
        </w:rPr>
        <w:t>蓬江区</w:t>
      </w:r>
      <w:r>
        <w:rPr>
          <w:rFonts w:hint="eastAsia" w:ascii="仿宋_GB2312" w:hAnsi="仿宋_GB2312" w:eastAsia="仿宋_GB2312" w:cs="仿宋_GB2312"/>
          <w:sz w:val="28"/>
          <w:szCs w:val="28"/>
          <w:highlight w:val="none"/>
        </w:rPr>
        <w:t>东华二路7号</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联系人：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电话：   </w:t>
      </w:r>
    </w:p>
    <w:p>
      <w:pPr>
        <w:pStyle w:val="2"/>
        <w:keepNext w:val="0"/>
        <w:keepLines w:val="0"/>
        <w:pageBreakBefore w:val="0"/>
        <w:kinsoku/>
        <w:wordWrap/>
        <w:overflowPunct/>
        <w:topLinePunct w:val="0"/>
        <w:bidi w:val="0"/>
        <w:spacing w:line="560" w:lineRule="exact"/>
        <w:ind w:firstLine="600"/>
        <w:rPr>
          <w:rFonts w:hint="eastAsia" w:ascii="仿宋_GB2312" w:hAnsi="仿宋_GB2312" w:cs="仿宋_GB2312"/>
          <w:sz w:val="28"/>
          <w:szCs w:val="28"/>
          <w:highlight w:val="none"/>
        </w:rPr>
      </w:pPr>
    </w:p>
    <w:p>
      <w:pPr>
        <w:keepNext w:val="0"/>
        <w:keepLines w:val="0"/>
        <w:pageBreakBefore w:val="0"/>
        <w:kinsoku/>
        <w:wordWrap/>
        <w:overflowPunct/>
        <w:topLinePunct w:val="0"/>
        <w:bidi w:val="0"/>
        <w:spacing w:line="560" w:lineRule="exact"/>
        <w:outlineLvl w:val="0"/>
        <w:rPr>
          <w:rFonts w:hint="eastAsia" w:ascii="仿宋_GB2312" w:hAnsi="仿宋_GB2312" w:eastAsia="仿宋_GB2312" w:cs="仿宋_GB2312"/>
          <w:b/>
          <w:sz w:val="28"/>
          <w:szCs w:val="28"/>
          <w:highlight w:val="none"/>
        </w:rPr>
      </w:pPr>
      <w:r>
        <w:rPr>
          <w:rFonts w:hint="eastAsia" w:ascii="仿宋_GB2312" w:hAnsi="仿宋_GB2312" w:eastAsia="仿宋_GB2312" w:cs="仿宋_GB2312"/>
          <w:b/>
          <w:bCs/>
          <w:sz w:val="28"/>
          <w:szCs w:val="28"/>
          <w:highlight w:val="none"/>
        </w:rPr>
        <w:t>乙方</w:t>
      </w:r>
      <w:r>
        <w:rPr>
          <w:rFonts w:hint="eastAsia" w:ascii="仿宋_GB2312" w:hAnsi="仿宋_GB2312" w:eastAsia="仿宋_GB2312" w:cs="仿宋_GB2312"/>
          <w:sz w:val="28"/>
          <w:szCs w:val="28"/>
          <w:highlight w:val="none"/>
        </w:rPr>
        <w:t xml:space="preserve">：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地址：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联系人：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电话：   </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highlight w:val="none"/>
          <w:shd w:val="clear" w:color="auto" w:fill="FFFFFF"/>
        </w:rPr>
      </w:pPr>
    </w:p>
    <w:p>
      <w:pPr>
        <w:keepNext w:val="0"/>
        <w:keepLines w:val="0"/>
        <w:pageBreakBefore w:val="0"/>
        <w:widowControl/>
        <w:kinsoku/>
        <w:wordWrap/>
        <w:overflowPunct/>
        <w:topLinePunct w:val="0"/>
        <w:bidi w:val="0"/>
        <w:spacing w:line="560" w:lineRule="exact"/>
        <w:ind w:firstLine="618" w:firstLineChars="221"/>
        <w:rPr>
          <w:rFonts w:hint="eastAsia" w:ascii="仿宋_GB2312" w:hAnsi="仿宋_GB2312" w:cs="仿宋_GB2312"/>
          <w:b/>
          <w:bCs/>
          <w:sz w:val="28"/>
          <w:szCs w:val="28"/>
          <w:highlight w:val="none"/>
        </w:rPr>
      </w:pPr>
      <w:r>
        <w:rPr>
          <w:rFonts w:hint="eastAsia" w:ascii="仿宋_GB2312" w:hAnsi="仿宋_GB2312" w:cs="仿宋_GB2312"/>
          <w:sz w:val="28"/>
          <w:szCs w:val="28"/>
          <w:highlight w:val="none"/>
        </w:rPr>
        <w:t>甲、乙双方根据“江门市市场监督管理局购买招标采购服务</w:t>
      </w:r>
      <w:r>
        <w:rPr>
          <w:rFonts w:hint="eastAsia" w:ascii="仿宋_GB2312" w:hAnsi="仿宋_GB2312" w:cs="仿宋_GB2312"/>
          <w:sz w:val="28"/>
          <w:szCs w:val="28"/>
          <w:highlight w:val="none"/>
          <w:lang w:eastAsia="zh-CN"/>
        </w:rPr>
        <w:t>（重招）</w:t>
      </w:r>
      <w:r>
        <w:rPr>
          <w:rFonts w:hint="eastAsia" w:ascii="仿宋_GB2312" w:hAnsi="仿宋_GB2312" w:cs="仿宋_GB2312"/>
          <w:sz w:val="28"/>
          <w:szCs w:val="28"/>
          <w:highlight w:val="none"/>
        </w:rPr>
        <w:t>项目”（项目编号：</w:t>
      </w:r>
      <w:r>
        <w:rPr>
          <w:rFonts w:hint="eastAsia" w:ascii="仿宋_GB2312" w:hAnsi="仿宋_GB2312" w:cs="仿宋_GB2312"/>
          <w:sz w:val="28"/>
          <w:szCs w:val="28"/>
          <w:highlight w:val="none"/>
          <w:lang w:val="en-US" w:eastAsia="zh-CN"/>
        </w:rPr>
        <w:t>2026042</w:t>
      </w:r>
      <w:r>
        <w:rPr>
          <w:rFonts w:hint="eastAsia" w:ascii="仿宋_GB2312" w:hAnsi="仿宋_GB2312" w:cs="仿宋_GB2312"/>
          <w:sz w:val="28"/>
          <w:szCs w:val="28"/>
          <w:highlight w:val="none"/>
        </w:rPr>
        <w:t>）（</w:t>
      </w:r>
      <w:bookmarkStart w:id="1" w:name="_GoBack"/>
      <w:bookmarkEnd w:id="1"/>
      <w:r>
        <w:rPr>
          <w:rFonts w:hint="eastAsia" w:ascii="仿宋_GB2312" w:hAnsi="仿宋_GB2312" w:cs="仿宋_GB2312"/>
          <w:sz w:val="28"/>
          <w:szCs w:val="28"/>
          <w:highlight w:val="none"/>
        </w:rPr>
        <w:t>以下简称项目）的采购公告、项目采购结果公告的要求，按照《中华人民共和国民法典》</w:t>
      </w:r>
      <w:r>
        <w:rPr>
          <w:rFonts w:hint="eastAsia" w:ascii="仿宋_GB2312" w:hAnsi="仿宋_GB2312" w:cs="仿宋_GB2312"/>
          <w:sz w:val="28"/>
          <w:szCs w:val="28"/>
          <w:highlight w:val="none"/>
          <w:lang w:eastAsia="zh-CN"/>
        </w:rPr>
        <w:t>、</w:t>
      </w:r>
      <w:r>
        <w:rPr>
          <w:rFonts w:hint="eastAsia" w:ascii="仿宋_GB2312" w:hAnsi="仿宋_GB2312" w:cs="仿宋_GB2312"/>
          <w:sz w:val="28"/>
          <w:szCs w:val="28"/>
          <w:highlight w:val="none"/>
        </w:rPr>
        <w:t>《中华人民共和国政府采购法》及其实施条例等相关法律法规的规定，经双方协商，本着平等、自愿、公平和诚实信用的原则，一致同意签订本合同如下：</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 xml:space="preserve">第一条  项目内容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甲方委托乙方就江门市市场监督管理局购买招标采购服务项目提供技术服务，具体服务内容及要求如下：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1.专业咨询服务。服务期限内，为采购人提供政府采购方面的专业化咨询服务，审核约130项采购项目，每项采购都需按规定完成采购方式研判、采购文件审查、开标、资料归档等工作。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2.聘请专家评委。围绕服务期限内约130项采购项目组织开展评标会议，每场次开评标会议聘请1名外部专家评委参与评标工作。</w:t>
      </w:r>
    </w:p>
    <w:p>
      <w:pPr>
        <w:pStyle w:val="2"/>
        <w:keepNext w:val="0"/>
        <w:keepLines w:val="0"/>
        <w:pageBreakBefore w:val="0"/>
        <w:kinsoku/>
        <w:wordWrap/>
        <w:overflowPunct/>
        <w:topLinePunct w:val="0"/>
        <w:bidi w:val="0"/>
        <w:spacing w:line="560" w:lineRule="exact"/>
        <w:ind w:firstLine="60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3.项目要求</w:t>
      </w:r>
    </w:p>
    <w:p>
      <w:pPr>
        <w:pStyle w:val="2"/>
        <w:keepNext w:val="0"/>
        <w:keepLines w:val="0"/>
        <w:pageBreakBefore w:val="0"/>
        <w:kinsoku/>
        <w:wordWrap/>
        <w:overflowPunct/>
        <w:topLinePunct w:val="0"/>
        <w:bidi w:val="0"/>
        <w:spacing w:line="560" w:lineRule="exact"/>
        <w:ind w:firstLine="600"/>
        <w:rPr>
          <w:rFonts w:hint="eastAsia"/>
          <w:sz w:val="28"/>
          <w:szCs w:val="28"/>
          <w:highlight w:val="none"/>
        </w:rPr>
      </w:pPr>
      <w:r>
        <w:rPr>
          <w:rFonts w:hint="eastAsia"/>
          <w:sz w:val="28"/>
          <w:szCs w:val="28"/>
          <w:highlight w:val="none"/>
        </w:rPr>
        <w:t>（1）乙方须组建专门的服务团队为本项目提供服务，并确保团队常驻服务人员不少于1名。</w:t>
      </w:r>
    </w:p>
    <w:p>
      <w:pPr>
        <w:pStyle w:val="2"/>
        <w:keepNext w:val="0"/>
        <w:keepLines w:val="0"/>
        <w:pageBreakBefore w:val="0"/>
        <w:kinsoku/>
        <w:wordWrap/>
        <w:overflowPunct/>
        <w:topLinePunct w:val="0"/>
        <w:bidi w:val="0"/>
        <w:spacing w:line="560" w:lineRule="exact"/>
        <w:ind w:firstLine="560" w:firstLineChars="200"/>
        <w:rPr>
          <w:rFonts w:hint="eastAsia"/>
          <w:sz w:val="28"/>
          <w:szCs w:val="28"/>
          <w:highlight w:val="none"/>
        </w:rPr>
      </w:pPr>
      <w:r>
        <w:rPr>
          <w:rFonts w:hint="eastAsia"/>
          <w:sz w:val="28"/>
          <w:szCs w:val="28"/>
          <w:highlight w:val="none"/>
        </w:rPr>
        <w:t>（2） 乙方指派的人员必须具备相应的专业能力和资质。乙方须在合同签订后【3】个工作日内，向甲方提供服务人员的名单及联系方式，并提交该人员在乙方单位任职的证明（即本项目投标截止之日前三个月</w:t>
      </w:r>
      <w:r>
        <w:rPr>
          <w:rFonts w:hint="eastAsia"/>
          <w:sz w:val="28"/>
          <w:szCs w:val="28"/>
          <w:highlight w:val="none"/>
          <w:lang w:val="en-US" w:eastAsia="zh-CN"/>
        </w:rPr>
        <w:t>内</w:t>
      </w:r>
      <w:r>
        <w:rPr>
          <w:rFonts w:hint="eastAsia"/>
          <w:sz w:val="28"/>
          <w:szCs w:val="28"/>
          <w:highlight w:val="none"/>
        </w:rPr>
        <w:t>任意一</w:t>
      </w:r>
      <w:r>
        <w:rPr>
          <w:rFonts w:hint="eastAsia"/>
          <w:sz w:val="28"/>
          <w:szCs w:val="28"/>
          <w:highlight w:val="none"/>
          <w:lang w:val="en-US" w:eastAsia="zh-CN"/>
        </w:rPr>
        <w:t>个</w:t>
      </w:r>
      <w:r>
        <w:rPr>
          <w:rFonts w:hint="eastAsia"/>
          <w:sz w:val="28"/>
          <w:szCs w:val="28"/>
          <w:highlight w:val="none"/>
        </w:rPr>
        <w:t>月的《社会保险参保人员证明》），以备甲方核查。</w:t>
      </w:r>
    </w:p>
    <w:p>
      <w:pPr>
        <w:pStyle w:val="2"/>
        <w:keepNext w:val="0"/>
        <w:keepLines w:val="0"/>
        <w:pageBreakBefore w:val="0"/>
        <w:kinsoku/>
        <w:wordWrap/>
        <w:overflowPunct/>
        <w:topLinePunct w:val="0"/>
        <w:bidi w:val="0"/>
        <w:spacing w:line="560" w:lineRule="exact"/>
        <w:ind w:firstLine="560" w:firstLineChars="200"/>
        <w:rPr>
          <w:rFonts w:hint="eastAsia"/>
          <w:highlight w:val="none"/>
        </w:rPr>
      </w:pPr>
      <w:r>
        <w:rPr>
          <w:rFonts w:hint="eastAsia"/>
          <w:sz w:val="28"/>
          <w:szCs w:val="28"/>
          <w:highlight w:val="none"/>
        </w:rPr>
        <w:t>（</w:t>
      </w:r>
      <w:r>
        <w:rPr>
          <w:sz w:val="28"/>
          <w:szCs w:val="28"/>
          <w:highlight w:val="none"/>
        </w:rPr>
        <w:t>3</w:t>
      </w:r>
      <w:r>
        <w:rPr>
          <w:rFonts w:hint="eastAsia"/>
          <w:sz w:val="28"/>
          <w:szCs w:val="28"/>
          <w:highlight w:val="none"/>
        </w:rPr>
        <w:t>）未经甲方书面同意</w:t>
      </w:r>
      <w:r>
        <w:rPr>
          <w:rFonts w:hint="eastAsia"/>
          <w:sz w:val="28"/>
          <w:szCs w:val="28"/>
          <w:highlight w:val="none"/>
          <w:lang w:val="en-US" w:eastAsia="zh-CN"/>
        </w:rPr>
        <w:t>或者应甲方书面要求</w:t>
      </w:r>
      <w:r>
        <w:rPr>
          <w:rFonts w:hint="eastAsia"/>
          <w:sz w:val="28"/>
          <w:szCs w:val="28"/>
          <w:highlight w:val="none"/>
        </w:rPr>
        <w:t>，乙方不得擅自更换上述服务人员。如确需更换，接替人员必须具备同等或更优的专业资质和能力，并需重新提交证明文件。</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第二条  合同期限、项目费用及支付方式</w:t>
      </w:r>
    </w:p>
    <w:p>
      <w:pPr>
        <w:keepNext w:val="0"/>
        <w:keepLines w:val="0"/>
        <w:pageBreakBefore w:val="0"/>
        <w:numPr>
          <w:ilvl w:val="0"/>
          <w:numId w:val="1"/>
        </w:numPr>
        <w:kinsoku/>
        <w:wordWrap/>
        <w:overflowPunct/>
        <w:topLinePunct w:val="0"/>
        <w:bidi w:val="0"/>
        <w:spacing w:line="560" w:lineRule="exact"/>
        <w:outlineLvl w:val="0"/>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sz w:val="28"/>
          <w:szCs w:val="28"/>
          <w:highlight w:val="none"/>
        </w:rPr>
        <w:t>合同期限</w:t>
      </w:r>
    </w:p>
    <w:p>
      <w:pPr>
        <w:keepNext w:val="0"/>
        <w:keepLines w:val="0"/>
        <w:pageBreakBefore w:val="0"/>
        <w:kinsoku/>
        <w:wordWrap/>
        <w:overflowPunct/>
        <w:topLinePunct w:val="0"/>
        <w:bidi w:val="0"/>
        <w:spacing w:line="560" w:lineRule="exact"/>
        <w:ind w:left="420"/>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期限为12个月，自合同签订生效之日起开始计算。</w:t>
      </w:r>
    </w:p>
    <w:p>
      <w:pPr>
        <w:keepNext w:val="0"/>
        <w:keepLines w:val="0"/>
        <w:pageBreakBefore w:val="0"/>
        <w:numPr>
          <w:ilvl w:val="0"/>
          <w:numId w:val="1"/>
        </w:numPr>
        <w:kinsoku/>
        <w:wordWrap/>
        <w:overflowPunct/>
        <w:topLinePunct w:val="0"/>
        <w:bidi w:val="0"/>
        <w:spacing w:line="560" w:lineRule="exact"/>
        <w:outlineLvl w:val="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项目费用</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该项目的</w:t>
      </w:r>
      <w:r>
        <w:rPr>
          <w:rFonts w:hint="default" w:ascii="Times New Roman" w:hAnsi="Times New Roman" w:eastAsia="仿宋_GB2312" w:cs="Times New Roman"/>
          <w:color w:val="000000"/>
          <w:sz w:val="28"/>
          <w:szCs w:val="28"/>
          <w:highlight w:val="none"/>
        </w:rPr>
        <w:t>总费用为</w:t>
      </w:r>
      <w:r>
        <w:rPr>
          <w:rFonts w:hint="default" w:ascii="Times New Roman" w:hAnsi="Times New Roman" w:eastAsia="仿宋_GB2312" w:cs="Times New Roman"/>
          <w:bCs/>
          <w:sz w:val="28"/>
          <w:szCs w:val="28"/>
          <w:highlight w:val="none"/>
        </w:rPr>
        <w:t>人民币</w:t>
      </w:r>
      <w:r>
        <w:rPr>
          <w:rFonts w:hint="default" w:ascii="Times New Roman" w:hAnsi="Times New Roman" w:eastAsia="仿宋_GB2312" w:cs="Times New Roman"/>
          <w:bCs/>
          <w:sz w:val="28"/>
          <w:szCs w:val="28"/>
          <w:highlight w:val="none"/>
          <w:lang w:eastAsia="zh-CN"/>
        </w:rPr>
        <w:t>陆</w:t>
      </w:r>
      <w:r>
        <w:rPr>
          <w:rFonts w:hint="default" w:ascii="Times New Roman" w:hAnsi="Times New Roman" w:eastAsia="仿宋_GB2312" w:cs="Times New Roman"/>
          <w:bCs/>
          <w:sz w:val="28"/>
          <w:szCs w:val="28"/>
          <w:highlight w:val="none"/>
        </w:rPr>
        <w:t>万元整（¥</w:t>
      </w:r>
      <w:r>
        <w:rPr>
          <w:rFonts w:hint="default" w:ascii="Times New Roman" w:hAnsi="Times New Roman" w:eastAsia="仿宋_GB2312" w:cs="Times New Roman"/>
          <w:bCs/>
          <w:sz w:val="28"/>
          <w:szCs w:val="28"/>
          <w:highlight w:val="none"/>
          <w:lang w:val="en-US" w:eastAsia="zh-CN"/>
        </w:rPr>
        <w:t>60</w:t>
      </w:r>
      <w:r>
        <w:rPr>
          <w:rFonts w:hint="default" w:ascii="Times New Roman" w:hAnsi="Times New Roman" w:eastAsia="仿宋_GB2312" w:cs="Times New Roman"/>
          <w:bCs/>
          <w:sz w:val="28"/>
          <w:szCs w:val="28"/>
          <w:highlight w:val="none"/>
        </w:rPr>
        <w:t>000.00元）</w:t>
      </w:r>
      <w:r>
        <w:rPr>
          <w:rFonts w:hint="default" w:ascii="Times New Roman" w:hAnsi="Times New Roman" w:eastAsia="仿宋_GB2312" w:cs="Times New Roman"/>
          <w:bCs/>
          <w:color w:val="666666"/>
          <w:sz w:val="28"/>
          <w:szCs w:val="28"/>
          <w:highlight w:val="none"/>
          <w:shd w:val="clear" w:color="auto" w:fill="FFFFFF"/>
        </w:rPr>
        <w:t>。</w:t>
      </w:r>
      <w:r>
        <w:rPr>
          <w:rFonts w:hint="default" w:ascii="Times New Roman" w:hAnsi="Times New Roman" w:eastAsia="仿宋_GB2312" w:cs="Times New Roman"/>
          <w:sz w:val="28"/>
          <w:szCs w:val="28"/>
          <w:highlight w:val="none"/>
        </w:rPr>
        <w:t>项目总费用为含税价，且已包含甲方应付所有费用，甲方无需另外支付其他费用。</w:t>
      </w:r>
    </w:p>
    <w:p>
      <w:pPr>
        <w:keepNext w:val="0"/>
        <w:keepLines w:val="0"/>
        <w:pageBreakBefore w:val="0"/>
        <w:numPr>
          <w:ilvl w:val="0"/>
          <w:numId w:val="1"/>
        </w:numPr>
        <w:kinsoku/>
        <w:wordWrap/>
        <w:overflowPunct/>
        <w:topLinePunct w:val="0"/>
        <w:bidi w:val="0"/>
        <w:spacing w:line="560" w:lineRule="exact"/>
        <w:outlineLvl w:val="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color w:val="000000"/>
          <w:sz w:val="28"/>
          <w:szCs w:val="28"/>
          <w:highlight w:val="none"/>
        </w:rPr>
        <w:t>付款时间、方式</w:t>
      </w:r>
      <w:r>
        <w:rPr>
          <w:rFonts w:hint="default" w:ascii="Times New Roman" w:hAnsi="Times New Roman" w:eastAsia="仿宋_GB2312" w:cs="Times New Roman"/>
          <w:sz w:val="28"/>
          <w:szCs w:val="28"/>
          <w:highlight w:val="none"/>
        </w:rPr>
        <w:t>。</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双方签订合同后，甲方分</w:t>
      </w:r>
      <w:r>
        <w:rPr>
          <w:rFonts w:hint="default" w:ascii="Times New Roman" w:hAnsi="Times New Roman" w:eastAsia="仿宋_GB2312" w:cs="Times New Roman"/>
          <w:sz w:val="28"/>
          <w:szCs w:val="28"/>
          <w:highlight w:val="none"/>
          <w:lang w:eastAsia="zh-CN"/>
        </w:rPr>
        <w:t>两</w:t>
      </w:r>
      <w:r>
        <w:rPr>
          <w:rFonts w:hint="default" w:ascii="Times New Roman" w:hAnsi="Times New Roman" w:eastAsia="仿宋_GB2312" w:cs="Times New Roman"/>
          <w:sz w:val="28"/>
          <w:szCs w:val="28"/>
          <w:highlight w:val="none"/>
        </w:rPr>
        <w:t>期支付相应的款项给乙方：</w:t>
      </w:r>
    </w:p>
    <w:p>
      <w:pPr>
        <w:keepNext w:val="0"/>
        <w:keepLines w:val="0"/>
        <w:pageBreakBefore w:val="0"/>
        <w:numPr>
          <w:ilvl w:val="-1"/>
          <w:numId w:val="0"/>
        </w:numPr>
        <w:kinsoku/>
        <w:wordWrap/>
        <w:overflowPunct/>
        <w:topLinePunct w:val="0"/>
        <w:bidi w:val="0"/>
        <w:spacing w:line="56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1.</w:t>
      </w:r>
      <w:r>
        <w:rPr>
          <w:rFonts w:hint="default" w:ascii="Times New Roman" w:hAnsi="Times New Roman" w:eastAsia="仿宋_GB2312" w:cs="Times New Roman"/>
          <w:sz w:val="28"/>
          <w:szCs w:val="28"/>
          <w:highlight w:val="none"/>
        </w:rPr>
        <w:t>第一期：甲、乙双方签订本</w:t>
      </w:r>
      <w:r>
        <w:rPr>
          <w:rFonts w:hint="default" w:ascii="Times New Roman" w:hAnsi="Times New Roman"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后，</w:t>
      </w:r>
      <w:r>
        <w:rPr>
          <w:rFonts w:hint="eastAsia" w:cs="Times New Roman"/>
          <w:sz w:val="28"/>
          <w:szCs w:val="28"/>
          <w:highlight w:val="none"/>
          <w:lang w:val="en-US" w:eastAsia="zh-CN"/>
        </w:rPr>
        <w:t>乙方</w:t>
      </w:r>
      <w:r>
        <w:rPr>
          <w:rFonts w:hint="eastAsia" w:eastAsia="仿宋_GB2312" w:cs="Times New Roman"/>
          <w:sz w:val="28"/>
          <w:szCs w:val="28"/>
          <w:highlight w:val="none"/>
          <w:lang w:val="en-US" w:eastAsia="zh-CN"/>
        </w:rPr>
        <w:t>根据甲方通知开票</w:t>
      </w:r>
      <w:r>
        <w:rPr>
          <w:rFonts w:hint="eastAsia" w:cs="Times New Roman"/>
          <w:sz w:val="28"/>
          <w:szCs w:val="28"/>
          <w:highlight w:val="none"/>
          <w:lang w:eastAsia="zh-CN"/>
        </w:rPr>
        <w:t>，</w:t>
      </w:r>
      <w:r>
        <w:rPr>
          <w:rFonts w:hint="default" w:ascii="Times New Roman" w:hAnsi="Times New Roman" w:eastAsia="仿宋_GB2312" w:cs="Times New Roman"/>
          <w:sz w:val="28"/>
          <w:szCs w:val="28"/>
          <w:highlight w:val="none"/>
        </w:rPr>
        <w:t>甲方收到乙方开具的相对应金额发票之日起30个工作日内，向乙方支付项目总费用的</w:t>
      </w:r>
      <w:r>
        <w:rPr>
          <w:rFonts w:hint="default" w:ascii="Times New Roman" w:hAnsi="Times New Roman" w:eastAsia="仿宋_GB2312" w:cs="Times New Roman"/>
          <w:sz w:val="28"/>
          <w:szCs w:val="28"/>
          <w:highlight w:val="none"/>
          <w:lang w:val="en-US" w:eastAsia="zh-CN"/>
        </w:rPr>
        <w:t>50</w:t>
      </w:r>
      <w:r>
        <w:rPr>
          <w:rFonts w:hint="default" w:ascii="Times New Roman" w:hAnsi="Times New Roman" w:eastAsia="仿宋_GB2312" w:cs="Times New Roman"/>
          <w:sz w:val="28"/>
          <w:szCs w:val="28"/>
          <w:highlight w:val="none"/>
        </w:rPr>
        <w:t>%，即人民币</w:t>
      </w:r>
      <w:r>
        <w:rPr>
          <w:rFonts w:hint="default" w:ascii="Times New Roman" w:hAnsi="Times New Roman" w:eastAsia="仿宋_GB2312" w:cs="Times New Roman"/>
          <w:sz w:val="28"/>
          <w:szCs w:val="28"/>
          <w:highlight w:val="none"/>
          <w:lang w:eastAsia="zh-CN"/>
        </w:rPr>
        <w:t>叁</w:t>
      </w:r>
      <w:r>
        <w:rPr>
          <w:rFonts w:hint="default" w:ascii="Times New Roman" w:hAnsi="Times New Roman" w:eastAsia="仿宋_GB2312" w:cs="Times New Roman"/>
          <w:sz w:val="28"/>
          <w:szCs w:val="28"/>
          <w:highlight w:val="none"/>
        </w:rPr>
        <w:t>万元整（¥</w:t>
      </w:r>
      <w:r>
        <w:rPr>
          <w:rFonts w:hint="default" w:ascii="Times New Roman" w:hAnsi="Times New Roman" w:eastAsia="仿宋_GB2312" w:cs="Times New Roman"/>
          <w:sz w:val="28"/>
          <w:szCs w:val="28"/>
          <w:highlight w:val="none"/>
          <w:lang w:val="en-US" w:eastAsia="zh-CN"/>
        </w:rPr>
        <w:t>30000</w:t>
      </w:r>
      <w:r>
        <w:rPr>
          <w:rFonts w:hint="default" w:ascii="Times New Roman" w:hAnsi="Times New Roman" w:eastAsia="仿宋_GB2312" w:cs="Times New Roman"/>
          <w:sz w:val="28"/>
          <w:szCs w:val="28"/>
          <w:highlight w:val="none"/>
        </w:rPr>
        <w:t>.00元）；</w:t>
      </w:r>
    </w:p>
    <w:p>
      <w:pPr>
        <w:keepNext w:val="0"/>
        <w:keepLines w:val="0"/>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2.</w:t>
      </w:r>
      <w:r>
        <w:rPr>
          <w:rFonts w:hint="default" w:ascii="Times New Roman" w:hAnsi="Times New Roman" w:eastAsia="仿宋_GB2312" w:cs="Times New Roman"/>
          <w:sz w:val="28"/>
          <w:szCs w:val="28"/>
          <w:highlight w:val="none"/>
        </w:rPr>
        <w:t>第二期：</w:t>
      </w:r>
      <w:r>
        <w:rPr>
          <w:rFonts w:hint="default" w:ascii="Times New Roman" w:hAnsi="Times New Roman" w:eastAsia="仿宋_GB2312" w:cs="Times New Roman"/>
          <w:sz w:val="28"/>
          <w:szCs w:val="28"/>
          <w:highlight w:val="none"/>
        </w:rPr>
        <w:t>待项目经甲方</w:t>
      </w:r>
      <w:r>
        <w:rPr>
          <w:rFonts w:hint="eastAsia" w:cs="Times New Roman"/>
          <w:sz w:val="28"/>
          <w:szCs w:val="28"/>
          <w:highlight w:val="none"/>
          <w:lang w:val="en-US" w:eastAsia="zh-CN"/>
        </w:rPr>
        <w:t>书面</w:t>
      </w:r>
      <w:r>
        <w:rPr>
          <w:rFonts w:hint="default" w:ascii="Times New Roman" w:hAnsi="Times New Roman" w:eastAsia="仿宋_GB2312" w:cs="Times New Roman"/>
          <w:sz w:val="28"/>
          <w:szCs w:val="28"/>
          <w:highlight w:val="none"/>
        </w:rPr>
        <w:t>验收合格后，</w:t>
      </w:r>
      <w:r>
        <w:rPr>
          <w:rFonts w:hint="eastAsia" w:cs="Times New Roman"/>
          <w:sz w:val="28"/>
          <w:szCs w:val="28"/>
          <w:highlight w:val="none"/>
          <w:lang w:val="en-US" w:eastAsia="zh-CN"/>
        </w:rPr>
        <w:t>乙方</w:t>
      </w:r>
      <w:r>
        <w:rPr>
          <w:rFonts w:hint="eastAsia" w:eastAsia="仿宋_GB2312" w:cs="Times New Roman"/>
          <w:sz w:val="28"/>
          <w:szCs w:val="28"/>
          <w:highlight w:val="none"/>
          <w:lang w:val="en-US" w:eastAsia="zh-CN"/>
        </w:rPr>
        <w:t>根据甲方通知开票</w:t>
      </w:r>
      <w:r>
        <w:rPr>
          <w:rFonts w:hint="eastAsia" w:cs="Times New Roman"/>
          <w:sz w:val="28"/>
          <w:szCs w:val="28"/>
          <w:highlight w:val="none"/>
          <w:lang w:eastAsia="zh-CN"/>
        </w:rPr>
        <w:t>，</w:t>
      </w:r>
      <w:r>
        <w:rPr>
          <w:rFonts w:hint="default" w:ascii="Times New Roman" w:hAnsi="Times New Roman" w:eastAsia="仿宋_GB2312" w:cs="Times New Roman"/>
          <w:sz w:val="28"/>
          <w:szCs w:val="28"/>
          <w:highlight w:val="none"/>
        </w:rPr>
        <w:t>甲方再次凭收到乙方开具等额有效的发票之日起30个工作日内支付剩余项目费用给乙方，即</w:t>
      </w:r>
      <w:r>
        <w:rPr>
          <w:rFonts w:hint="default" w:ascii="Times New Roman" w:hAnsi="Times New Roman" w:eastAsia="仿宋_GB2312" w:cs="Times New Roman"/>
          <w:sz w:val="28"/>
          <w:szCs w:val="28"/>
          <w:highlight w:val="none"/>
          <w:u w:val="none"/>
        </w:rPr>
        <w:t>人民币</w:t>
      </w:r>
      <w:r>
        <w:rPr>
          <w:rFonts w:hint="default" w:ascii="Times New Roman" w:hAnsi="Times New Roman" w:eastAsia="仿宋_GB2312" w:cs="Times New Roman"/>
          <w:sz w:val="28"/>
          <w:szCs w:val="28"/>
          <w:highlight w:val="none"/>
          <w:lang w:eastAsia="zh-CN"/>
        </w:rPr>
        <w:t>叁</w:t>
      </w:r>
      <w:r>
        <w:rPr>
          <w:rFonts w:hint="default" w:ascii="Times New Roman" w:hAnsi="Times New Roman" w:eastAsia="仿宋_GB2312" w:cs="Times New Roman"/>
          <w:sz w:val="28"/>
          <w:szCs w:val="28"/>
          <w:highlight w:val="none"/>
          <w:u w:val="none"/>
        </w:rPr>
        <w:t>万元整（</w:t>
      </w:r>
      <w:r>
        <w:rPr>
          <w:rFonts w:hint="default" w:ascii="Times New Roman" w:hAnsi="Times New Roman" w:eastAsia="仿宋_GB2312" w:cs="Times New Roman"/>
          <w:bCs/>
          <w:sz w:val="28"/>
          <w:szCs w:val="28"/>
          <w:highlight w:val="none"/>
          <w:u w:val="none"/>
        </w:rPr>
        <w:t>¥</w:t>
      </w:r>
      <w:r>
        <w:rPr>
          <w:rFonts w:hint="default" w:ascii="Times New Roman" w:hAnsi="Times New Roman" w:eastAsia="仿宋_GB2312" w:cs="Times New Roman"/>
          <w:bCs/>
          <w:sz w:val="28"/>
          <w:szCs w:val="28"/>
          <w:highlight w:val="none"/>
          <w:u w:val="none"/>
          <w:lang w:val="en-US" w:eastAsia="zh-CN"/>
        </w:rPr>
        <w:t>30</w:t>
      </w:r>
      <w:r>
        <w:rPr>
          <w:rFonts w:hint="default" w:ascii="Times New Roman" w:hAnsi="Times New Roman" w:eastAsia="仿宋_GB2312" w:cs="Times New Roman"/>
          <w:bCs/>
          <w:sz w:val="28"/>
          <w:szCs w:val="28"/>
          <w:highlight w:val="none"/>
          <w:u w:val="none"/>
        </w:rPr>
        <w:t>000.00元</w:t>
      </w:r>
      <w:r>
        <w:rPr>
          <w:rFonts w:hint="default" w:ascii="Times New Roman" w:hAnsi="Times New Roman" w:eastAsia="仿宋_GB2312" w:cs="Times New Roman"/>
          <w:sz w:val="28"/>
          <w:szCs w:val="28"/>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3</w:t>
      </w:r>
      <w:r>
        <w:rPr>
          <w:rFonts w:hint="default" w:ascii="Times New Roman" w:hAnsi="Times New Roman" w:eastAsia="仿宋_GB2312" w:cs="Times New Roman"/>
          <w:sz w:val="28"/>
          <w:szCs w:val="28"/>
          <w:highlight w:val="none"/>
        </w:rPr>
        <w:t>. 甲方支付以乙方无违约为前提，若乙方违约，甲方有权在应付款中做相应扣除。</w:t>
      </w:r>
    </w:p>
    <w:p>
      <w:pPr>
        <w:keepNext w:val="0"/>
        <w:keepLines w:val="0"/>
        <w:pageBreakBefore w:val="0"/>
        <w:numPr>
          <w:ilvl w:val="0"/>
          <w:numId w:val="1"/>
        </w:numPr>
        <w:kinsoku/>
        <w:wordWrap/>
        <w:overflowPunct/>
        <w:topLinePunct w:val="0"/>
        <w:bidi w:val="0"/>
        <w:spacing w:line="560" w:lineRule="exact"/>
        <w:outlineLvl w:val="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乙方账户信息如下：</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highlight w:val="none"/>
          <w:u w:val="single"/>
        </w:rPr>
      </w:pPr>
      <w:r>
        <w:rPr>
          <w:rFonts w:hint="default" w:ascii="Times New Roman" w:hAnsi="Times New Roman" w:cs="Times New Roman"/>
          <w:sz w:val="28"/>
          <w:szCs w:val="28"/>
          <w:highlight w:val="none"/>
        </w:rPr>
        <w:t>开户名：</w:t>
      </w:r>
      <w:r>
        <w:rPr>
          <w:rFonts w:hint="default" w:ascii="Times New Roman" w:hAnsi="Times New Roman" w:cs="Times New Roman"/>
          <w:sz w:val="28"/>
          <w:szCs w:val="28"/>
          <w:highlight w:val="none"/>
          <w:u w:val="single"/>
        </w:rPr>
        <w:t xml:space="preserve">                  </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开户行：</w:t>
      </w:r>
      <w:r>
        <w:rPr>
          <w:rFonts w:hint="default" w:ascii="Times New Roman" w:hAnsi="Times New Roman" w:cs="Times New Roman"/>
          <w:sz w:val="28"/>
          <w:szCs w:val="28"/>
          <w:highlight w:val="none"/>
          <w:u w:val="single"/>
        </w:rPr>
        <w:t xml:space="preserve">                  </w:t>
      </w:r>
      <w:r>
        <w:rPr>
          <w:rFonts w:hint="default" w:ascii="Times New Roman" w:hAnsi="Times New Roman" w:cs="Times New Roman"/>
          <w:sz w:val="28"/>
          <w:szCs w:val="28"/>
          <w:highlight w:val="none"/>
        </w:rPr>
        <w:t xml:space="preserve">     </w:t>
      </w:r>
    </w:p>
    <w:p>
      <w:pPr>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账  号：</w:t>
      </w:r>
      <w:r>
        <w:rPr>
          <w:rFonts w:hint="default" w:ascii="Times New Roman" w:hAnsi="Times New Roman" w:cs="Times New Roman"/>
          <w:sz w:val="28"/>
          <w:szCs w:val="28"/>
          <w:highlight w:val="none"/>
          <w:u w:val="single"/>
        </w:rPr>
        <w:t xml:space="preserve">                  </w:t>
      </w:r>
      <w:r>
        <w:rPr>
          <w:rFonts w:hint="default" w:ascii="Times New Roman" w:hAnsi="Times New Roman" w:cs="Times New Roman"/>
          <w:sz w:val="28"/>
          <w:szCs w:val="28"/>
          <w:highlight w:val="none"/>
        </w:rPr>
        <w:t xml:space="preserve">      </w:t>
      </w:r>
    </w:p>
    <w:p>
      <w:pPr>
        <w:pStyle w:val="8"/>
        <w:keepNext w:val="0"/>
        <w:keepLines w:val="0"/>
        <w:pageBreakBefore w:val="0"/>
        <w:numPr>
          <w:ilvl w:val="0"/>
          <w:numId w:val="1"/>
        </w:numPr>
        <w:kinsoku/>
        <w:wordWrap/>
        <w:overflowPunct/>
        <w:topLinePunct w:val="0"/>
        <w:bidi w:val="0"/>
        <w:spacing w:line="560" w:lineRule="exact"/>
        <w:ind w:firstLine="560" w:firstLineChars="200"/>
        <w:outlineLvl w:val="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甲方开票信息如下：</w:t>
      </w:r>
    </w:p>
    <w:p>
      <w:pPr>
        <w:pStyle w:val="8"/>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lang w:bidi="ar"/>
        </w:rPr>
        <w:t>单位名称：江门市市场监督管理局</w:t>
      </w:r>
    </w:p>
    <w:p>
      <w:pPr>
        <w:pStyle w:val="8"/>
        <w:keepNext w:val="0"/>
        <w:keepLines w:val="0"/>
        <w:pageBreakBefore w:val="0"/>
        <w:kinsoku/>
        <w:wordWrap/>
        <w:overflowPunct/>
        <w:topLinePunct w:val="0"/>
        <w:bidi w:val="0"/>
        <w:spacing w:line="560" w:lineRule="exact"/>
        <w:ind w:firstLine="560" w:firstLineChars="200"/>
        <w:rPr>
          <w:rFonts w:hint="default" w:ascii="Times New Roman" w:hAnsi="Times New Roman" w:cs="Times New Roman"/>
          <w:sz w:val="28"/>
          <w:szCs w:val="28"/>
          <w:highlight w:val="none"/>
          <w:lang w:bidi="ar"/>
        </w:rPr>
      </w:pPr>
      <w:r>
        <w:rPr>
          <w:rFonts w:hint="default" w:ascii="Times New Roman" w:hAnsi="Times New Roman" w:cs="Times New Roman"/>
          <w:sz w:val="28"/>
          <w:szCs w:val="28"/>
          <w:highlight w:val="none"/>
          <w:lang w:bidi="ar"/>
        </w:rPr>
        <w:t>统一社会信用代码：11440700MB2C90725T</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rPr>
        <w:t>第三条  验收方式</w:t>
      </w:r>
      <w:r>
        <w:rPr>
          <w:rFonts w:hint="eastAsia" w:ascii="仿宋_GB2312" w:hAnsi="仿宋_GB2312" w:eastAsia="仿宋_GB2312" w:cs="仿宋_GB2312"/>
          <w:b/>
          <w:bCs w:val="0"/>
          <w:sz w:val="28"/>
          <w:szCs w:val="28"/>
          <w:highlight w:val="none"/>
          <w:shd w:val="clear" w:color="auto" w:fill="FFFFFF"/>
        </w:rPr>
        <w:t xml:space="preserve"> </w:t>
      </w:r>
    </w:p>
    <w:p>
      <w:pPr>
        <w:keepNext w:val="0"/>
        <w:keepLines w:val="0"/>
        <w:pageBreakBefore w:val="0"/>
        <w:numPr>
          <w:ilvl w:val="-1"/>
          <w:numId w:val="0"/>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lang w:eastAsia="zh-CN"/>
        </w:rPr>
        <w:t>（一）</w:t>
      </w:r>
      <w:r>
        <w:rPr>
          <w:rFonts w:hint="eastAsia" w:ascii="仿宋_GB2312" w:hAnsi="仿宋_GB2312" w:cs="仿宋_GB2312"/>
          <w:sz w:val="28"/>
          <w:szCs w:val="28"/>
          <w:highlight w:val="none"/>
        </w:rPr>
        <w:t>验收时间：本项目结束之日起15个工作日内，乙方应按采购公告、本合同约定及甲方要求提交项目相关的文件、资料等成果性资料给甲方进行验收，甲方在收到乙方提交的上述成果性资料之日起20个工作日内完成验收工作；但因乙方自身原因导致甲方无法在上述期限内完成验收的，由此产生的费用、损失由乙方自行承担；若损失难以计算的，则以本合同项下的费用作为损失计算依据。</w:t>
      </w:r>
    </w:p>
    <w:p>
      <w:pPr>
        <w:keepNext w:val="0"/>
        <w:keepLines w:val="0"/>
        <w:pageBreakBefore w:val="0"/>
        <w:numPr>
          <w:ilvl w:val="-1"/>
          <w:numId w:val="0"/>
        </w:numPr>
        <w:kinsoku/>
        <w:wordWrap/>
        <w:overflowPunct/>
        <w:topLinePunct w:val="0"/>
        <w:bidi w:val="0"/>
        <w:spacing w:line="560" w:lineRule="exact"/>
        <w:ind w:leftChars="0"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lang w:eastAsia="zh-CN"/>
        </w:rPr>
        <w:t>（二）</w:t>
      </w:r>
      <w:r>
        <w:rPr>
          <w:rFonts w:hint="eastAsia" w:ascii="仿宋_GB2312" w:hAnsi="仿宋_GB2312" w:cs="仿宋_GB2312"/>
          <w:sz w:val="28"/>
          <w:szCs w:val="28"/>
          <w:highlight w:val="none"/>
        </w:rPr>
        <w:t>验收标准：由甲方依据国家、省、市制定的法律法规政策、</w:t>
      </w:r>
      <w:r>
        <w:rPr>
          <w:rFonts w:hint="eastAsia" w:ascii="仿宋_GB2312" w:hAnsi="仿宋_GB2312" w:cs="仿宋_GB2312"/>
          <w:bCs/>
          <w:sz w:val="28"/>
          <w:szCs w:val="28"/>
          <w:highlight w:val="none"/>
        </w:rPr>
        <w:t>行业规范或标准以及招标公告、本合同约定的技术、服务标准进行验收。</w:t>
      </w:r>
    </w:p>
    <w:p>
      <w:pPr>
        <w:keepNext w:val="0"/>
        <w:keepLines w:val="0"/>
        <w:pageBreakBefore w:val="0"/>
        <w:numPr>
          <w:ilvl w:val="-1"/>
          <w:numId w:val="0"/>
        </w:numPr>
        <w:kinsoku/>
        <w:wordWrap/>
        <w:overflowPunct/>
        <w:topLinePunct w:val="0"/>
        <w:bidi w:val="0"/>
        <w:spacing w:line="560" w:lineRule="exact"/>
        <w:ind w:leftChars="0" w:firstLine="560" w:firstLineChars="200"/>
        <w:rPr>
          <w:rFonts w:hint="eastAsia" w:ascii="仿宋_GB2312" w:hAnsi="仿宋_GB2312" w:eastAsia="仿宋_GB2312" w:cs="仿宋_GB2312"/>
          <w:bCs w:val="0"/>
          <w:sz w:val="28"/>
          <w:szCs w:val="28"/>
          <w:highlight w:val="none"/>
        </w:rPr>
      </w:pPr>
      <w:r>
        <w:rPr>
          <w:rFonts w:hint="eastAsia" w:ascii="仿宋_GB2312" w:hAnsi="仿宋_GB2312" w:cs="仿宋_GB2312"/>
          <w:bCs/>
          <w:sz w:val="28"/>
          <w:szCs w:val="28"/>
          <w:highlight w:val="none"/>
          <w:lang w:eastAsia="zh-CN"/>
        </w:rPr>
        <w:t>（三）</w:t>
      </w:r>
      <w:r>
        <w:rPr>
          <w:rFonts w:hint="eastAsia" w:ascii="仿宋_GB2312" w:hAnsi="仿宋_GB2312" w:cs="仿宋_GB2312"/>
          <w:bCs/>
          <w:sz w:val="28"/>
          <w:szCs w:val="28"/>
          <w:highlight w:val="none"/>
        </w:rPr>
        <w:t>经甲方验收不</w:t>
      </w:r>
      <w:r>
        <w:rPr>
          <w:rFonts w:hint="eastAsia" w:ascii="仿宋_GB2312" w:hAnsi="仿宋_GB2312" w:cs="仿宋_GB2312"/>
          <w:sz w:val="28"/>
          <w:szCs w:val="28"/>
          <w:highlight w:val="none"/>
        </w:rPr>
        <w:t>合格</w:t>
      </w:r>
      <w:r>
        <w:rPr>
          <w:rFonts w:hint="eastAsia" w:ascii="仿宋_GB2312" w:hAnsi="仿宋_GB2312" w:cs="仿宋_GB2312"/>
          <w:bCs/>
          <w:sz w:val="28"/>
          <w:szCs w:val="28"/>
          <w:highlight w:val="none"/>
        </w:rPr>
        <w:t>的，乙方应在甲方指定期限内采取弥补措施并再次提交给甲方验收。</w:t>
      </w:r>
      <w:r>
        <w:rPr>
          <w:rFonts w:hint="eastAsia" w:ascii="仿宋_GB2312" w:hAnsi="仿宋_GB2312" w:eastAsia="仿宋_GB2312" w:cs="仿宋_GB2312"/>
          <w:bCs/>
          <w:sz w:val="28"/>
          <w:szCs w:val="28"/>
          <w:highlight w:val="none"/>
        </w:rPr>
        <w:t>验收合格后由甲方和乙方共同签字确认作为结算的依据。</w:t>
      </w:r>
    </w:p>
    <w:p>
      <w:pPr>
        <w:keepNext w:val="0"/>
        <w:keepLines w:val="0"/>
        <w:pageBreakBefore w:val="0"/>
        <w:kinsoku/>
        <w:wordWrap/>
        <w:overflowPunct/>
        <w:topLinePunct w:val="0"/>
        <w:bidi w:val="0"/>
        <w:spacing w:line="560" w:lineRule="exact"/>
        <w:ind w:left="0" w:right="0" w:firstLine="560" w:firstLineChars="200"/>
        <w:rPr>
          <w:rFonts w:hint="eastAsia"/>
          <w:sz w:val="28"/>
          <w:szCs w:val="28"/>
          <w:highlight w:val="none"/>
        </w:rPr>
      </w:pPr>
      <w:r>
        <w:rPr>
          <w:rFonts w:hint="eastAsia"/>
          <w:sz w:val="28"/>
          <w:szCs w:val="28"/>
          <w:highlight w:val="none"/>
          <w:lang w:eastAsia="zh-CN"/>
        </w:rPr>
        <w:t>（四）</w:t>
      </w:r>
      <w:r>
        <w:rPr>
          <w:rFonts w:hint="eastAsia"/>
          <w:sz w:val="28"/>
          <w:szCs w:val="28"/>
          <w:highlight w:val="none"/>
        </w:rPr>
        <w:t>若经甲方再次验收未通过的，且甲方已经支付项目费用的，</w:t>
      </w:r>
      <w:r>
        <w:rPr>
          <w:rFonts w:hint="eastAsia"/>
          <w:sz w:val="28"/>
          <w:szCs w:val="28"/>
          <w:highlight w:val="none"/>
          <w:lang w:val="en-US" w:eastAsia="zh-CN"/>
        </w:rPr>
        <w:t>甲方有权单方决定解除合同，解除通知自到达乙方之日起生效，并</w:t>
      </w:r>
      <w:r>
        <w:rPr>
          <w:rFonts w:hint="eastAsia"/>
          <w:sz w:val="28"/>
          <w:szCs w:val="28"/>
          <w:highlight w:val="none"/>
        </w:rPr>
        <w:t>有权在乙方已收取款项中</w:t>
      </w:r>
      <w:r>
        <w:rPr>
          <w:rFonts w:hint="eastAsia"/>
          <w:sz w:val="28"/>
          <w:szCs w:val="28"/>
          <w:highlight w:val="none"/>
          <w:lang w:val="en-US" w:eastAsia="zh-CN"/>
        </w:rPr>
        <w:t>扣除与未通过验收部分相对应的项目费用以及甲方因此遭受的其他损失后，要求乙方在收到甲方书面通知之日起10个工作日内将剩余款项退回给甲方，若乙方逾期退还，每逾期一日，应按应退还款项总额的日千分之一向甲方支付违约金。</w:t>
      </w:r>
      <w:r>
        <w:rPr>
          <w:rFonts w:hint="eastAsia"/>
          <w:sz w:val="28"/>
          <w:szCs w:val="28"/>
          <w:highlight w:val="none"/>
        </w:rPr>
        <w:t>甲方亦有权依据本合同第九条第2款追究乙方的违约责任。（乙方已经开具发票所产生的税费损失由乙方自行承担，也即不能要求甲方予以承担）。</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第四条  甲方的权利和义务</w:t>
      </w:r>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甲方为乙方提供项目实施中所需的相关协助；</w:t>
      </w:r>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项目实施期间，甲方有权向乙方提出建议或具体要求；</w:t>
      </w:r>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根据甲、乙双方确定的项目计划，甲方有权督促乙方的实施情况，了解工作进度及开展情况。</w:t>
      </w:r>
    </w:p>
    <w:p>
      <w:pPr>
        <w:numPr>
          <w:ilvl w:val="0"/>
          <w:numId w:val="2"/>
        </w:numPr>
        <w:spacing w:line="480" w:lineRule="exact"/>
        <w:ind w:firstLine="560" w:firstLineChars="200"/>
        <w:rPr>
          <w:rFonts w:hint="default" w:ascii="Times New Roman" w:hAnsi="Times New Roman" w:eastAsia="仿宋_GB2312" w:cs="Times New Roman"/>
          <w:sz w:val="28"/>
          <w:szCs w:val="28"/>
          <w:highlight w:val="none"/>
        </w:rPr>
      </w:pPr>
      <w:bookmarkStart w:id="0" w:name="auto_fouce_23"/>
      <w:r>
        <w:rPr>
          <w:rFonts w:hint="default" w:ascii="Times New Roman" w:hAnsi="Times New Roman" w:eastAsia="仿宋_GB2312" w:cs="Times New Roman"/>
          <w:sz w:val="28"/>
          <w:szCs w:val="28"/>
          <w:highlight w:val="none"/>
        </w:rPr>
        <w:t>若甲方发现</w:t>
      </w:r>
      <w:r>
        <w:rPr>
          <w:rFonts w:hint="eastAsia" w:eastAsia="仿宋_GB2312" w:cs="Times New Roman"/>
          <w:sz w:val="28"/>
          <w:szCs w:val="28"/>
          <w:highlight w:val="none"/>
          <w:lang w:eastAsia="zh-CN"/>
        </w:rPr>
        <w:t>项目实施存在</w:t>
      </w:r>
      <w:r>
        <w:rPr>
          <w:rFonts w:hint="default" w:ascii="Times New Roman" w:hAnsi="Times New Roman" w:eastAsia="仿宋_GB2312" w:cs="Times New Roman"/>
          <w:sz w:val="28"/>
          <w:szCs w:val="28"/>
          <w:highlight w:val="none"/>
        </w:rPr>
        <w:t>问题</w:t>
      </w:r>
      <w:r>
        <w:rPr>
          <w:rFonts w:hint="eastAsia" w:eastAsia="仿宋_GB2312" w:cs="Times New Roman"/>
          <w:sz w:val="28"/>
          <w:szCs w:val="28"/>
          <w:highlight w:val="none"/>
          <w:lang w:eastAsia="zh-CN"/>
        </w:rPr>
        <w:t>的</w:t>
      </w:r>
      <w:r>
        <w:rPr>
          <w:rFonts w:hint="default" w:ascii="Times New Roman" w:hAnsi="Times New Roman" w:eastAsia="仿宋_GB2312" w:cs="Times New Roman"/>
          <w:sz w:val="28"/>
          <w:szCs w:val="28"/>
          <w:highlight w:val="none"/>
        </w:rPr>
        <w:t>，</w:t>
      </w:r>
      <w:r>
        <w:rPr>
          <w:rFonts w:hint="eastAsia" w:eastAsia="仿宋_GB2312" w:cs="Times New Roman"/>
          <w:sz w:val="28"/>
          <w:szCs w:val="28"/>
          <w:highlight w:val="none"/>
          <w:lang w:eastAsia="zh-CN"/>
        </w:rPr>
        <w:t>应当以书面形式向</w:t>
      </w:r>
      <w:r>
        <w:rPr>
          <w:rFonts w:hint="default" w:ascii="Times New Roman" w:hAnsi="Times New Roman" w:eastAsia="仿宋_GB2312" w:cs="Times New Roman"/>
          <w:sz w:val="28"/>
          <w:szCs w:val="28"/>
          <w:highlight w:val="none"/>
        </w:rPr>
        <w:t>乙方</w:t>
      </w:r>
      <w:r>
        <w:rPr>
          <w:rFonts w:hint="eastAsia" w:eastAsia="仿宋_GB2312" w:cs="Times New Roman"/>
          <w:sz w:val="28"/>
          <w:szCs w:val="28"/>
          <w:highlight w:val="none"/>
          <w:lang w:eastAsia="zh-CN"/>
        </w:rPr>
        <w:t>提出质疑，乙方</w:t>
      </w:r>
      <w:r>
        <w:rPr>
          <w:rFonts w:hint="default" w:ascii="Times New Roman" w:hAnsi="Times New Roman" w:eastAsia="仿宋_GB2312" w:cs="Times New Roman"/>
          <w:sz w:val="28"/>
          <w:szCs w:val="28"/>
          <w:highlight w:val="none"/>
        </w:rPr>
        <w:t>应当在接到质疑之日</w:t>
      </w:r>
      <w:r>
        <w:rPr>
          <w:rFonts w:hint="eastAsia" w:eastAsia="仿宋_GB2312" w:cs="Times New Roman"/>
          <w:sz w:val="28"/>
          <w:szCs w:val="28"/>
          <w:highlight w:val="none"/>
          <w:lang w:eastAsia="zh-CN"/>
        </w:rPr>
        <w:t>起3个工作</w:t>
      </w:r>
      <w:r>
        <w:rPr>
          <w:rFonts w:hint="default" w:ascii="Times New Roman" w:hAnsi="Times New Roman" w:eastAsia="仿宋_GB2312" w:cs="Times New Roman"/>
          <w:sz w:val="28"/>
          <w:szCs w:val="28"/>
          <w:highlight w:val="none"/>
        </w:rPr>
        <w:t>日内提供</w:t>
      </w:r>
      <w:r>
        <w:rPr>
          <w:rFonts w:hint="eastAsia" w:eastAsia="仿宋_GB2312" w:cs="Times New Roman"/>
          <w:sz w:val="28"/>
          <w:szCs w:val="28"/>
          <w:highlight w:val="none"/>
          <w:lang w:eastAsia="zh-CN"/>
        </w:rPr>
        <w:t>书面</w:t>
      </w:r>
      <w:r>
        <w:rPr>
          <w:rFonts w:hint="default" w:ascii="Times New Roman" w:hAnsi="Times New Roman" w:eastAsia="仿宋_GB2312" w:cs="Times New Roman"/>
          <w:sz w:val="28"/>
          <w:szCs w:val="28"/>
          <w:highlight w:val="none"/>
        </w:rPr>
        <w:t>说明</w:t>
      </w:r>
      <w:r>
        <w:rPr>
          <w:rFonts w:hint="eastAsia" w:eastAsia="仿宋_GB2312" w:cs="Times New Roman"/>
          <w:sz w:val="28"/>
          <w:szCs w:val="28"/>
          <w:highlight w:val="none"/>
          <w:lang w:eastAsia="zh-CN"/>
        </w:rPr>
        <w:t>及佐证材料</w:t>
      </w:r>
      <w:r>
        <w:rPr>
          <w:rFonts w:hint="default" w:ascii="Times New Roman" w:hAnsi="Times New Roman" w:eastAsia="仿宋_GB2312" w:cs="Times New Roman"/>
          <w:sz w:val="28"/>
          <w:szCs w:val="28"/>
          <w:highlight w:val="none"/>
        </w:rPr>
        <w:t>；甲方</w:t>
      </w:r>
      <w:r>
        <w:rPr>
          <w:rFonts w:hint="eastAsia" w:eastAsia="仿宋_GB2312" w:cs="Times New Roman"/>
          <w:sz w:val="28"/>
          <w:szCs w:val="28"/>
          <w:highlight w:val="none"/>
          <w:lang w:eastAsia="zh-CN"/>
        </w:rPr>
        <w:t>不</w:t>
      </w:r>
      <w:r>
        <w:rPr>
          <w:rFonts w:hint="default" w:ascii="Times New Roman" w:hAnsi="Times New Roman" w:eastAsia="仿宋_GB2312" w:cs="Times New Roman"/>
          <w:sz w:val="28"/>
          <w:szCs w:val="28"/>
          <w:highlight w:val="none"/>
        </w:rPr>
        <w:t>认</w:t>
      </w:r>
      <w:r>
        <w:rPr>
          <w:rFonts w:hint="eastAsia" w:eastAsia="仿宋_GB2312" w:cs="Times New Roman"/>
          <w:sz w:val="28"/>
          <w:szCs w:val="28"/>
          <w:highlight w:val="none"/>
          <w:lang w:eastAsia="zh-CN"/>
        </w:rPr>
        <w:t>可说明</w:t>
      </w:r>
      <w:r>
        <w:rPr>
          <w:rFonts w:hint="default" w:ascii="Times New Roman" w:hAnsi="Times New Roman" w:eastAsia="仿宋_GB2312" w:cs="Times New Roman"/>
          <w:sz w:val="28"/>
          <w:szCs w:val="28"/>
          <w:highlight w:val="none"/>
        </w:rPr>
        <w:t>的，</w:t>
      </w:r>
      <w:r>
        <w:rPr>
          <w:rFonts w:hint="eastAsia" w:eastAsia="仿宋_GB2312" w:cs="Times New Roman"/>
          <w:sz w:val="28"/>
          <w:szCs w:val="28"/>
          <w:highlight w:val="none"/>
          <w:lang w:eastAsia="zh-CN"/>
        </w:rPr>
        <w:t>有权要求</w:t>
      </w:r>
      <w:r>
        <w:rPr>
          <w:rFonts w:hint="default" w:ascii="Times New Roman" w:hAnsi="Times New Roman" w:eastAsia="仿宋_GB2312" w:cs="Times New Roman"/>
          <w:sz w:val="28"/>
          <w:szCs w:val="28"/>
          <w:highlight w:val="none"/>
        </w:rPr>
        <w:t>乙方</w:t>
      </w:r>
      <w:r>
        <w:rPr>
          <w:rFonts w:hint="eastAsia" w:eastAsia="仿宋_GB2312" w:cs="Times New Roman"/>
          <w:sz w:val="28"/>
          <w:szCs w:val="28"/>
          <w:highlight w:val="none"/>
          <w:lang w:eastAsia="zh-CN"/>
        </w:rPr>
        <w:t>在指定期限内</w:t>
      </w:r>
      <w:r>
        <w:rPr>
          <w:rFonts w:hint="default" w:ascii="Times New Roman" w:hAnsi="Times New Roman" w:eastAsia="仿宋_GB2312" w:cs="Times New Roman"/>
          <w:sz w:val="28"/>
          <w:szCs w:val="28"/>
          <w:highlight w:val="none"/>
        </w:rPr>
        <w:t>整改</w:t>
      </w:r>
      <w:r>
        <w:rPr>
          <w:rFonts w:hint="eastAsia" w:eastAsia="仿宋_GB2312" w:cs="Times New Roman"/>
          <w:sz w:val="28"/>
          <w:szCs w:val="28"/>
          <w:highlight w:val="none"/>
          <w:lang w:eastAsia="zh-CN"/>
        </w:rPr>
        <w:t>，整改仍不合格的，</w:t>
      </w:r>
      <w:r>
        <w:rPr>
          <w:rFonts w:hint="default" w:ascii="Times New Roman" w:hAnsi="Times New Roman" w:eastAsia="仿宋_GB2312" w:cs="Times New Roman"/>
          <w:sz w:val="28"/>
          <w:szCs w:val="28"/>
          <w:highlight w:val="none"/>
        </w:rPr>
        <w:t>甲方</w:t>
      </w:r>
      <w:r>
        <w:rPr>
          <w:rFonts w:hint="eastAsia" w:eastAsia="仿宋_GB2312" w:cs="Times New Roman"/>
          <w:sz w:val="28"/>
          <w:szCs w:val="28"/>
          <w:highlight w:val="none"/>
          <w:lang w:eastAsia="zh-CN"/>
        </w:rPr>
        <w:t>有权按照本</w:t>
      </w:r>
      <w:r>
        <w:rPr>
          <w:rFonts w:hint="default" w:ascii="Times New Roman" w:hAnsi="Times New Roman" w:eastAsia="仿宋_GB2312" w:cs="Times New Roman"/>
          <w:sz w:val="28"/>
          <w:szCs w:val="28"/>
          <w:highlight w:val="none"/>
        </w:rPr>
        <w:t>合</w:t>
      </w:r>
      <w:r>
        <w:rPr>
          <w:rFonts w:hint="eastAsia" w:eastAsia="仿宋_GB2312" w:cs="Times New Roman"/>
          <w:sz w:val="28"/>
          <w:szCs w:val="28"/>
          <w:highlight w:val="none"/>
          <w:lang w:eastAsia="zh-CN"/>
        </w:rPr>
        <w:t>同第九条的约定追究</w:t>
      </w:r>
      <w:r>
        <w:rPr>
          <w:rFonts w:hint="default" w:ascii="Times New Roman" w:hAnsi="Times New Roman" w:eastAsia="仿宋_GB2312" w:cs="Times New Roman"/>
          <w:sz w:val="28"/>
          <w:szCs w:val="28"/>
          <w:highlight w:val="none"/>
        </w:rPr>
        <w:t>乙方违约</w:t>
      </w:r>
      <w:r>
        <w:rPr>
          <w:rFonts w:hint="eastAsia" w:eastAsia="仿宋_GB2312" w:cs="Times New Roman"/>
          <w:sz w:val="28"/>
          <w:szCs w:val="28"/>
          <w:highlight w:val="none"/>
          <w:lang w:eastAsia="zh-CN"/>
        </w:rPr>
        <w:t>责任</w:t>
      </w:r>
      <w:r>
        <w:rPr>
          <w:rFonts w:hint="default" w:ascii="Times New Roman" w:hAnsi="Times New Roman" w:eastAsia="仿宋_GB2312" w:cs="Times New Roman"/>
          <w:sz w:val="28"/>
          <w:szCs w:val="28"/>
          <w:highlight w:val="none"/>
        </w:rPr>
        <w:t>。</w:t>
      </w:r>
      <w:bookmarkEnd w:id="0"/>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甲方按本合同约定向乙方支付项目费用。</w:t>
      </w:r>
    </w:p>
    <w:p>
      <w:pPr>
        <w:keepNext w:val="0"/>
        <w:keepLines w:val="0"/>
        <w:pageBreakBefore w:val="0"/>
        <w:numPr>
          <w:ilvl w:val="0"/>
          <w:numId w:val="2"/>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甲方应及时进行验收。</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第五条  乙方的权利和义务</w:t>
      </w:r>
    </w:p>
    <w:p>
      <w:pPr>
        <w:pStyle w:val="15"/>
        <w:keepNext w:val="0"/>
        <w:keepLines w:val="0"/>
        <w:pageBreakBefore w:val="0"/>
        <w:numPr>
          <w:ilvl w:val="0"/>
          <w:numId w:val="3"/>
        </w:numPr>
        <w:kinsoku/>
        <w:wordWrap/>
        <w:overflowPunct/>
        <w:topLinePunct w:val="0"/>
        <w:bidi w:val="0"/>
        <w:spacing w:line="560" w:lineRule="exact"/>
        <w:ind w:firstLine="560"/>
        <w:rPr>
          <w:rFonts w:hint="eastAsia" w:ascii="仿宋_GB2312" w:hAnsi="仿宋_GB2312" w:cs="仿宋_GB2312"/>
          <w:sz w:val="28"/>
          <w:szCs w:val="28"/>
          <w:highlight w:val="none"/>
        </w:rPr>
      </w:pPr>
      <w:r>
        <w:rPr>
          <w:rFonts w:hint="eastAsia" w:ascii="仿宋_GB2312" w:hAnsi="仿宋_GB2312" w:cs="仿宋_GB2312"/>
          <w:sz w:val="28"/>
          <w:szCs w:val="28"/>
          <w:highlight w:val="none"/>
        </w:rPr>
        <w:t>乙方需按照甲方要求按时按质完成项目。</w:t>
      </w:r>
    </w:p>
    <w:p>
      <w:pPr>
        <w:pStyle w:val="15"/>
        <w:keepNext w:val="0"/>
        <w:keepLines w:val="0"/>
        <w:pageBreakBefore w:val="0"/>
        <w:numPr>
          <w:ilvl w:val="0"/>
          <w:numId w:val="3"/>
        </w:numPr>
        <w:kinsoku/>
        <w:wordWrap/>
        <w:overflowPunct/>
        <w:topLinePunct w:val="0"/>
        <w:bidi w:val="0"/>
        <w:spacing w:line="560" w:lineRule="exact"/>
        <w:ind w:firstLine="560"/>
        <w:rPr>
          <w:rFonts w:hint="eastAsia" w:ascii="仿宋_GB2312" w:hAnsi="仿宋_GB2312" w:cs="仿宋_GB2312"/>
          <w:sz w:val="28"/>
          <w:szCs w:val="28"/>
          <w:highlight w:val="none"/>
        </w:rPr>
      </w:pPr>
      <w:r>
        <w:rPr>
          <w:rFonts w:hint="eastAsia" w:ascii="仿宋_GB2312" w:hAnsi="仿宋_GB2312" w:cs="仿宋_GB2312"/>
          <w:sz w:val="28"/>
          <w:szCs w:val="28"/>
          <w:highlight w:val="none"/>
        </w:rPr>
        <w:t>乙方需保证甲方所提供的所有资料仅用于该项目，且未经甲方书面同意不得向甲方指定运营平台外的第三方泄露。</w:t>
      </w:r>
    </w:p>
    <w:p>
      <w:pPr>
        <w:pStyle w:val="15"/>
        <w:keepNext w:val="0"/>
        <w:keepLines w:val="0"/>
        <w:pageBreakBefore w:val="0"/>
        <w:numPr>
          <w:ilvl w:val="0"/>
          <w:numId w:val="3"/>
        </w:numPr>
        <w:kinsoku/>
        <w:wordWrap/>
        <w:overflowPunct/>
        <w:topLinePunct w:val="0"/>
        <w:bidi w:val="0"/>
        <w:adjustRightInd w:val="0"/>
        <w:snapToGrid w:val="0"/>
        <w:spacing w:line="56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根据甲方要求做出工作实施方案，并完成项目内容以及确保完成任务期间的人身安全、公私财产安全、交通安全等各项安全事宜及承担责任，若因乙方原因导致出现安全事故、安全责任等情况发生的，由乙方承担全部的</w:t>
      </w:r>
      <w:r>
        <w:rPr>
          <w:rFonts w:hint="eastAsia" w:eastAsia="仿宋_GB2312" w:cs="Times New Roman"/>
          <w:sz w:val="28"/>
          <w:szCs w:val="28"/>
          <w:highlight w:val="none"/>
          <w:lang w:eastAsia="zh-CN" w:bidi="ar"/>
        </w:rPr>
        <w:t>赔偿责任，赔偿范围包括但不限于甲方因此产生</w:t>
      </w:r>
      <w:r>
        <w:rPr>
          <w:rFonts w:hint="default" w:ascii="Times New Roman" w:hAnsi="Times New Roman" w:eastAsia="仿宋_GB2312" w:cs="Times New Roman"/>
          <w:sz w:val="28"/>
          <w:szCs w:val="28"/>
          <w:highlight w:val="none"/>
          <w:lang w:bidi="ar"/>
        </w:rPr>
        <w:t>的</w:t>
      </w:r>
      <w:r>
        <w:rPr>
          <w:rFonts w:hint="eastAsia" w:eastAsia="仿宋_GB2312" w:cs="Times New Roman"/>
          <w:sz w:val="28"/>
          <w:szCs w:val="28"/>
          <w:highlight w:val="none"/>
          <w:lang w:eastAsia="zh-CN" w:bidi="ar"/>
        </w:rPr>
        <w:t>直接损失、向第三方支付的</w:t>
      </w:r>
      <w:r>
        <w:rPr>
          <w:rFonts w:hint="default" w:ascii="Times New Roman" w:hAnsi="Times New Roman" w:eastAsia="仿宋_GB2312" w:cs="Times New Roman"/>
          <w:sz w:val="28"/>
          <w:szCs w:val="28"/>
          <w:highlight w:val="none"/>
          <w:lang w:bidi="ar"/>
        </w:rPr>
        <w:t>赔偿</w:t>
      </w:r>
      <w:r>
        <w:rPr>
          <w:rFonts w:hint="eastAsia" w:eastAsia="仿宋_GB2312" w:cs="Times New Roman"/>
          <w:sz w:val="28"/>
          <w:szCs w:val="28"/>
          <w:highlight w:val="none"/>
          <w:lang w:eastAsia="zh-CN" w:bidi="ar"/>
        </w:rPr>
        <w:t>款、律师费、诉讼费</w:t>
      </w:r>
      <w:r>
        <w:rPr>
          <w:rFonts w:hint="eastAsia" w:cs="Times New Roman"/>
          <w:sz w:val="28"/>
          <w:szCs w:val="28"/>
          <w:highlight w:val="none"/>
          <w:lang w:eastAsia="zh-CN" w:bidi="ar"/>
        </w:rPr>
        <w:t>、</w:t>
      </w:r>
      <w:r>
        <w:rPr>
          <w:rFonts w:hint="eastAsia" w:cs="Times New Roman"/>
          <w:sz w:val="28"/>
          <w:szCs w:val="28"/>
          <w:highlight w:val="none"/>
          <w:lang w:val="en-US" w:eastAsia="zh-CN" w:bidi="ar"/>
        </w:rPr>
        <w:t>鉴定费</w:t>
      </w:r>
      <w:r>
        <w:rPr>
          <w:rFonts w:hint="eastAsia" w:eastAsia="仿宋_GB2312" w:cs="Times New Roman"/>
          <w:sz w:val="28"/>
          <w:szCs w:val="28"/>
          <w:highlight w:val="none"/>
          <w:lang w:eastAsia="zh-CN" w:bidi="ar"/>
        </w:rPr>
        <w:t>等合理维权支出</w:t>
      </w:r>
      <w:r>
        <w:rPr>
          <w:rFonts w:hint="eastAsia" w:ascii="仿宋_GB2312" w:hAnsi="仿宋_GB2312" w:eastAsia="仿宋_GB2312" w:cs="仿宋_GB2312"/>
          <w:sz w:val="28"/>
          <w:szCs w:val="28"/>
          <w:highlight w:val="none"/>
          <w:lang w:bidi="ar"/>
        </w:rPr>
        <w:t>。</w:t>
      </w:r>
    </w:p>
    <w:p>
      <w:pPr>
        <w:pStyle w:val="15"/>
        <w:keepNext w:val="0"/>
        <w:keepLines w:val="0"/>
        <w:pageBreakBefore w:val="0"/>
        <w:numPr>
          <w:ilvl w:val="0"/>
          <w:numId w:val="3"/>
        </w:numPr>
        <w:kinsoku/>
        <w:wordWrap/>
        <w:overflowPunct/>
        <w:topLinePunct w:val="0"/>
        <w:bidi w:val="0"/>
        <w:adjustRightInd w:val="0"/>
        <w:snapToGrid w:val="0"/>
        <w:spacing w:line="56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项目在本合同履行过程中，非因乙方原因有可能致使合同履行失败或者部分失败的，乙方应在知晓该等事项之日起1个工作日内通知甲方，同时采取措施减少损失。</w:t>
      </w:r>
    </w:p>
    <w:p>
      <w:pPr>
        <w:pStyle w:val="15"/>
        <w:keepNext w:val="0"/>
        <w:keepLines w:val="0"/>
        <w:pageBreakBefore w:val="0"/>
        <w:numPr>
          <w:ilvl w:val="0"/>
          <w:numId w:val="3"/>
        </w:numPr>
        <w:kinsoku/>
        <w:wordWrap/>
        <w:overflowPunct/>
        <w:topLinePunct w:val="0"/>
        <w:bidi w:val="0"/>
        <w:spacing w:line="560" w:lineRule="exact"/>
        <w:ind w:firstLine="560"/>
        <w:rPr>
          <w:rFonts w:hint="eastAsia" w:ascii="仿宋_GB2312" w:hAnsi="仿宋_GB2312" w:cs="仿宋_GB2312"/>
          <w:sz w:val="28"/>
          <w:szCs w:val="28"/>
          <w:highlight w:val="none"/>
        </w:rPr>
      </w:pPr>
      <w:r>
        <w:rPr>
          <w:rFonts w:hint="eastAsia" w:ascii="仿宋_GB2312" w:hAnsi="仿宋_GB2312" w:eastAsia="仿宋_GB2312" w:cs="仿宋_GB2312"/>
          <w:sz w:val="28"/>
          <w:szCs w:val="28"/>
          <w:highlight w:val="none"/>
          <w:lang w:bidi="ar-SA"/>
        </w:rPr>
        <w:t>因乙方原因，致使合同全部或者部分不能履行的，乙方承担合同不能履行的全部风险及责任，甲方不予支付未履行部分的合同价款给乙方</w:t>
      </w:r>
      <w:r>
        <w:rPr>
          <w:rFonts w:hint="eastAsia" w:ascii="仿宋_GB2312" w:hAnsi="仿宋_GB2312" w:cs="仿宋_GB2312"/>
          <w:sz w:val="28"/>
          <w:szCs w:val="28"/>
          <w:highlight w:val="none"/>
        </w:rPr>
        <w:t>。</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第六条  保密条款</w:t>
      </w:r>
    </w:p>
    <w:p>
      <w:pPr>
        <w:pStyle w:val="2"/>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highlight w:val="none"/>
        </w:rPr>
      </w:pPr>
      <w:r>
        <w:rPr>
          <w:rFonts w:hint="eastAsia" w:ascii="仿宋_GB2312" w:hAnsi="仿宋_GB2312" w:cs="仿宋_GB2312"/>
          <w:sz w:val="28"/>
          <w:szCs w:val="28"/>
          <w:highlight w:val="none"/>
        </w:rPr>
        <w:t>（一）</w:t>
      </w:r>
      <w:r>
        <w:rPr>
          <w:rFonts w:hint="eastAsia" w:ascii="仿宋_GB2312" w:hAnsi="仿宋_GB2312" w:eastAsia="仿宋_GB2312" w:cs="仿宋_GB2312"/>
          <w:sz w:val="28"/>
          <w:szCs w:val="28"/>
          <w:highlight w:val="none"/>
        </w:rPr>
        <w:t>乙方必须对本项目实施过程中接触的甲方信息及资料（包括但不限于文件、图片、数据（含电子数据）、影音影像等）积极采取全面保密措施。乙方不得将上述保密内容提供给与任何第三方，不得将其用于履行本合同之外的其它用途，即使向与履行本合同有关的人员提供，乙方也应注意保密并限于履行合同所必需的范围。否则，乙方应独自承担一切责任。前述信息资料</w:t>
      </w:r>
      <w:r>
        <w:rPr>
          <w:rFonts w:hint="eastAsia" w:ascii="仿宋_GB2312" w:hAnsi="仿宋_GB2312" w:eastAsia="仿宋_GB2312" w:cs="仿宋_GB2312"/>
          <w:sz w:val="28"/>
          <w:szCs w:val="28"/>
          <w:highlight w:val="none"/>
          <w:lang w:val="zh-CN"/>
        </w:rPr>
        <w:t>均属于永久保密期限范围，均对乙方有约束力，不因合同的变更、解除、终止而终止</w:t>
      </w:r>
      <w:r>
        <w:rPr>
          <w:rFonts w:hint="eastAsia" w:ascii="仿宋_GB2312" w:hAnsi="仿宋_GB2312" w:cs="仿宋_GB2312"/>
          <w:sz w:val="28"/>
          <w:szCs w:val="28"/>
          <w:highlight w:val="none"/>
        </w:rPr>
        <w:t>；</w:t>
      </w:r>
    </w:p>
    <w:p>
      <w:pPr>
        <w:pStyle w:val="2"/>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highlight w:val="none"/>
        </w:rPr>
      </w:pPr>
      <w:r>
        <w:rPr>
          <w:rFonts w:hint="eastAsia" w:ascii="仿宋_GB2312" w:hAnsi="仿宋_GB2312" w:cs="仿宋_GB2312"/>
          <w:sz w:val="28"/>
          <w:szCs w:val="28"/>
          <w:highlight w:val="none"/>
        </w:rPr>
        <w:t>（二）乙方违反上述保密约定应向甲方按本合同价款总额的20%支付违约金并赔偿甲方因此造成的全部经济损失（包括但不限于甲方因此产生的律师费、诉讼费、调查费、差旅费、赔偿款等）。</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第七条  不可抗力</w:t>
      </w:r>
    </w:p>
    <w:p>
      <w:pPr>
        <w:keepNext w:val="0"/>
        <w:keepLines w:val="0"/>
        <w:pageBreakBefore w:val="0"/>
        <w:numPr>
          <w:ilvl w:val="0"/>
          <w:numId w:val="4"/>
        </w:numPr>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甲、乙双方任何一方由于不可抗力原因（指任何不可预见、不可避免并且不能克服的客观情况，包括但不限于自然灾害、爆炸、火灾、水灾、战争、暴动、暴乱和流行病以及行政措施和命令）不能履行合同时，应及时通报另一方不能履行或不能完全履行的理由，以减轻可能给各方造成的损失，在取得有关机构证明后，允许延期履行、部分履行或不履行合同，并根据情况可部分或全部免予承担违约责任。</w:t>
      </w:r>
    </w:p>
    <w:p>
      <w:pPr>
        <w:keepNext w:val="0"/>
        <w:keepLines w:val="0"/>
        <w:pageBreakBefore w:val="0"/>
        <w:numPr>
          <w:ilvl w:val="0"/>
          <w:numId w:val="4"/>
        </w:numPr>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受到不可抗力影响的一方，应尽可能地采取合理的行为和适当的措施减轻不可抗力对本合同的履行所造成的影响。没有采取适当措施致使损失扩大的，该方不得就扩大损失的部分要求免责或赔偿。</w:t>
      </w:r>
    </w:p>
    <w:p>
      <w:pPr>
        <w:keepNext w:val="0"/>
        <w:keepLines w:val="0"/>
        <w:pageBreakBefore w:val="0"/>
        <w:numPr>
          <w:ilvl w:val="0"/>
          <w:numId w:val="4"/>
        </w:numPr>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一旦不可抗力已经停止，受影响的一方应及时通知另一方，且应恢复履行本合同项下的义务。但如不可抗力事件持续超过30天，另一方有权终止合同，双方在不可抗力影响的范围内均无须承担任何法律责任（清付应缴未缴的款项的责任</w:t>
      </w:r>
      <w:r>
        <w:rPr>
          <w:rFonts w:hint="eastAsia" w:ascii="仿宋_GB2312" w:hAnsi="仿宋_GB2312" w:cs="仿宋_GB2312"/>
          <w:sz w:val="28"/>
          <w:szCs w:val="28"/>
          <w:highlight w:val="none"/>
          <w:lang w:val="en-US" w:eastAsia="zh-CN"/>
        </w:rPr>
        <w:t>或者退还未能提供服务的相应款项的责任</w:t>
      </w:r>
      <w:r>
        <w:rPr>
          <w:rFonts w:hint="eastAsia" w:ascii="仿宋_GB2312" w:hAnsi="仿宋_GB2312" w:cs="仿宋_GB2312"/>
          <w:sz w:val="28"/>
          <w:szCs w:val="28"/>
          <w:highlight w:val="none"/>
        </w:rPr>
        <w:t>除外）。</w:t>
      </w:r>
    </w:p>
    <w:p>
      <w:pPr>
        <w:pStyle w:val="2"/>
        <w:keepNext w:val="0"/>
        <w:keepLines w:val="0"/>
        <w:pageBreakBefore w:val="0"/>
        <w:kinsoku/>
        <w:wordWrap/>
        <w:overflowPunct/>
        <w:topLinePunct w:val="0"/>
        <w:bidi w:val="0"/>
        <w:spacing w:line="560" w:lineRule="exact"/>
        <w:ind w:firstLine="0" w:firstLineChars="0"/>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第八条  知识产权</w:t>
      </w:r>
    </w:p>
    <w:p>
      <w:pPr>
        <w:pStyle w:val="2"/>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highlight w:val="none"/>
        </w:rPr>
      </w:pPr>
      <w:r>
        <w:rPr>
          <w:rFonts w:hint="eastAsia" w:ascii="仿宋_GB2312" w:hAnsi="仿宋_GB2312" w:cs="仿宋_GB2312"/>
          <w:sz w:val="28"/>
          <w:szCs w:val="28"/>
          <w:highlight w:val="none"/>
        </w:rPr>
        <w:t>（一）乙方在项目实施过程中不得侵犯第三人知识产权以及其他权益。需要使用第三人知识产权的，乙方应取得权利人许可或者授权并由乙方承担费用。</w:t>
      </w:r>
      <w:r>
        <w:rPr>
          <w:rFonts w:hint="eastAsia" w:ascii="仿宋_GB2312" w:hAnsi="仿宋_GB2312" w:eastAsia="仿宋_GB2312" w:cs="仿宋_GB2312"/>
          <w:sz w:val="28"/>
          <w:szCs w:val="28"/>
          <w:highlight w:val="none"/>
        </w:rPr>
        <w:t>如因第三方提出其专利权、商标权或其他知识产权的侵权之诉，则一切法律责任由乙方承担（包括但不限于律师费、诉讼费、赔偿款、调查费、差旅费等）。</w:t>
      </w:r>
    </w:p>
    <w:p>
      <w:pPr>
        <w:pStyle w:val="2"/>
        <w:keepNext w:val="0"/>
        <w:keepLines w:val="0"/>
        <w:pageBreakBefore w:val="0"/>
        <w:kinsoku/>
        <w:wordWrap/>
        <w:overflowPunct/>
        <w:topLinePunct w:val="0"/>
        <w:bidi w:val="0"/>
        <w:spacing w:line="560" w:lineRule="exact"/>
        <w:ind w:firstLine="560"/>
        <w:rPr>
          <w:rFonts w:hint="eastAsia" w:ascii="仿宋_GB2312" w:hAnsi="仿宋_GB2312" w:cs="仿宋_GB2312"/>
          <w:sz w:val="28"/>
          <w:szCs w:val="28"/>
          <w:highlight w:val="none"/>
        </w:rPr>
      </w:pPr>
      <w:r>
        <w:rPr>
          <w:rFonts w:hint="eastAsia" w:ascii="仿宋_GB2312" w:hAnsi="仿宋_GB2312" w:cs="仿宋_GB2312"/>
          <w:sz w:val="28"/>
          <w:szCs w:val="28"/>
          <w:highlight w:val="none"/>
        </w:rPr>
        <w:t>（二）</w:t>
      </w:r>
      <w:r>
        <w:rPr>
          <w:rFonts w:hint="eastAsia" w:ascii="仿宋_GB2312" w:hAnsi="仿宋_GB2312" w:eastAsia="仿宋_GB2312" w:cs="仿宋_GB2312"/>
          <w:sz w:val="28"/>
          <w:szCs w:val="28"/>
          <w:highlight w:val="none"/>
        </w:rPr>
        <w:t>乙方根据本合同向甲方提供的资料及其所包含的图形、图片、文字</w:t>
      </w:r>
      <w:r>
        <w:rPr>
          <w:rFonts w:hint="eastAsia" w:ascii="仿宋_GB2312" w:hAnsi="仿宋_GB2312" w:cs="仿宋_GB2312"/>
          <w:sz w:val="28"/>
          <w:szCs w:val="28"/>
          <w:highlight w:val="none"/>
          <w:lang w:eastAsia="zh-CN"/>
        </w:rPr>
        <w:t>、</w:t>
      </w:r>
      <w:r>
        <w:rPr>
          <w:rFonts w:hint="eastAsia" w:ascii="仿宋_GB2312" w:hAnsi="仿宋_GB2312" w:cs="仿宋_GB2312"/>
          <w:sz w:val="28"/>
          <w:szCs w:val="28"/>
          <w:highlight w:val="none"/>
          <w:lang w:val="en-US" w:eastAsia="zh-CN"/>
        </w:rPr>
        <w:t>数据、表格</w:t>
      </w:r>
      <w:r>
        <w:rPr>
          <w:rFonts w:hint="eastAsia" w:ascii="仿宋_GB2312" w:hAnsi="仿宋_GB2312" w:eastAsia="仿宋_GB2312" w:cs="仿宋_GB2312"/>
          <w:sz w:val="28"/>
          <w:szCs w:val="28"/>
          <w:highlight w:val="none"/>
        </w:rPr>
        <w:t>等素材以及因本合同产生的作品（包括但不限于任何图案、图像、文字</w:t>
      </w:r>
      <w:r>
        <w:rPr>
          <w:rFonts w:hint="eastAsia" w:ascii="仿宋_GB2312" w:hAnsi="仿宋_GB2312" w:cs="仿宋_GB2312"/>
          <w:sz w:val="28"/>
          <w:szCs w:val="28"/>
          <w:highlight w:val="none"/>
          <w:lang w:eastAsia="zh-CN"/>
        </w:rPr>
        <w:t>、</w:t>
      </w:r>
      <w:r>
        <w:rPr>
          <w:rFonts w:hint="eastAsia" w:ascii="仿宋_GB2312" w:hAnsi="仿宋_GB2312" w:cs="仿宋_GB2312"/>
          <w:sz w:val="28"/>
          <w:szCs w:val="28"/>
          <w:highlight w:val="none"/>
          <w:lang w:val="en-US" w:eastAsia="zh-CN"/>
        </w:rPr>
        <w:t>数据、表格</w:t>
      </w:r>
      <w:r>
        <w:rPr>
          <w:rFonts w:hint="eastAsia" w:ascii="仿宋_GB2312" w:hAnsi="仿宋_GB2312" w:eastAsia="仿宋_GB2312" w:cs="仿宋_GB2312"/>
          <w:sz w:val="28"/>
          <w:szCs w:val="28"/>
          <w:highlight w:val="none"/>
        </w:rPr>
        <w:t>等），其知识产权和其他权益均归甲方所有</w:t>
      </w:r>
      <w:r>
        <w:rPr>
          <w:rFonts w:hint="eastAsia" w:ascii="仿宋_GB2312" w:hAnsi="仿宋_GB2312" w:cs="仿宋_GB2312"/>
          <w:sz w:val="28"/>
          <w:szCs w:val="28"/>
          <w:highlight w:val="none"/>
        </w:rPr>
        <w:t>，未经甲方事先书面许可乙方不得为本合同之外的任何目的、以任何形式自行使用或擅自许可任何第三方使用。</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第九条  违约责任</w:t>
      </w:r>
    </w:p>
    <w:p>
      <w:pPr>
        <w:keepNext w:val="0"/>
        <w:keepLines w:val="0"/>
        <w:pageBreakBefore w:val="0"/>
        <w:numPr>
          <w:ilvl w:val="0"/>
          <w:numId w:val="5"/>
        </w:numPr>
        <w:kinsoku/>
        <w:wordWrap/>
        <w:overflowPunct/>
        <w:topLinePunct w:val="0"/>
        <w:bidi w:val="0"/>
        <w:spacing w:line="560" w:lineRule="exact"/>
        <w:outlineLvl w:val="0"/>
        <w:rPr>
          <w:rFonts w:hint="eastAsia" w:ascii="仿宋_GB2312" w:hAnsi="仿宋_GB2312" w:cs="仿宋_GB2312"/>
          <w:sz w:val="28"/>
          <w:szCs w:val="28"/>
          <w:highlight w:val="none"/>
        </w:rPr>
      </w:pPr>
      <w:r>
        <w:rPr>
          <w:rFonts w:hint="eastAsia" w:ascii="仿宋_GB2312" w:hAnsi="仿宋_GB2312" w:cs="仿宋_GB2312"/>
          <w:sz w:val="28"/>
          <w:szCs w:val="28"/>
          <w:highlight w:val="none"/>
        </w:rPr>
        <w:t>甲方的违约责任：</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甲方未按本合同约定向乙方支付款项的，乙方有权要求甲方按照逾期支付款项的日万分之一向乙方支付违约金，但因乙方自身原因造成的除外。</w:t>
      </w:r>
    </w:p>
    <w:p>
      <w:pPr>
        <w:keepNext w:val="0"/>
        <w:keepLines w:val="0"/>
        <w:pageBreakBefore w:val="0"/>
        <w:numPr>
          <w:ilvl w:val="0"/>
          <w:numId w:val="5"/>
        </w:numPr>
        <w:kinsoku/>
        <w:wordWrap/>
        <w:overflowPunct/>
        <w:topLinePunct w:val="0"/>
        <w:bidi w:val="0"/>
        <w:spacing w:line="560" w:lineRule="exact"/>
        <w:outlineLvl w:val="0"/>
        <w:rPr>
          <w:rFonts w:hint="eastAsia" w:ascii="仿宋_GB2312" w:hAnsi="仿宋_GB2312" w:cs="仿宋_GB2312"/>
          <w:sz w:val="28"/>
          <w:szCs w:val="28"/>
          <w:highlight w:val="none"/>
        </w:rPr>
      </w:pPr>
      <w:r>
        <w:rPr>
          <w:rFonts w:hint="eastAsia" w:ascii="仿宋_GB2312" w:hAnsi="仿宋_GB2312" w:cs="仿宋_GB2312"/>
          <w:sz w:val="28"/>
          <w:szCs w:val="28"/>
          <w:highlight w:val="none"/>
        </w:rPr>
        <w:t>乙方的违约责任：</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1.乙方未按照合同约定及时提交项目成果性文件或逾期完成项目工作的，从逾期之日起，甲方有权要求乙方按本</w:t>
      </w:r>
      <w:r>
        <w:rPr>
          <w:rFonts w:hint="eastAsia" w:ascii="仿宋_GB2312" w:hAnsi="仿宋_GB2312" w:cs="仿宋_GB2312"/>
          <w:sz w:val="28"/>
          <w:szCs w:val="28"/>
          <w:highlight w:val="none"/>
        </w:rPr>
        <w:t>合同</w:t>
      </w:r>
      <w:r>
        <w:rPr>
          <w:rFonts w:hint="eastAsia" w:ascii="仿宋_GB2312" w:hAnsi="仿宋_GB2312" w:eastAsia="仿宋_GB2312" w:cs="仿宋_GB2312"/>
          <w:sz w:val="28"/>
          <w:szCs w:val="28"/>
          <w:highlight w:val="none"/>
        </w:rPr>
        <w:t>项目总费用的日千分之一向甲方支付违约金直到乙方提交或者完成之日止。</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乙方发生以下情况的，甲方有权单方解除本合同、另行委托第三方提供服务或协助乙方，因此产生的费用由乙方全部承担，解除的通知自到达乙方之日起即生效；另，甲方有权扣减掉“甲方认为乙方提供符合要求的服务费用”后要求乙方在合同解除之日起三个工作日内将已收取款项剩余部分金额给甲方（乙方已经开具发票所产生的税费损失由乙方自行承担），也有权要求乙方支付</w:t>
      </w:r>
      <w:r>
        <w:rPr>
          <w:rFonts w:hint="eastAsia" w:ascii="仿宋_GB2312" w:hAnsi="仿宋_GB2312" w:cs="仿宋_GB2312"/>
          <w:sz w:val="28"/>
          <w:szCs w:val="28"/>
          <w:highlight w:val="none"/>
        </w:rPr>
        <w:t>本合同项目总费用</w:t>
      </w:r>
      <w:r>
        <w:rPr>
          <w:rFonts w:hint="eastAsia" w:ascii="仿宋_GB2312" w:hAnsi="仿宋_GB2312" w:eastAsia="仿宋_GB2312" w:cs="仿宋_GB2312"/>
          <w:sz w:val="28"/>
          <w:szCs w:val="28"/>
          <w:highlight w:val="none"/>
        </w:rPr>
        <w:t>20％的违约金给甲方：</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（1）乙方逾期提交项目成果性文件或者逾期完成项目工作超过15日以上的；</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（2）乙方因自身原因不能提供服务（不包括本条第1点的情形）或提供的服务质量不符合本合同约定以及相关法律法规规定的；</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eastAsia="仿宋_GB2312" w:cs="仿宋_GB2312"/>
          <w:sz w:val="28"/>
          <w:szCs w:val="28"/>
          <w:highlight w:val="none"/>
        </w:rPr>
        <w:t>（3）未经甲方同意，乙方将本合同项目部分或全部技术服务工作转让第三人负责的</w:t>
      </w:r>
      <w:r>
        <w:rPr>
          <w:rFonts w:hint="eastAsia" w:ascii="仿宋_GB2312" w:hAnsi="仿宋_GB2312" w:cs="仿宋_GB2312"/>
          <w:sz w:val="28"/>
          <w:szCs w:val="28"/>
          <w:highlight w:val="none"/>
        </w:rPr>
        <w:t>。</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val="0"/>
          <w:sz w:val="28"/>
          <w:szCs w:val="28"/>
          <w:highlight w:val="none"/>
        </w:rPr>
        <w:t>第十条  双方确定，出现下列情形，致使本合同的履行成为不必要或不能的，可以解除本合同：</w:t>
      </w:r>
    </w:p>
    <w:p>
      <w:pPr>
        <w:keepNext w:val="0"/>
        <w:keepLines w:val="0"/>
        <w:pageBreakBefore w:val="0"/>
        <w:numPr>
          <w:ilvl w:val="0"/>
          <w:numId w:val="6"/>
        </w:numPr>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发生不可抗力。</w:t>
      </w:r>
    </w:p>
    <w:p>
      <w:pPr>
        <w:keepNext w:val="0"/>
        <w:keepLines w:val="0"/>
        <w:pageBreakBefore w:val="0"/>
        <w:numPr>
          <w:ilvl w:val="0"/>
          <w:numId w:val="6"/>
        </w:numPr>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因一方违约使合同不能继续履行或没有必要继续履行。</w:t>
      </w:r>
    </w:p>
    <w:p>
      <w:pPr>
        <w:keepNext w:val="0"/>
        <w:keepLines w:val="0"/>
        <w:pageBreakBefore w:val="0"/>
        <w:numPr>
          <w:ilvl w:val="0"/>
          <w:numId w:val="6"/>
        </w:numPr>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出现法律法规或国家政策规定等特定情形导致合同不能继续履行。</w:t>
      </w:r>
    </w:p>
    <w:p>
      <w:pPr>
        <w:keepNext w:val="0"/>
        <w:keepLines w:val="0"/>
        <w:pageBreakBefore w:val="0"/>
        <w:kinsoku/>
        <w:wordWrap/>
        <w:overflowPunct/>
        <w:topLinePunct w:val="0"/>
        <w:bidi w:val="0"/>
        <w:spacing w:line="560" w:lineRule="exact"/>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第十一条  争议的解决办法</w:t>
      </w:r>
    </w:p>
    <w:p>
      <w:pPr>
        <w:keepNext w:val="0"/>
        <w:keepLines w:val="0"/>
        <w:pageBreakBefore w:val="0"/>
        <w:numPr>
          <w:ilvl w:val="255"/>
          <w:numId w:val="0"/>
        </w:numPr>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本合同在履行过程中发生的争议，由当事人双方协商解决。协商不成的，合同双方任意一方均可向甲方所在地有管辖权的人民法院提起诉讼处理。</w:t>
      </w:r>
    </w:p>
    <w:p>
      <w:pPr>
        <w:keepNext w:val="0"/>
        <w:keepLines w:val="0"/>
        <w:pageBreakBefore w:val="0"/>
        <w:kinsoku/>
        <w:wordWrap/>
        <w:overflowPunct/>
        <w:topLinePunct w:val="0"/>
        <w:bidi w:val="0"/>
        <w:spacing w:line="560" w:lineRule="exact"/>
        <w:jc w:val="both"/>
        <w:rPr>
          <w:rFonts w:hint="eastAsia" w:ascii="仿宋_GB2312" w:hAnsi="仿宋_GB2312" w:eastAsia="仿宋_GB2312" w:cs="仿宋_GB2312"/>
          <w:b/>
          <w:bCs w:val="0"/>
          <w:sz w:val="28"/>
          <w:szCs w:val="28"/>
          <w:highlight w:val="none"/>
        </w:rPr>
      </w:pPr>
      <w:r>
        <w:rPr>
          <w:rFonts w:hint="eastAsia" w:ascii="仿宋_GB2312" w:hAnsi="仿宋_GB2312" w:eastAsia="仿宋_GB2312" w:cs="仿宋_GB2312"/>
          <w:b/>
          <w:bCs w:val="0"/>
          <w:sz w:val="28"/>
          <w:szCs w:val="28"/>
          <w:highlight w:val="none"/>
        </w:rPr>
        <w:t>第十二条  其他</w:t>
      </w:r>
    </w:p>
    <w:p>
      <w:pPr>
        <w:keepNext w:val="0"/>
        <w:keepLines w:val="0"/>
        <w:pageBreakBefore w:val="0"/>
        <w:numPr>
          <w:ilvl w:val="0"/>
          <w:numId w:val="7"/>
        </w:numPr>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合同如有未尽事宜，可以经甲、乙双方另行协商形成书面补充协议，书面补充协议经双方签字、盖章后生效。</w:t>
      </w:r>
    </w:p>
    <w:p>
      <w:pPr>
        <w:keepNext w:val="0"/>
        <w:keepLines w:val="0"/>
        <w:pageBreakBefore w:val="0"/>
        <w:numPr>
          <w:ilvl w:val="0"/>
          <w:numId w:val="7"/>
        </w:numPr>
        <w:kinsoku/>
        <w:wordWrap/>
        <w:overflowPunct/>
        <w:topLinePunct w:val="0"/>
        <w:bidi w:val="0"/>
        <w:spacing w:line="560" w:lineRule="exact"/>
        <w:ind w:firstLine="420"/>
        <w:rPr>
          <w:rFonts w:hint="eastAsia" w:ascii="仿宋_GB2312" w:hAnsi="仿宋_GB2312" w:cs="仿宋_GB2312"/>
          <w:sz w:val="28"/>
          <w:szCs w:val="28"/>
          <w:highlight w:val="none"/>
        </w:rPr>
      </w:pPr>
      <w:r>
        <w:rPr>
          <w:rFonts w:hint="eastAsia" w:ascii="仿宋_GB2312" w:hAnsi="仿宋_GB2312" w:eastAsia="仿宋_GB2312" w:cs="仿宋_GB2312"/>
          <w:sz w:val="28"/>
          <w:szCs w:val="28"/>
          <w:highlight w:val="none"/>
          <w:lang w:bidi="ar-SA"/>
        </w:rPr>
        <w:t>甲、乙双方在本协议履行过程中提供给对方的任一地址（包括但不限于注册经营地址、身份证户籍地址、实际经营地址、居住地址等）和联系方式（包括但不限于甲、乙双方指定的联系人手机号码、微信号、电子邮件等）为合同对方或者司法机关等文件有效的送达地址，文件一经到达或退回或拒收即视为送达。一方如有变更，应在变更前3个工作日内通知对方，否则，视为未变更</w:t>
      </w:r>
      <w:r>
        <w:rPr>
          <w:rFonts w:hint="eastAsia" w:ascii="仿宋_GB2312" w:hAnsi="仿宋_GB2312" w:cs="仿宋_GB2312"/>
          <w:sz w:val="28"/>
          <w:szCs w:val="28"/>
          <w:highlight w:val="none"/>
        </w:rPr>
        <w:t>。</w:t>
      </w:r>
    </w:p>
    <w:p>
      <w:pPr>
        <w:keepNext w:val="0"/>
        <w:keepLines w:val="0"/>
        <w:pageBreakBefore w:val="0"/>
        <w:numPr>
          <w:ilvl w:val="0"/>
          <w:numId w:val="7"/>
        </w:numPr>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本合同一式肆份，自双方签字和盖章后生效。甲方执叁份、乙方执壹份，具有同等法律效力。</w:t>
      </w:r>
    </w:p>
    <w:p>
      <w:pPr>
        <w:pStyle w:val="9"/>
        <w:keepNext w:val="0"/>
        <w:keepLines w:val="0"/>
        <w:pageBreakBefore w:val="0"/>
        <w:numPr>
          <w:ilvl w:val="0"/>
          <w:numId w:val="7"/>
        </w:numPr>
        <w:kinsoku/>
        <w:wordWrap/>
        <w:overflowPunct/>
        <w:topLinePunct w:val="0"/>
        <w:bidi w:val="0"/>
        <w:spacing w:line="560" w:lineRule="exact"/>
        <w:ind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以下为本合同附件，与本合同具有同等效力：</w:t>
      </w:r>
    </w:p>
    <w:p>
      <w:pPr>
        <w:pStyle w:val="9"/>
        <w:keepNext w:val="0"/>
        <w:keepLines w:val="0"/>
        <w:pageBreakBefore w:val="0"/>
        <w:numPr>
          <w:ilvl w:val="0"/>
          <w:numId w:val="8"/>
        </w:numPr>
        <w:kinsoku/>
        <w:wordWrap/>
        <w:overflowPunct/>
        <w:topLinePunct w:val="0"/>
        <w:bidi w:val="0"/>
        <w:spacing w:line="560" w:lineRule="exact"/>
        <w:ind w:firstLine="608"/>
        <w:outlineLvl w:val="1"/>
        <w:rPr>
          <w:rFonts w:hint="eastAsia" w:ascii="仿宋_GB2312" w:hAnsi="仿宋_GB2312" w:cs="仿宋_GB2312"/>
          <w:sz w:val="28"/>
          <w:szCs w:val="28"/>
          <w:highlight w:val="none"/>
        </w:rPr>
      </w:pPr>
      <w:r>
        <w:rPr>
          <w:rFonts w:hint="eastAsia" w:ascii="仿宋_GB2312" w:hAnsi="仿宋_GB2312" w:cs="仿宋_GB2312"/>
          <w:sz w:val="28"/>
          <w:szCs w:val="28"/>
          <w:highlight w:val="none"/>
        </w:rPr>
        <w:t>江门市市场监督管理局购买招标采购服务</w:t>
      </w:r>
      <w:r>
        <w:rPr>
          <w:rFonts w:hint="eastAsia" w:ascii="仿宋_GB2312" w:hAnsi="仿宋_GB2312" w:cs="仿宋_GB2312"/>
          <w:sz w:val="28"/>
          <w:szCs w:val="28"/>
          <w:highlight w:val="none"/>
          <w:lang w:eastAsia="zh-CN"/>
        </w:rPr>
        <w:t>（重招）</w:t>
      </w:r>
      <w:r>
        <w:rPr>
          <w:rFonts w:hint="eastAsia" w:ascii="仿宋_GB2312" w:hAnsi="仿宋_GB2312" w:cs="仿宋_GB2312"/>
          <w:sz w:val="28"/>
          <w:szCs w:val="28"/>
          <w:highlight w:val="none"/>
        </w:rPr>
        <w:t>项目采购公告；</w:t>
      </w:r>
    </w:p>
    <w:p>
      <w:pPr>
        <w:pStyle w:val="9"/>
        <w:keepNext w:val="0"/>
        <w:keepLines w:val="0"/>
        <w:pageBreakBefore w:val="0"/>
        <w:numPr>
          <w:ilvl w:val="0"/>
          <w:numId w:val="8"/>
        </w:numPr>
        <w:kinsoku/>
        <w:wordWrap/>
        <w:overflowPunct/>
        <w:topLinePunct w:val="0"/>
        <w:bidi w:val="0"/>
        <w:spacing w:line="560" w:lineRule="exact"/>
        <w:ind w:firstLine="608"/>
        <w:outlineLvl w:val="1"/>
        <w:rPr>
          <w:rFonts w:hint="eastAsia" w:ascii="仿宋_GB2312" w:hAnsi="仿宋_GB2312" w:cs="仿宋_GB2312"/>
          <w:sz w:val="28"/>
          <w:szCs w:val="28"/>
          <w:highlight w:val="none"/>
        </w:rPr>
      </w:pPr>
      <w:r>
        <w:rPr>
          <w:rFonts w:hint="eastAsia" w:ascii="仿宋_GB2312" w:hAnsi="仿宋_GB2312" w:cs="仿宋_GB2312"/>
          <w:sz w:val="28"/>
          <w:szCs w:val="28"/>
          <w:highlight w:val="none"/>
        </w:rPr>
        <w:t>江门市市场监督管理局相关项目采购结果公告；</w:t>
      </w:r>
    </w:p>
    <w:p>
      <w:pPr>
        <w:pStyle w:val="9"/>
        <w:keepNext w:val="0"/>
        <w:keepLines w:val="0"/>
        <w:pageBreakBefore w:val="0"/>
        <w:numPr>
          <w:ilvl w:val="0"/>
          <w:numId w:val="8"/>
        </w:numPr>
        <w:kinsoku/>
        <w:wordWrap/>
        <w:overflowPunct/>
        <w:topLinePunct w:val="0"/>
        <w:bidi w:val="0"/>
        <w:spacing w:line="560" w:lineRule="exact"/>
        <w:ind w:firstLine="608"/>
        <w:outlineLvl w:val="1"/>
        <w:rPr>
          <w:rFonts w:hint="eastAsia" w:ascii="仿宋_GB2312" w:hAnsi="仿宋_GB2312" w:cs="仿宋_GB2312"/>
          <w:sz w:val="28"/>
          <w:szCs w:val="28"/>
          <w:highlight w:val="none"/>
        </w:rPr>
      </w:pPr>
      <w:r>
        <w:rPr>
          <w:rFonts w:hint="eastAsia" w:ascii="仿宋_GB2312" w:hAnsi="仿宋_GB2312" w:cs="仿宋_GB2312"/>
          <w:sz w:val="28"/>
          <w:szCs w:val="28"/>
          <w:highlight w:val="none"/>
        </w:rPr>
        <w:t>其他附件及补充合同等资料。</w:t>
      </w:r>
    </w:p>
    <w:p>
      <w:pPr>
        <w:keepNext w:val="0"/>
        <w:keepLines w:val="0"/>
        <w:pageBreakBefore w:val="0"/>
        <w:kinsoku/>
        <w:wordWrap/>
        <w:overflowPunct/>
        <w:topLinePunct w:val="0"/>
        <w:bidi w:val="0"/>
        <w:spacing w:before="156" w:beforeLines="50"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（以下无正文）</w:t>
      </w:r>
    </w:p>
    <w:p>
      <w:pPr>
        <w:pStyle w:val="9"/>
        <w:keepNext w:val="0"/>
        <w:keepLines w:val="0"/>
        <w:pageBreakBefore w:val="0"/>
        <w:kinsoku/>
        <w:wordWrap/>
        <w:overflowPunct/>
        <w:topLinePunct w:val="0"/>
        <w:bidi w:val="0"/>
        <w:spacing w:line="560" w:lineRule="exact"/>
        <w:ind w:firstLine="608"/>
        <w:rPr>
          <w:rFonts w:hint="eastAsia" w:ascii="仿宋_GB2312" w:hAnsi="仿宋_GB2312" w:cs="仿宋_GB2312"/>
          <w:sz w:val="28"/>
          <w:szCs w:val="28"/>
          <w:highlight w:val="none"/>
        </w:rPr>
      </w:pPr>
    </w:p>
    <w:p>
      <w:pPr>
        <w:keepNext w:val="0"/>
        <w:keepLines w:val="0"/>
        <w:pageBreakBefore w:val="0"/>
        <w:kinsoku/>
        <w:wordWrap/>
        <w:overflowPunct/>
        <w:topLinePunct w:val="0"/>
        <w:bidi w:val="0"/>
        <w:spacing w:line="560" w:lineRule="exact"/>
        <w:ind w:firstLine="562" w:firstLineChars="200"/>
        <w:outlineLvl w:val="0"/>
        <w:rPr>
          <w:rFonts w:hint="eastAsia" w:ascii="仿宋_GB2312" w:hAnsi="仿宋_GB2312" w:cs="仿宋_GB2312"/>
          <w:sz w:val="28"/>
          <w:szCs w:val="28"/>
          <w:highlight w:val="none"/>
        </w:rPr>
      </w:pPr>
      <w:r>
        <w:rPr>
          <w:rFonts w:hint="eastAsia" w:ascii="仿宋_GB2312" w:hAnsi="仿宋_GB2312" w:cs="仿宋_GB2312"/>
          <w:b/>
          <w:bCs/>
          <w:sz w:val="28"/>
          <w:szCs w:val="28"/>
          <w:highlight w:val="none"/>
        </w:rPr>
        <w:t>甲方</w:t>
      </w:r>
      <w:r>
        <w:rPr>
          <w:rFonts w:hint="eastAsia" w:ascii="仿宋_GB2312" w:hAnsi="仿宋_GB2312" w:cs="仿宋_GB2312"/>
          <w:sz w:val="28"/>
          <w:szCs w:val="28"/>
          <w:highlight w:val="none"/>
        </w:rPr>
        <w:t xml:space="preserve">：江门市市场监督管理局  </w:t>
      </w:r>
    </w:p>
    <w:p>
      <w:pPr>
        <w:keepNext w:val="0"/>
        <w:keepLines w:val="0"/>
        <w:pageBreakBefore w:val="0"/>
        <w:kinsoku/>
        <w:wordWrap/>
        <w:overflowPunct/>
        <w:topLinePunct w:val="0"/>
        <w:bidi w:val="0"/>
        <w:spacing w:line="560" w:lineRule="exact"/>
        <w:ind w:firstLine="2240" w:firstLineChars="800"/>
        <w:rPr>
          <w:rFonts w:hint="eastAsia" w:ascii="仿宋_GB2312" w:hAnsi="仿宋_GB2312" w:cs="仿宋_GB2312"/>
          <w:sz w:val="28"/>
          <w:szCs w:val="28"/>
          <w:highlight w:val="none"/>
        </w:rPr>
      </w:pPr>
      <w:r>
        <w:rPr>
          <w:rFonts w:hint="eastAsia" w:ascii="仿宋_GB2312" w:hAnsi="仿宋_GB2312" w:cs="仿宋_GB2312"/>
          <w:sz w:val="28"/>
          <w:szCs w:val="28"/>
          <w:highlight w:val="none"/>
        </w:rPr>
        <w:t>（盖章）</w:t>
      </w:r>
    </w:p>
    <w:p>
      <w:pPr>
        <w:keepNext w:val="0"/>
        <w:keepLines w:val="0"/>
        <w:pageBreakBefore w:val="0"/>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 xml:space="preserve">法定代表人或授权委托人：（签字）    </w:t>
      </w:r>
    </w:p>
    <w:p>
      <w:pPr>
        <w:keepNext w:val="0"/>
        <w:keepLines w:val="0"/>
        <w:pageBreakBefore w:val="0"/>
        <w:kinsoku/>
        <w:wordWrap/>
        <w:overflowPunct/>
        <w:topLinePunct w:val="0"/>
        <w:bidi w:val="0"/>
        <w:spacing w:line="560" w:lineRule="exact"/>
        <w:ind w:firstLine="1960" w:firstLineChars="700"/>
        <w:rPr>
          <w:rFonts w:hint="eastAsia" w:ascii="仿宋_GB2312" w:hAnsi="仿宋_GB2312" w:cs="仿宋_GB2312"/>
          <w:sz w:val="28"/>
          <w:szCs w:val="28"/>
          <w:highlight w:val="none"/>
        </w:rPr>
      </w:pPr>
      <w:r>
        <w:rPr>
          <w:rFonts w:hint="eastAsia" w:ascii="仿宋_GB2312" w:hAnsi="仿宋_GB2312" w:cs="仿宋_GB2312"/>
          <w:sz w:val="28"/>
          <w:szCs w:val="28"/>
          <w:highlight w:val="none"/>
        </w:rPr>
        <w:t>年    月    日</w:t>
      </w:r>
    </w:p>
    <w:p>
      <w:pPr>
        <w:keepNext w:val="0"/>
        <w:keepLines w:val="0"/>
        <w:pageBreakBefore w:val="0"/>
        <w:kinsoku/>
        <w:wordWrap/>
        <w:overflowPunct/>
        <w:topLinePunct w:val="0"/>
        <w:bidi w:val="0"/>
        <w:spacing w:line="560" w:lineRule="exact"/>
        <w:rPr>
          <w:rFonts w:hint="eastAsia" w:ascii="仿宋_GB2312" w:hAnsi="仿宋_GB2312" w:cs="仿宋_GB2312"/>
          <w:sz w:val="28"/>
          <w:szCs w:val="28"/>
          <w:highlight w:val="none"/>
        </w:rPr>
      </w:pPr>
      <w:r>
        <w:rPr>
          <w:rFonts w:hint="eastAsia" w:ascii="仿宋_GB2312" w:hAnsi="仿宋_GB2312" w:cs="仿宋_GB2312"/>
          <w:sz w:val="28"/>
          <w:szCs w:val="28"/>
          <w:highlight w:val="none"/>
        </w:rPr>
        <w:t xml:space="preserve"> </w:t>
      </w:r>
    </w:p>
    <w:p>
      <w:pPr>
        <w:keepNext w:val="0"/>
        <w:keepLines w:val="0"/>
        <w:pageBreakBefore w:val="0"/>
        <w:kinsoku/>
        <w:wordWrap/>
        <w:overflowPunct/>
        <w:topLinePunct w:val="0"/>
        <w:bidi w:val="0"/>
        <w:spacing w:line="560" w:lineRule="exact"/>
        <w:ind w:firstLine="560"/>
        <w:outlineLvl w:val="0"/>
        <w:rPr>
          <w:rFonts w:hint="eastAsia" w:ascii="仿宋_GB2312" w:hAnsi="仿宋_GB2312" w:cs="仿宋_GB2312"/>
          <w:sz w:val="28"/>
          <w:szCs w:val="28"/>
          <w:highlight w:val="none"/>
        </w:rPr>
      </w:pPr>
      <w:r>
        <w:rPr>
          <w:rFonts w:hint="eastAsia" w:ascii="仿宋_GB2312" w:hAnsi="仿宋_GB2312" w:cs="仿宋_GB2312"/>
          <w:b/>
          <w:bCs/>
          <w:sz w:val="28"/>
          <w:szCs w:val="28"/>
          <w:highlight w:val="none"/>
        </w:rPr>
        <w:t>乙方</w:t>
      </w:r>
      <w:r>
        <w:rPr>
          <w:rFonts w:hint="eastAsia" w:ascii="仿宋_GB2312" w:hAnsi="仿宋_GB2312" w:cs="仿宋_GB2312"/>
          <w:sz w:val="28"/>
          <w:szCs w:val="28"/>
          <w:highlight w:val="none"/>
        </w:rPr>
        <w:t xml:space="preserve">： </w:t>
      </w:r>
    </w:p>
    <w:p>
      <w:pPr>
        <w:keepNext w:val="0"/>
        <w:keepLines w:val="0"/>
        <w:pageBreakBefore w:val="0"/>
        <w:kinsoku/>
        <w:wordWrap/>
        <w:overflowPunct/>
        <w:topLinePunct w:val="0"/>
        <w:bidi w:val="0"/>
        <w:spacing w:line="560" w:lineRule="exact"/>
        <w:ind w:firstLine="2419" w:firstLineChars="864"/>
        <w:rPr>
          <w:rFonts w:hint="eastAsia" w:ascii="仿宋_GB2312" w:hAnsi="仿宋_GB2312" w:cs="仿宋_GB2312"/>
          <w:sz w:val="28"/>
          <w:szCs w:val="28"/>
          <w:highlight w:val="none"/>
        </w:rPr>
      </w:pPr>
      <w:r>
        <w:rPr>
          <w:rFonts w:hint="eastAsia" w:ascii="仿宋_GB2312" w:hAnsi="仿宋_GB2312" w:cs="仿宋_GB2312"/>
          <w:sz w:val="28"/>
          <w:szCs w:val="28"/>
          <w:highlight w:val="none"/>
        </w:rPr>
        <w:t>（盖章）</w:t>
      </w:r>
    </w:p>
    <w:p>
      <w:pPr>
        <w:keepNext w:val="0"/>
        <w:keepLines w:val="0"/>
        <w:pageBreakBefore w:val="0"/>
        <w:kinsoku/>
        <w:wordWrap/>
        <w:overflowPunct/>
        <w:topLinePunct w:val="0"/>
        <w:bidi w:val="0"/>
        <w:spacing w:line="560" w:lineRule="exact"/>
        <w:ind w:firstLine="560" w:firstLineChars="200"/>
        <w:rPr>
          <w:rFonts w:hint="eastAsia" w:ascii="仿宋_GB2312" w:hAnsi="仿宋_GB2312" w:cs="仿宋_GB2312"/>
          <w:sz w:val="28"/>
          <w:szCs w:val="28"/>
          <w:highlight w:val="none"/>
        </w:rPr>
      </w:pPr>
      <w:r>
        <w:rPr>
          <w:rFonts w:hint="eastAsia" w:ascii="仿宋_GB2312" w:hAnsi="仿宋_GB2312" w:cs="仿宋_GB2312"/>
          <w:sz w:val="28"/>
          <w:szCs w:val="28"/>
          <w:highlight w:val="none"/>
        </w:rPr>
        <w:t>法定代表人或授权委托人：（签字）</w:t>
      </w:r>
    </w:p>
    <w:p>
      <w:pPr>
        <w:keepNext w:val="0"/>
        <w:keepLines w:val="0"/>
        <w:pageBreakBefore w:val="0"/>
        <w:kinsoku/>
        <w:wordWrap/>
        <w:overflowPunct/>
        <w:topLinePunct w:val="0"/>
        <w:bidi w:val="0"/>
        <w:spacing w:line="560" w:lineRule="exact"/>
        <w:ind w:firstLine="1960" w:firstLineChars="700"/>
        <w:rPr>
          <w:rFonts w:hint="eastAsia" w:ascii="仿宋_GB2312" w:hAnsi="仿宋_GB2312" w:cs="仿宋_GB2312"/>
          <w:sz w:val="28"/>
          <w:szCs w:val="28"/>
          <w:highlight w:val="none"/>
        </w:rPr>
      </w:pPr>
      <w:r>
        <w:rPr>
          <w:rFonts w:hint="eastAsia" w:ascii="仿宋_GB2312" w:hAnsi="仿宋_GB2312" w:cs="仿宋_GB2312"/>
          <w:sz w:val="28"/>
          <w:szCs w:val="28"/>
          <w:highlight w:val="none"/>
        </w:rPr>
        <w:t>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Sans Serif">
    <w:altName w:val="DejaVu Math TeX Gyre"/>
    <w:panose1 w:val="000000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">
              <v:fill on="f" focussize="0,0"/>
              <v:stroke on="f" weight="0.5pt"/>
              <v:imagedata o:title=""/>
              <o:lock v:ext="edit" aspectratio="f"/>
              <v:textbox inset="0mm,0mm,0mm,0mm" style="mso-fit-shape-to-text:t;">
                <w:txbxContent>
                  <w:p>
                    <w:pPr>
                      <w:pStyle w:val="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593E5"/>
    <w:multiLevelType w:val="singleLevel"/>
    <w:tmpl w:val="92C593E5"/>
    <w:lvl w:ilvl="0" w:tentative="0">
      <w:start w:val="1"/>
      <w:numFmt w:val="decimal"/>
      <w:suff w:val="nothing"/>
      <w:lvlText w:val="%1．"/>
      <w:lvlJc w:val="left"/>
      <w:pPr>
        <w:ind w:left="0" w:firstLine="400"/>
      </w:pPr>
      <w:rPr>
        <w:rFonts w:hint="default"/>
      </w:rPr>
    </w:lvl>
  </w:abstractNum>
  <w:abstractNum w:abstractNumId="1">
    <w:nsid w:val="E5249ECB"/>
    <w:multiLevelType w:val="singleLevel"/>
    <w:tmpl w:val="E5249ECB"/>
    <w:lvl w:ilvl="0" w:tentative="0">
      <w:start w:val="1"/>
      <w:numFmt w:val="chineseCounting"/>
      <w:suff w:val="nothing"/>
      <w:lvlText w:val="（%1）"/>
      <w:lvlJc w:val="left"/>
      <w:pPr>
        <w:ind w:left="0" w:firstLine="420"/>
      </w:pPr>
      <w:rPr>
        <w:rFonts w:hint="eastAsia"/>
      </w:rPr>
    </w:lvl>
  </w:abstractNum>
  <w:abstractNum w:abstractNumId="2">
    <w:nsid w:val="0712E9D1"/>
    <w:multiLevelType w:val="singleLevel"/>
    <w:tmpl w:val="0712E9D1"/>
    <w:lvl w:ilvl="0" w:tentative="0">
      <w:start w:val="1"/>
      <w:numFmt w:val="chineseCounting"/>
      <w:suff w:val="nothing"/>
      <w:lvlText w:val="（%1）"/>
      <w:lvlJc w:val="left"/>
      <w:pPr>
        <w:ind w:left="0" w:firstLine="420"/>
      </w:pPr>
      <w:rPr>
        <w:rFonts w:hint="eastAsia"/>
      </w:rPr>
    </w:lvl>
  </w:abstractNum>
  <w:abstractNum w:abstractNumId="3">
    <w:nsid w:val="4E7A14A5"/>
    <w:multiLevelType w:val="singleLevel"/>
    <w:tmpl w:val="4E7A14A5"/>
    <w:lvl w:ilvl="0" w:tentative="0">
      <w:start w:val="1"/>
      <w:numFmt w:val="chineseCounting"/>
      <w:suff w:val="nothing"/>
      <w:lvlText w:val="（%1）"/>
      <w:lvlJc w:val="left"/>
      <w:pPr>
        <w:ind w:left="0" w:firstLine="420"/>
      </w:pPr>
      <w:rPr>
        <w:rFonts w:hint="eastAsia"/>
      </w:rPr>
    </w:lvl>
  </w:abstractNum>
  <w:abstractNum w:abstractNumId="4">
    <w:nsid w:val="5060F6FF"/>
    <w:multiLevelType w:val="singleLevel"/>
    <w:tmpl w:val="5060F6FF"/>
    <w:lvl w:ilvl="0" w:tentative="0">
      <w:start w:val="1"/>
      <w:numFmt w:val="chineseCounting"/>
      <w:suff w:val="nothing"/>
      <w:lvlText w:val="（%1）"/>
      <w:lvlJc w:val="left"/>
      <w:pPr>
        <w:ind w:left="0" w:firstLine="420"/>
      </w:pPr>
      <w:rPr>
        <w:rFonts w:hint="eastAsia"/>
      </w:rPr>
    </w:lvl>
  </w:abstractNum>
  <w:abstractNum w:abstractNumId="5">
    <w:nsid w:val="50C685E3"/>
    <w:multiLevelType w:val="singleLevel"/>
    <w:tmpl w:val="50C685E3"/>
    <w:lvl w:ilvl="0" w:tentative="0">
      <w:start w:val="1"/>
      <w:numFmt w:val="chineseCounting"/>
      <w:suff w:val="nothing"/>
      <w:lvlText w:val="（%1）"/>
      <w:lvlJc w:val="left"/>
      <w:pPr>
        <w:ind w:left="0" w:firstLine="420"/>
      </w:pPr>
      <w:rPr>
        <w:rFonts w:hint="eastAsia"/>
      </w:rPr>
    </w:lvl>
  </w:abstractNum>
  <w:abstractNum w:abstractNumId="6">
    <w:nsid w:val="5F271FE5"/>
    <w:multiLevelType w:val="singleLevel"/>
    <w:tmpl w:val="5F271FE5"/>
    <w:lvl w:ilvl="0" w:tentative="0">
      <w:start w:val="1"/>
      <w:numFmt w:val="chineseCounting"/>
      <w:suff w:val="nothing"/>
      <w:lvlText w:val="（%1）"/>
      <w:lvlJc w:val="left"/>
      <w:pPr>
        <w:ind w:left="0" w:firstLine="420"/>
      </w:pPr>
      <w:rPr>
        <w:rFonts w:hint="eastAsia"/>
      </w:rPr>
    </w:lvl>
  </w:abstractNum>
  <w:abstractNum w:abstractNumId="7">
    <w:nsid w:val="6A04167C"/>
    <w:multiLevelType w:val="singleLevel"/>
    <w:tmpl w:val="6A04167C"/>
    <w:lvl w:ilvl="0" w:tentative="0">
      <w:start w:val="1"/>
      <w:numFmt w:val="chineseCounting"/>
      <w:suff w:val="nothing"/>
      <w:lvlText w:val="（%1）"/>
      <w:lvlJc w:val="left"/>
      <w:pPr>
        <w:ind w:left="0" w:firstLine="420"/>
      </w:pPr>
      <w:rPr>
        <w:rFonts w:hint="eastAsia"/>
      </w:rPr>
    </w:lvl>
  </w:abstractNum>
  <w:num w:numId="1">
    <w:abstractNumId w:val="2"/>
  </w:num>
  <w:num w:numId="2">
    <w:abstractNumId w:val="7"/>
  </w:num>
  <w:num w:numId="3">
    <w:abstractNumId w:val="6"/>
  </w:num>
  <w:num w:numId="4">
    <w:abstractNumId w:val="4"/>
  </w:num>
  <w:num w:numId="5">
    <w:abstractNumId w:val="3"/>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ZmEwOGYxMTU3ZmRlYzVmYmQ2NzcwOWQ0NDdkOWEifQ=="/>
  </w:docVars>
  <w:rsids>
    <w:rsidRoot w:val="00966675"/>
    <w:rsid w:val="00022EE7"/>
    <w:rsid w:val="00050EE0"/>
    <w:rsid w:val="000756F1"/>
    <w:rsid w:val="000821CF"/>
    <w:rsid w:val="000C143A"/>
    <w:rsid w:val="000F477F"/>
    <w:rsid w:val="000F76CB"/>
    <w:rsid w:val="00162921"/>
    <w:rsid w:val="001C382A"/>
    <w:rsid w:val="00201EA2"/>
    <w:rsid w:val="002150AE"/>
    <w:rsid w:val="002373BE"/>
    <w:rsid w:val="0024497A"/>
    <w:rsid w:val="002E204B"/>
    <w:rsid w:val="00307C85"/>
    <w:rsid w:val="00327AAE"/>
    <w:rsid w:val="00346907"/>
    <w:rsid w:val="00357432"/>
    <w:rsid w:val="0044280C"/>
    <w:rsid w:val="00474C47"/>
    <w:rsid w:val="004E42FF"/>
    <w:rsid w:val="00521A8E"/>
    <w:rsid w:val="005E0579"/>
    <w:rsid w:val="00675F78"/>
    <w:rsid w:val="006F724C"/>
    <w:rsid w:val="007000C3"/>
    <w:rsid w:val="00734E4C"/>
    <w:rsid w:val="007361A2"/>
    <w:rsid w:val="007442E0"/>
    <w:rsid w:val="00744531"/>
    <w:rsid w:val="007A39F0"/>
    <w:rsid w:val="007D6A53"/>
    <w:rsid w:val="007E3DCC"/>
    <w:rsid w:val="00804A6C"/>
    <w:rsid w:val="008673F1"/>
    <w:rsid w:val="008C41DA"/>
    <w:rsid w:val="00934B02"/>
    <w:rsid w:val="00943D85"/>
    <w:rsid w:val="00966675"/>
    <w:rsid w:val="009712BC"/>
    <w:rsid w:val="00982D91"/>
    <w:rsid w:val="009D1694"/>
    <w:rsid w:val="009E247C"/>
    <w:rsid w:val="009F5F86"/>
    <w:rsid w:val="00A55509"/>
    <w:rsid w:val="00A80607"/>
    <w:rsid w:val="00AE5953"/>
    <w:rsid w:val="00B040AD"/>
    <w:rsid w:val="00BA38DB"/>
    <w:rsid w:val="00C80ADC"/>
    <w:rsid w:val="00D23424"/>
    <w:rsid w:val="00D25635"/>
    <w:rsid w:val="00D37D97"/>
    <w:rsid w:val="00D94470"/>
    <w:rsid w:val="00D94745"/>
    <w:rsid w:val="00DB228A"/>
    <w:rsid w:val="00DE3C29"/>
    <w:rsid w:val="00E0511D"/>
    <w:rsid w:val="00E262AC"/>
    <w:rsid w:val="00F75DD3"/>
    <w:rsid w:val="074E6854"/>
    <w:rsid w:val="09D77ACF"/>
    <w:rsid w:val="09DE0A66"/>
    <w:rsid w:val="0BEA35C3"/>
    <w:rsid w:val="0D122F39"/>
    <w:rsid w:val="0DDF3CA5"/>
    <w:rsid w:val="0FB72321"/>
    <w:rsid w:val="10FC4243"/>
    <w:rsid w:val="13EB3287"/>
    <w:rsid w:val="1477EE19"/>
    <w:rsid w:val="171724B5"/>
    <w:rsid w:val="17F97C14"/>
    <w:rsid w:val="1A19383D"/>
    <w:rsid w:val="1EFE21EE"/>
    <w:rsid w:val="20075F93"/>
    <w:rsid w:val="23F9331C"/>
    <w:rsid w:val="24EE444C"/>
    <w:rsid w:val="28F2788A"/>
    <w:rsid w:val="293A0576"/>
    <w:rsid w:val="2B9FB44D"/>
    <w:rsid w:val="2D016C87"/>
    <w:rsid w:val="2DFBA2F7"/>
    <w:rsid w:val="391A5AE0"/>
    <w:rsid w:val="3ACF5A04"/>
    <w:rsid w:val="3B19643C"/>
    <w:rsid w:val="3D770EB9"/>
    <w:rsid w:val="3E365781"/>
    <w:rsid w:val="3FA76621"/>
    <w:rsid w:val="404A6C17"/>
    <w:rsid w:val="40BF6BC9"/>
    <w:rsid w:val="43F43818"/>
    <w:rsid w:val="47C7B3FB"/>
    <w:rsid w:val="4890327C"/>
    <w:rsid w:val="4B562BFB"/>
    <w:rsid w:val="4C504380"/>
    <w:rsid w:val="4D261BEA"/>
    <w:rsid w:val="4D70028A"/>
    <w:rsid w:val="4DD70C4E"/>
    <w:rsid w:val="51874BBA"/>
    <w:rsid w:val="52FFA1BD"/>
    <w:rsid w:val="55DF0F33"/>
    <w:rsid w:val="577FD652"/>
    <w:rsid w:val="5789094D"/>
    <w:rsid w:val="58CB32EC"/>
    <w:rsid w:val="5BB2671C"/>
    <w:rsid w:val="5E963A50"/>
    <w:rsid w:val="5FB7900C"/>
    <w:rsid w:val="5FF42EF1"/>
    <w:rsid w:val="61286ED1"/>
    <w:rsid w:val="67BDC8B8"/>
    <w:rsid w:val="690D3BC4"/>
    <w:rsid w:val="693B3F28"/>
    <w:rsid w:val="694F2AFE"/>
    <w:rsid w:val="6B7E7578"/>
    <w:rsid w:val="6C7B1287"/>
    <w:rsid w:val="6CDE601F"/>
    <w:rsid w:val="6CFF352E"/>
    <w:rsid w:val="6DF265D7"/>
    <w:rsid w:val="6F5F4F93"/>
    <w:rsid w:val="72AF67A9"/>
    <w:rsid w:val="73F0EF0D"/>
    <w:rsid w:val="75A7B2E8"/>
    <w:rsid w:val="76A81E4D"/>
    <w:rsid w:val="76B66B96"/>
    <w:rsid w:val="79276609"/>
    <w:rsid w:val="7BBF43E1"/>
    <w:rsid w:val="7C44ED2E"/>
    <w:rsid w:val="7CEE3C37"/>
    <w:rsid w:val="7EAD8FBF"/>
    <w:rsid w:val="7EF77269"/>
    <w:rsid w:val="7EFEE140"/>
    <w:rsid w:val="7FB51363"/>
    <w:rsid w:val="7FBB3494"/>
    <w:rsid w:val="7FE2FE5F"/>
    <w:rsid w:val="7FEFE5D8"/>
    <w:rsid w:val="7FF253BE"/>
    <w:rsid w:val="7FF53FDD"/>
    <w:rsid w:val="8CEF968E"/>
    <w:rsid w:val="90EF200C"/>
    <w:rsid w:val="B67F1873"/>
    <w:rsid w:val="BBEEDF46"/>
    <w:rsid w:val="BFFE161C"/>
    <w:rsid w:val="C6E2F9F3"/>
    <w:rsid w:val="D6FD6CA5"/>
    <w:rsid w:val="DE7CBDE5"/>
    <w:rsid w:val="DF3F0A69"/>
    <w:rsid w:val="E4FD9B3C"/>
    <w:rsid w:val="E7F935A4"/>
    <w:rsid w:val="EADFD714"/>
    <w:rsid w:val="EFFDC37B"/>
    <w:rsid w:val="F7CF5773"/>
    <w:rsid w:val="FBFFCD5C"/>
    <w:rsid w:val="FDB3A1F9"/>
    <w:rsid w:val="FDF77A65"/>
    <w:rsid w:val="FEFC17F2"/>
    <w:rsid w:val="FF9CF099"/>
    <w:rsid w:val="FFC6F50A"/>
    <w:rsid w:val="FFF3CF99"/>
    <w:rsid w:val="FFF5E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widowControl/>
      <w:ind w:firstLine="420" w:firstLineChars="200"/>
    </w:pPr>
  </w:style>
  <w:style w:type="paragraph" w:styleId="3">
    <w:name w:val="annotation text"/>
    <w:basedOn w:val="1"/>
    <w:qFormat/>
    <w:uiPriority w:val="0"/>
    <w:pPr>
      <w:jc w:val="left"/>
    </w:pPr>
  </w:style>
  <w:style w:type="paragraph" w:styleId="4">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5">
    <w:name w:val="Balloon Text"/>
    <w:basedOn w:val="1"/>
    <w:link w:val="1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rPr>
      <w:sz w:val="24"/>
    </w:rPr>
  </w:style>
  <w:style w:type="paragraph" w:styleId="9">
    <w:name w:val="Body Text First Indent 2"/>
    <w:basedOn w:val="4"/>
    <w:qFormat/>
    <w:uiPriority w:val="0"/>
    <w:pPr>
      <w:ind w:firstLine="420" w:firstLineChars="200"/>
    </w:pPr>
    <w:rPr>
      <w:rFonts w:ascii="宋体" w:hAnsi="MS Sans Serif"/>
      <w:spacing w:val="12"/>
    </w:rPr>
  </w:style>
  <w:style w:type="character" w:styleId="12">
    <w:name w:val="Strong"/>
    <w:basedOn w:val="11"/>
    <w:qFormat/>
    <w:uiPriority w:val="0"/>
    <w:rPr>
      <w:b/>
    </w:rPr>
  </w:style>
  <w:style w:type="character" w:customStyle="1" w:styleId="13">
    <w:name w:val="批注框文本 Char"/>
    <w:basedOn w:val="11"/>
    <w:link w:val="5"/>
    <w:qFormat/>
    <w:uiPriority w:val="0"/>
    <w:rPr>
      <w:rFonts w:eastAsia="仿宋_GB2312"/>
      <w:kern w:val="2"/>
      <w:sz w:val="18"/>
      <w:szCs w:val="18"/>
    </w:rPr>
  </w:style>
  <w:style w:type="paragraph" w:customStyle="1" w:styleId="14">
    <w:name w:val="修订1"/>
    <w:hidden/>
    <w:unhideWhenUsed/>
    <w:qFormat/>
    <w:uiPriority w:val="99"/>
    <w:rPr>
      <w:rFonts w:ascii="Times New Roman" w:hAnsi="Times New Roman" w:eastAsia="仿宋_GB2312" w:cs="Times New Roman"/>
      <w:kern w:val="2"/>
      <w:sz w:val="30"/>
      <w:lang w:val="en-US" w:eastAsia="zh-CN" w:bidi="ar-SA"/>
    </w:rPr>
  </w:style>
  <w:style w:type="paragraph" w:customStyle="1" w:styleId="15">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9</Pages>
  <Words>406</Words>
  <Characters>412</Characters>
  <Lines>36</Lines>
  <Paragraphs>10</Paragraphs>
  <TotalTime>13</TotalTime>
  <ScaleCrop>false</ScaleCrop>
  <LinksUpToDate>false</LinksUpToDate>
  <CharactersWithSpaces>437</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2025-02-26T23:43:00Z</dcterms:created>
  <dc:creator>杨婉芳</dc:creator>
  <cp:lastModifiedBy>greatwall</cp:lastModifiedBy>
  <cp:lastPrinted>2026-03-01T03:28:00Z</cp:lastPrinted>
  <dcterms:modified xsi:type="dcterms:W3CDTF">2026-10-08T18:09:36Z</dcterms:modified>
  <dc:title>2020年江门市工业产品生产许可证证后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CF47C09D636140729D9ADA0FF30966DF_13</vt:lpwstr>
  </property>
  <property fmtid="{D5CDD505-2E9C-101B-9397-08002B2CF9AE}" pid="4" name="KSOTemplateDocerSaveRecord">
    <vt:lpwstr>eyJoZGlkIjoiZjFmZWIzNDg2MmIzZjExOTIzMmViNTBmYTMwYTk0ZWYiLCJ1c2VySWQiOiIyNjU5Njc4ODYifQ==</vt:lpwstr>
  </property>
</Properties>
</file>